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2" w:lineRule="exact"/>
        <w:rPr>
          <w:sz w:val="24"/>
          <w:szCs w:val="24"/>
          <w:color w:val="auto"/>
        </w:rPr>
      </w:pPr>
    </w:p>
    <w:p>
      <w:pPr>
        <w:ind w:left="680" w:right="600" w:hanging="321"/>
        <w:spacing w:after="0" w:line="256"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80" w:right="580" w:hanging="321"/>
        <w:spacing w:after="0" w:line="256"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64"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140" w:space="720"/>
            <w:col w:w="4560"/>
          </w:cols>
          <w:pgMar w:left="240" w:top="233"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001-35518</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SUPERNUS PHARMACEUTICALS,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146" w:lineRule="exact"/>
        <w:rPr>
          <w:sz w:val="24"/>
          <w:szCs w:val="24"/>
          <w:color w:val="auto"/>
        </w:rPr>
      </w:pPr>
    </w:p>
    <w:p>
      <w:pPr>
        <w:ind w:left="17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20-2590184</w:t>
      </w:r>
    </w:p>
    <w:p>
      <w:pPr>
        <w:spacing w:after="0" w:line="104" w:lineRule="exact"/>
        <w:rPr>
          <w:sz w:val="24"/>
          <w:szCs w:val="24"/>
          <w:color w:val="auto"/>
        </w:rPr>
      </w:pPr>
    </w:p>
    <w:p>
      <w:pPr>
        <w:sectPr>
          <w:pgSz w:w="11900" w:h="16838" w:orient="portrait"/>
          <w:cols w:equalWidth="0" w:num="2">
            <w:col w:w="8200" w:space="720"/>
            <w:col w:w="2500"/>
          </w:cols>
          <w:pgMar w:left="240" w:top="233" w:right="23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174" w:lineRule="exact"/>
        <w:rPr>
          <w:sz w:val="24"/>
          <w:szCs w:val="24"/>
          <w:color w:val="auto"/>
        </w:rPr>
      </w:pPr>
    </w:p>
    <w:p>
      <w:pPr>
        <w:sectPr>
          <w:pgSz w:w="11900" w:h="16838" w:orient="portrait"/>
          <w:cols w:equalWidth="0" w:num="2">
            <w:col w:w="7980" w:space="720"/>
            <w:col w:w="2720"/>
          </w:cols>
          <w:pgMar w:left="240" w:top="233" w:right="239" w:bottom="1440" w:gutter="0" w:footer="0" w:header="0"/>
          <w:type w:val="continuous"/>
        </w:sectPr>
      </w:pPr>
    </w:p>
    <w:p>
      <w:pPr>
        <w:ind w:left="1300"/>
        <w:spacing w:after="0"/>
        <w:rPr>
          <w:sz w:val="20"/>
          <w:szCs w:val="20"/>
          <w:color w:val="auto"/>
        </w:rPr>
      </w:pPr>
      <w:r>
        <w:rPr>
          <w:rFonts w:ascii="Arial" w:cs="Arial" w:eastAsia="Arial" w:hAnsi="Arial"/>
          <w:sz w:val="15"/>
          <w:szCs w:val="15"/>
          <w:b w:val="1"/>
          <w:bCs w:val="1"/>
          <w:color w:val="auto"/>
        </w:rPr>
        <w:t>1550 East Gude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20850</w:t>
      </w:r>
    </w:p>
    <w:p>
      <w:pPr>
        <w:spacing w:after="0" w:line="89" w:lineRule="exact"/>
        <w:rPr>
          <w:sz w:val="24"/>
          <w:szCs w:val="24"/>
          <w:color w:val="auto"/>
        </w:rPr>
      </w:pPr>
    </w:p>
    <w:p>
      <w:pPr>
        <w:sectPr>
          <w:pgSz w:w="11900" w:h="16838" w:orient="portrait"/>
          <w:cols w:equalWidth="0" w:num="4">
            <w:col w:w="3840" w:space="720"/>
            <w:col w:w="1100" w:space="720"/>
            <w:col w:w="2020" w:space="720"/>
            <w:col w:w="2300"/>
          </w:cols>
          <w:pgMar w:left="240" w:top="233" w:right="239" w:bottom="1440" w:gutter="0" w:footer="0" w:header="0"/>
          <w:type w:val="continuous"/>
        </w:sectPr>
      </w:pPr>
    </w:p>
    <w:p>
      <w:pPr>
        <w:ind w:left="7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59" w:lineRule="exact"/>
        <w:rPr>
          <w:sz w:val="24"/>
          <w:szCs w:val="24"/>
          <w:color w:val="auto"/>
        </w:rPr>
      </w:pPr>
    </w:p>
    <w:p>
      <w:pPr>
        <w:sectPr>
          <w:pgSz w:w="11900" w:h="16838" w:orient="portrait"/>
          <w:cols w:equalWidth="0" w:num="2">
            <w:col w:w="8240" w:space="720"/>
            <w:col w:w="2460"/>
          </w:cols>
          <w:pgMar w:left="240" w:top="23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838-2500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right="140" w:firstLine="324"/>
        <w:spacing w:after="0" w:line="277" w:lineRule="auto"/>
        <w:rPr>
          <w:sz w:val="20"/>
          <w:szCs w:val="20"/>
          <w:color w:val="auto"/>
        </w:rPr>
      </w:pPr>
      <w:r>
        <w:rPr>
          <w:rFonts w:ascii="Arial" w:cs="Arial" w:eastAsia="Arial" w:hAnsi="Arial"/>
          <w:sz w:val="18"/>
          <w:szCs w:val="18"/>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3"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No </w:t>
      </w:r>
      <w:r>
        <w:rPr>
          <w:rFonts w:ascii="MS PGothic" w:cs="MS PGothic" w:eastAsia="MS PGothic" w:hAnsi="MS PGothic"/>
          <w:sz w:val="18"/>
          <w:szCs w:val="18"/>
          <w:color w:val="auto"/>
        </w:rPr>
        <w:t>☐</w:t>
      </w:r>
    </w:p>
    <w:p>
      <w:pPr>
        <w:spacing w:after="0" w:line="123"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360" w:type="dxa"/>
        <w:tblCellMar>
          <w:top w:w="0" w:type="dxa"/>
          <w:left w:w="0" w:type="dxa"/>
          <w:bottom w:w="0" w:type="dxa"/>
          <w:right w:w="0" w:type="dxa"/>
        </w:tblCellMar>
      </w:tblPr>
      <w:tr>
        <w:trPr>
          <w:trHeight w:val="283"/>
        </w:trPr>
        <w:tc>
          <w:tcPr>
            <w:tcW w:w="2120" w:type="dxa"/>
            <w:vAlign w:val="bottom"/>
            <w:vMerge w:val="restart"/>
          </w:tcPr>
          <w:p>
            <w:pPr>
              <w:jc w:val="center"/>
              <w:ind w:right="410"/>
              <w:spacing w:after="0"/>
              <w:rPr>
                <w:sz w:val="20"/>
                <w:szCs w:val="20"/>
                <w:color w:val="auto"/>
              </w:rPr>
            </w:pPr>
            <w:r>
              <w:rPr>
                <w:rFonts w:ascii="Arial" w:cs="Arial" w:eastAsia="Arial" w:hAnsi="Arial"/>
                <w:sz w:val="18"/>
                <w:szCs w:val="18"/>
                <w:color w:val="auto"/>
                <w:w w:val="90"/>
              </w:rPr>
              <w:t>Large accelerated filer</w:t>
            </w:r>
          </w:p>
        </w:tc>
        <w:tc>
          <w:tcPr>
            <w:tcW w:w="13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vMerge w:val="restart"/>
          </w:tcPr>
          <w:p>
            <w:pPr>
              <w:jc w:val="center"/>
              <w:ind w:right="170"/>
              <w:spacing w:after="0"/>
              <w:rPr>
                <w:sz w:val="20"/>
                <w:szCs w:val="20"/>
                <w:color w:val="auto"/>
              </w:rPr>
            </w:pPr>
            <w:r>
              <w:rPr>
                <w:rFonts w:ascii="Arial" w:cs="Arial" w:eastAsia="Arial" w:hAnsi="Arial"/>
                <w:sz w:val="18"/>
                <w:szCs w:val="18"/>
                <w:color w:val="auto"/>
                <w:w w:val="94"/>
              </w:rPr>
              <w:t>Accelerated filer</w:t>
            </w:r>
          </w:p>
        </w:tc>
        <w:tc>
          <w:tcPr>
            <w:tcW w:w="1100" w:type="dxa"/>
            <w:vAlign w:val="bottom"/>
            <w:vMerge w:val="restart"/>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0"/>
        </w:trPr>
        <w:tc>
          <w:tcPr>
            <w:tcW w:w="2120" w:type="dxa"/>
            <w:vAlign w:val="bottom"/>
          </w:tcPr>
          <w:p>
            <w:pPr>
              <w:jc w:val="center"/>
              <w:ind w:right="390"/>
              <w:spacing w:after="0"/>
              <w:rPr>
                <w:sz w:val="20"/>
                <w:szCs w:val="20"/>
                <w:color w:val="auto"/>
              </w:rPr>
            </w:pPr>
            <w:r>
              <w:rPr>
                <w:rFonts w:ascii="Arial" w:cs="Arial" w:eastAsia="Arial" w:hAnsi="Arial"/>
                <w:sz w:val="18"/>
                <w:szCs w:val="18"/>
                <w:color w:val="auto"/>
                <w:w w:val="91"/>
              </w:rPr>
              <w:t>Non-accelerated filer</w:t>
            </w:r>
          </w:p>
        </w:tc>
        <w:tc>
          <w:tcPr>
            <w:tcW w:w="136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jc w:val="center"/>
              <w:ind w:right="170"/>
              <w:spacing w:after="0"/>
              <w:rPr>
                <w:sz w:val="20"/>
                <w:szCs w:val="20"/>
                <w:color w:val="auto"/>
              </w:rPr>
            </w:pPr>
            <w:r>
              <w:rPr>
                <w:rFonts w:ascii="Arial" w:cs="Arial" w:eastAsia="Arial" w:hAnsi="Arial"/>
                <w:sz w:val="18"/>
                <w:szCs w:val="18"/>
                <w:color w:val="auto"/>
                <w:w w:val="92"/>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92"/>
        </w:trPr>
        <w:tc>
          <w:tcPr>
            <w:tcW w:w="2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40" w:type="dxa"/>
            <w:vAlign w:val="bottom"/>
          </w:tcPr>
          <w:p>
            <w:pPr>
              <w:jc w:val="center"/>
              <w:ind w:right="130"/>
              <w:spacing w:after="0"/>
              <w:rPr>
                <w:sz w:val="20"/>
                <w:szCs w:val="20"/>
                <w:color w:val="auto"/>
              </w:rPr>
            </w:pPr>
            <w:r>
              <w:rPr>
                <w:rFonts w:ascii="Arial" w:cs="Arial" w:eastAsia="Arial" w:hAnsi="Arial"/>
                <w:sz w:val="18"/>
                <w:szCs w:val="18"/>
                <w:color w:val="auto"/>
                <w:w w:val="92"/>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 w:lineRule="exact"/>
        <w:rPr>
          <w:sz w:val="24"/>
          <w:szCs w:val="24"/>
          <w:color w:val="auto"/>
        </w:rPr>
      </w:pPr>
    </w:p>
    <w:p>
      <w:pPr>
        <w:ind w:left="340" w:right="1840"/>
        <w:spacing w:after="0" w:line="26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Exchange Act</w:t>
      </w:r>
    </w:p>
    <w:p>
      <w:pPr>
        <w:spacing w:after="0" w:line="26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October 31, 2019</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33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Common Stock, $0.001 par value per share</w:t>
            </w:r>
          </w:p>
        </w:tc>
        <w:tc>
          <w:tcPr>
            <w:tcW w:w="2620" w:type="dxa"/>
            <w:vAlign w:val="bottom"/>
          </w:tcPr>
          <w:p>
            <w:pPr>
              <w:jc w:val="right"/>
              <w:ind w:right="819"/>
              <w:spacing w:after="0"/>
              <w:rPr>
                <w:sz w:val="20"/>
                <w:szCs w:val="20"/>
                <w:color w:val="auto"/>
              </w:rPr>
            </w:pPr>
            <w:r>
              <w:rPr>
                <w:rFonts w:ascii="Arial" w:cs="Arial" w:eastAsia="Arial" w:hAnsi="Arial"/>
                <w:sz w:val="18"/>
                <w:szCs w:val="18"/>
                <w:color w:val="auto"/>
              </w:rPr>
              <w:t>52,462,936</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SUPN</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432"/>
        </w:trPr>
        <w:tc>
          <w:tcPr>
            <w:tcW w:w="3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r>
        <w:trPr>
          <w:trHeight w:val="20"/>
        </w:trPr>
        <w:tc>
          <w:tcPr>
            <w:tcW w:w="3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 No.</w:t>
            </w:r>
          </w:p>
        </w:tc>
      </w:tr>
      <w:tr>
        <w:trPr>
          <w:trHeight w:val="189"/>
        </w:trPr>
        <w:tc>
          <w:tcPr>
            <w:tcW w:w="3060" w:type="dxa"/>
            <w:vAlign w:val="bottom"/>
            <w:tcBorders>
              <w:bottom w:val="single" w:sz="8" w:color="0000EE"/>
            </w:tcBorders>
            <w:gridSpan w:val="10"/>
          </w:tcPr>
          <w:p>
            <w:pPr>
              <w:spacing w:after="0" w:line="189"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420" w:type="dxa"/>
            <w:vAlign w:val="bottom"/>
            <w:gridSpan w:val="9"/>
          </w:tcPr>
          <w:p>
            <w:pPr>
              <w:spacing w:after="0"/>
              <w:rPr>
                <w:sz w:val="16"/>
                <w:szCs w:val="16"/>
                <w:color w:val="auto"/>
              </w:rPr>
            </w:pPr>
          </w:p>
        </w:tc>
        <w:tc>
          <w:tcPr>
            <w:tcW w:w="900" w:type="dxa"/>
            <w:vAlign w:val="bottom"/>
          </w:tcPr>
          <w:p>
            <w:pPr>
              <w:spacing w:after="0"/>
              <w:rPr>
                <w:sz w:val="16"/>
                <w:szCs w:val="16"/>
                <w:color w:val="auto"/>
              </w:rPr>
            </w:pPr>
          </w:p>
        </w:tc>
      </w:tr>
      <w:tr>
        <w:trPr>
          <w:trHeight w:val="304"/>
        </w:trPr>
        <w:tc>
          <w:tcPr>
            <w:tcW w:w="560" w:type="dxa"/>
            <w:vAlign w:val="bottom"/>
          </w:tcPr>
          <w:p>
            <w:pPr>
              <w:spacing w:after="0"/>
              <w:rPr>
                <w:sz w:val="24"/>
                <w:szCs w:val="24"/>
                <w:color w:val="auto"/>
              </w:rPr>
            </w:pPr>
          </w:p>
        </w:tc>
        <w:tc>
          <w:tcPr>
            <w:tcW w:w="99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Unaudited Condensed Consolidated Financial Statements</w:t>
              </w:r>
            </w:hyperlink>
          </w:p>
        </w:tc>
        <w:tc>
          <w:tcPr>
            <w:tcW w:w="900" w:type="dxa"/>
            <w:vAlign w:val="bottom"/>
          </w:tcPr>
          <w:p>
            <w:pPr>
              <w:spacing w:after="0"/>
              <w:rPr>
                <w:sz w:val="24"/>
                <w:szCs w:val="24"/>
                <w:color w:val="auto"/>
              </w:rPr>
            </w:pPr>
          </w:p>
        </w:tc>
      </w:tr>
      <w:tr>
        <w:trPr>
          <w:trHeight w:val="230"/>
        </w:trPr>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6760" w:type="dxa"/>
            <w:vAlign w:val="bottom"/>
            <w:gridSpan w:val="7"/>
          </w:tcPr>
          <w:p>
            <w:pPr>
              <w:spacing w:after="0"/>
              <w:rPr>
                <w:sz w:val="19"/>
                <w:szCs w:val="19"/>
                <w:color w:val="auto"/>
              </w:rPr>
            </w:pPr>
          </w:p>
        </w:tc>
        <w:tc>
          <w:tcPr>
            <w:tcW w:w="900" w:type="dxa"/>
            <w:vAlign w:val="bottom"/>
          </w:tcPr>
          <w:p>
            <w:pPr>
              <w:jc w:val="right"/>
              <w:spacing w:after="0"/>
              <w:rPr>
                <w:rFonts w:ascii="Arial" w:cs="Arial" w:eastAsia="Arial" w:hAnsi="Arial"/>
                <w:sz w:val="18"/>
                <w:szCs w:val="18"/>
                <w:color w:val="1E39C6"/>
              </w:rPr>
            </w:pPr>
            <w:hyperlink w:anchor="page3">
              <w:r>
                <w:rPr>
                  <w:rFonts w:ascii="Arial" w:cs="Arial" w:eastAsia="Arial" w:hAnsi="Arial"/>
                  <w:sz w:val="18"/>
                  <w:szCs w:val="18"/>
                  <w:color w:val="1E39C6"/>
                </w:rPr>
                <w:t>3</w:t>
              </w:r>
            </w:hyperlink>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Earnings</w:t>
              </w:r>
            </w:hyperlink>
          </w:p>
        </w:tc>
        <w:tc>
          <w:tcPr>
            <w:tcW w:w="90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7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Earnings</w:t>
              </w:r>
            </w:hyperlink>
          </w:p>
        </w:tc>
        <w:tc>
          <w:tcPr>
            <w:tcW w:w="90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Stockholders' Equity</w:t>
              </w:r>
            </w:hyperlink>
          </w:p>
        </w:tc>
        <w:tc>
          <w:tcPr>
            <w:tcW w:w="4480" w:type="dxa"/>
            <w:vAlign w:val="bottom"/>
            <w:gridSpan w:val="2"/>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66"/>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w:t>
              </w:r>
            </w:hyperlink>
          </w:p>
        </w:tc>
        <w:tc>
          <w:tcPr>
            <w:tcW w:w="5980" w:type="dxa"/>
            <w:vAlign w:val="bottom"/>
            <w:gridSpan w:val="5"/>
          </w:tcPr>
          <w:p>
            <w:pPr>
              <w:spacing w:after="0"/>
              <w:rPr>
                <w:sz w:val="24"/>
                <w:szCs w:val="24"/>
                <w:color w:val="auto"/>
              </w:rPr>
            </w:pPr>
          </w:p>
        </w:tc>
        <w:tc>
          <w:tcPr>
            <w:tcW w:w="900" w:type="dxa"/>
            <w:vAlign w:val="bottom"/>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50"/>
        </w:trPr>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5700" w:type="dxa"/>
            <w:vAlign w:val="bottom"/>
            <w:gridSpan w:val="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250"/>
        </w:trPr>
        <w:tc>
          <w:tcPr>
            <w:tcW w:w="560" w:type="dxa"/>
            <w:vAlign w:val="bottom"/>
          </w:tcPr>
          <w:p>
            <w:pPr>
              <w:spacing w:after="0"/>
              <w:rPr>
                <w:sz w:val="21"/>
                <w:szCs w:val="21"/>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2900" w:type="dxa"/>
            <w:vAlign w:val="bottom"/>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50"/>
        </w:trPr>
        <w:tc>
          <w:tcPr>
            <w:tcW w:w="560" w:type="dxa"/>
            <w:vAlign w:val="bottom"/>
          </w:tcPr>
          <w:p>
            <w:pPr>
              <w:spacing w:after="0"/>
              <w:rPr>
                <w:sz w:val="21"/>
                <w:szCs w:val="21"/>
                <w:color w:val="auto"/>
              </w:rPr>
            </w:pPr>
          </w:p>
        </w:tc>
        <w:tc>
          <w:tcPr>
            <w:tcW w:w="9920" w:type="dxa"/>
            <w:vAlign w:val="bottom"/>
            <w:gridSpan w:val="1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 Quantitative and Qualitative Disclosures about Market Risk</w:t>
              </w:r>
            </w:hyperlink>
          </w:p>
        </w:tc>
        <w:tc>
          <w:tcPr>
            <w:tcW w:w="900" w:type="dxa"/>
            <w:vAlign w:val="bottom"/>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50"/>
        </w:trPr>
        <w:tc>
          <w:tcPr>
            <w:tcW w:w="560" w:type="dxa"/>
            <w:vAlign w:val="bottom"/>
          </w:tcPr>
          <w:p>
            <w:pPr>
              <w:spacing w:after="0"/>
              <w:rPr>
                <w:sz w:val="21"/>
                <w:szCs w:val="21"/>
                <w:color w:val="auto"/>
              </w:rPr>
            </w:pPr>
          </w:p>
        </w:tc>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 Controls and Procedures</w:t>
              </w:r>
            </w:hyperlink>
          </w:p>
        </w:tc>
        <w:tc>
          <w:tcPr>
            <w:tcW w:w="502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5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048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 — OTHER INFORMATION</w:t>
              </w:r>
            </w:hyperlink>
          </w:p>
        </w:tc>
        <w:tc>
          <w:tcPr>
            <w:tcW w:w="900" w:type="dxa"/>
            <w:vAlign w:val="bottom"/>
          </w:tcPr>
          <w:p>
            <w:pPr>
              <w:spacing w:after="0"/>
              <w:rPr>
                <w:sz w:val="21"/>
                <w:szCs w:val="21"/>
                <w:color w:val="auto"/>
              </w:rPr>
            </w:pPr>
          </w:p>
        </w:tc>
      </w:tr>
      <w:tr>
        <w:trPr>
          <w:trHeight w:val="250"/>
        </w:trPr>
        <w:tc>
          <w:tcPr>
            <w:tcW w:w="560" w:type="dxa"/>
            <w:vAlign w:val="bottom"/>
            <w:tcBorders>
              <w:top w:val="single" w:sz="8" w:color="0000EE"/>
            </w:tcBorders>
          </w:tcPr>
          <w:p>
            <w:pPr>
              <w:spacing w:after="0"/>
              <w:rPr>
                <w:sz w:val="21"/>
                <w:szCs w:val="21"/>
                <w:color w:val="auto"/>
              </w:rPr>
            </w:pPr>
          </w:p>
        </w:tc>
        <w:tc>
          <w:tcPr>
            <w:tcW w:w="19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Item 1. Legal Proceedings</w:t>
              </w:r>
            </w:hyperlink>
          </w:p>
        </w:tc>
        <w:tc>
          <w:tcPr>
            <w:tcW w:w="280" w:type="dxa"/>
            <w:vAlign w:val="bottom"/>
            <w:tcBorders>
              <w:top w:val="single" w:sz="8" w:color="0000EE"/>
            </w:tcBorders>
          </w:tcPr>
          <w:p>
            <w:pPr>
              <w:spacing w:after="0"/>
              <w:rPr>
                <w:sz w:val="21"/>
                <w:szCs w:val="21"/>
                <w:color w:val="auto"/>
              </w:rPr>
            </w:pPr>
          </w:p>
        </w:tc>
        <w:tc>
          <w:tcPr>
            <w:tcW w:w="7740" w:type="dxa"/>
            <w:vAlign w:val="bottom"/>
            <w:gridSpan w:val="11"/>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50"/>
        </w:trPr>
        <w:tc>
          <w:tcPr>
            <w:tcW w:w="560" w:type="dxa"/>
            <w:vAlign w:val="bottom"/>
          </w:tcPr>
          <w:p>
            <w:pPr>
              <w:spacing w:after="0"/>
              <w:rPr>
                <w:sz w:val="21"/>
                <w:szCs w:val="21"/>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Item 1A. Risk Factors</w:t>
              </w:r>
            </w:hyperlink>
          </w:p>
        </w:tc>
        <w:tc>
          <w:tcPr>
            <w:tcW w:w="8320" w:type="dxa"/>
            <w:vAlign w:val="bottom"/>
            <w:gridSpan w:val="14"/>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50"/>
        </w:trPr>
        <w:tc>
          <w:tcPr>
            <w:tcW w:w="560" w:type="dxa"/>
            <w:vAlign w:val="bottom"/>
          </w:tcPr>
          <w:p>
            <w:pPr>
              <w:spacing w:after="0"/>
              <w:rPr>
                <w:sz w:val="21"/>
                <w:szCs w:val="21"/>
                <w:color w:val="auto"/>
              </w:rPr>
            </w:pPr>
          </w:p>
        </w:tc>
        <w:tc>
          <w:tcPr>
            <w:tcW w:w="992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2. Unregistered Sales of Equity Securities and Use of Proceeds</w:t>
              </w:r>
            </w:hyperlink>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50"/>
        </w:trPr>
        <w:tc>
          <w:tcPr>
            <w:tcW w:w="560" w:type="dxa"/>
            <w:vAlign w:val="bottom"/>
          </w:tcPr>
          <w:p>
            <w:pPr>
              <w:spacing w:after="0"/>
              <w:rPr>
                <w:sz w:val="21"/>
                <w:szCs w:val="21"/>
                <w:color w:val="auto"/>
              </w:rPr>
            </w:pPr>
          </w:p>
        </w:tc>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 Defaults Upon Senior Securities</w:t>
              </w:r>
            </w:hyperlink>
          </w:p>
        </w:tc>
        <w:tc>
          <w:tcPr>
            <w:tcW w:w="5020" w:type="dxa"/>
            <w:vAlign w:val="bottom"/>
            <w:gridSpan w:val="3"/>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50"/>
        </w:trPr>
        <w:tc>
          <w:tcPr>
            <w:tcW w:w="560" w:type="dxa"/>
            <w:vAlign w:val="bottom"/>
          </w:tcPr>
          <w:p>
            <w:pPr>
              <w:spacing w:after="0"/>
              <w:rPr>
                <w:sz w:val="21"/>
                <w:szCs w:val="21"/>
                <w:color w:val="auto"/>
              </w:rPr>
            </w:pPr>
          </w:p>
        </w:tc>
        <w:tc>
          <w:tcPr>
            <w:tcW w:w="2880" w:type="dxa"/>
            <w:vAlign w:val="bottom"/>
            <w:tcBorders>
              <w:top w:val="single" w:sz="8" w:color="0000EE"/>
            </w:tcBorders>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4. Mine Safety Disclosures</w:t>
              </w:r>
            </w:hyperlink>
          </w:p>
        </w:tc>
        <w:tc>
          <w:tcPr>
            <w:tcW w:w="7040" w:type="dxa"/>
            <w:vAlign w:val="bottom"/>
            <w:gridSpan w:val="8"/>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50"/>
        </w:trPr>
        <w:tc>
          <w:tcPr>
            <w:tcW w:w="560" w:type="dxa"/>
            <w:vAlign w:val="bottom"/>
          </w:tcPr>
          <w:p>
            <w:pPr>
              <w:spacing w:after="0"/>
              <w:rPr>
                <w:sz w:val="21"/>
                <w:szCs w:val="21"/>
                <w:color w:val="auto"/>
              </w:rPr>
            </w:pPr>
          </w:p>
        </w:tc>
        <w:tc>
          <w:tcPr>
            <w:tcW w:w="18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3"/>
          </w:tcPr>
          <w:p>
            <w:pPr>
              <w:spacing w:after="0"/>
              <w:rPr>
                <w:sz w:val="21"/>
                <w:szCs w:val="21"/>
                <w:color w:val="auto"/>
              </w:rPr>
            </w:pPr>
          </w:p>
        </w:tc>
        <w:tc>
          <w:tcPr>
            <w:tcW w:w="7600" w:type="dxa"/>
            <w:vAlign w:val="bottom"/>
            <w:gridSpan w:val="10"/>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50"/>
        </w:trPr>
        <w:tc>
          <w:tcPr>
            <w:tcW w:w="560" w:type="dxa"/>
            <w:vAlign w:val="bottom"/>
          </w:tcPr>
          <w:p>
            <w:pPr>
              <w:spacing w:after="0"/>
              <w:rPr>
                <w:sz w:val="21"/>
                <w:szCs w:val="21"/>
                <w:color w:val="auto"/>
              </w:rPr>
            </w:pPr>
          </w:p>
        </w:tc>
        <w:tc>
          <w:tcPr>
            <w:tcW w:w="11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6. Exhibits</w:t>
              </w:r>
            </w:hyperlink>
          </w:p>
        </w:tc>
        <w:tc>
          <w:tcPr>
            <w:tcW w:w="8760" w:type="dxa"/>
            <w:vAlign w:val="bottom"/>
            <w:gridSpan w:val="15"/>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50"/>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SIGNATURES</w:t>
              </w:r>
            </w:hyperlink>
          </w:p>
        </w:tc>
        <w:tc>
          <w:tcPr>
            <w:tcW w:w="9380" w:type="dxa"/>
            <w:vAlign w:val="bottom"/>
            <w:gridSpan w:val="16"/>
          </w:tcPr>
          <w:p>
            <w:pPr>
              <w:spacing w:after="0"/>
              <w:rPr>
                <w:sz w:val="21"/>
                <w:szCs w:val="21"/>
                <w:color w:val="auto"/>
              </w:rPr>
            </w:pPr>
          </w:p>
        </w:tc>
        <w:tc>
          <w:tcPr>
            <w:tcW w:w="900" w:type="dxa"/>
            <w:vAlign w:val="bottom"/>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507"/>
        </w:trPr>
        <w:tc>
          <w:tcPr>
            <w:tcW w:w="6000" w:type="dxa"/>
            <w:vAlign w:val="bottom"/>
            <w:gridSpan w:val="17"/>
          </w:tcPr>
          <w:p>
            <w:pPr>
              <w:jc w:val="right"/>
              <w:ind w:right="280"/>
              <w:spacing w:after="0"/>
              <w:rPr>
                <w:sz w:val="20"/>
                <w:szCs w:val="20"/>
                <w:color w:val="auto"/>
              </w:rPr>
            </w:pPr>
            <w:r>
              <w:rPr>
                <w:rFonts w:ascii="Arial" w:cs="Arial" w:eastAsia="Arial" w:hAnsi="Arial"/>
                <w:sz w:val="18"/>
                <w:szCs w:val="18"/>
                <w:color w:val="auto"/>
              </w:rPr>
              <w:t>2</w:t>
            </w:r>
          </w:p>
        </w:tc>
        <w:tc>
          <w:tcPr>
            <w:tcW w:w="1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64"/>
        </w:trPr>
        <w:tc>
          <w:tcPr>
            <w:tcW w:w="8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179,808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163,770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102,922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25,504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25,659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427,082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493,487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418,798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1,106,909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977,811</w:t>
            </w:r>
          </w:p>
        </w:tc>
      </w:tr>
      <w:tr>
        <w:trPr>
          <w:trHeight w:val="67"/>
        </w:trPr>
        <w:tc>
          <w:tcPr>
            <w:tcW w:w="8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64"/>
        </w:trPr>
        <w:tc>
          <w:tcPr>
            <w:tcW w:w="8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product returns and rebates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107,063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36,535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2,183</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161,353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329,462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liabilities, long term</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549,652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524,788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Common stock, $0.001 par value; 130,000,000 shares authorized; 52,462,936 and 52,316,583 shares issued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as of September 30,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383,525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369,637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earnings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166,419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86,492</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557,257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453,023</w:t>
            </w:r>
          </w:p>
        </w:tc>
      </w:tr>
      <w:tr>
        <w:trPr>
          <w:trHeight w:val="277"/>
        </w:trPr>
        <w:tc>
          <w:tcPr>
            <w:tcW w:w="88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1,106,909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977,811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74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746"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160" w:type="dxa"/>
            <w:vAlign w:val="bottom"/>
          </w:tcPr>
          <w:p>
            <w:pPr>
              <w:spacing w:after="0"/>
              <w:rPr>
                <w:sz w:val="14"/>
                <w:szCs w:val="14"/>
                <w:color w:val="auto"/>
              </w:rPr>
            </w:pPr>
          </w:p>
        </w:tc>
        <w:tc>
          <w:tcPr>
            <w:tcW w:w="22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2220" w:type="dxa"/>
            <w:vAlign w:val="bottom"/>
            <w:gridSpan w:val="4"/>
          </w:tcPr>
          <w:p>
            <w:pPr>
              <w:jc w:val="center"/>
              <w:ind w:right="51"/>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100,034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100,227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285,491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286,377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revenues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Licensing revenues</w:t>
            </w: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102,140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292,309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292,963</w:t>
            </w:r>
          </w:p>
        </w:tc>
        <w:tc>
          <w:tcPr>
            <w:tcW w:w="0" w:type="dxa"/>
            <w:vAlign w:val="bottom"/>
          </w:tcPr>
          <w:p>
            <w:pPr>
              <w:spacing w:after="0"/>
              <w:rPr>
                <w:sz w:val="1"/>
                <w:szCs w:val="1"/>
                <w:color w:val="auto"/>
              </w:rPr>
            </w:pPr>
          </w:p>
        </w:tc>
      </w:tr>
      <w:tr>
        <w:trPr>
          <w:trHeight w:val="291"/>
        </w:trPr>
        <w:tc>
          <w:tcPr>
            <w:tcW w:w="65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59,368</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122,700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117,838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62,411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184,554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188,374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Operating earnings</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39,729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37,475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107,755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104,589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 (expenses), net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39,590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106,575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101,409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26,648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16,309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79,927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52,453,384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w w:val="93"/>
              </w:rPr>
              <w:t>52,227,630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w w:val="93"/>
              </w:rPr>
              <w:t>52,392,232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w w:val="93"/>
              </w:rPr>
              <w:t>51,897,240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53,805,838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3"/>
              </w:rPr>
              <w:t>54,239,847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3"/>
              </w:rPr>
              <w:t>53,898,486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54,098,330</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92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92"/>
              </w:rPr>
              <w:t>Nine Months ended</w:t>
            </w:r>
          </w:p>
        </w:tc>
      </w:tr>
      <w:tr>
        <w:trPr>
          <w:trHeight w:val="192"/>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20" w:type="dxa"/>
            <w:vAlign w:val="bottom"/>
            <w:gridSpan w:val="4"/>
          </w:tcPr>
          <w:p>
            <w:pPr>
              <w:jc w:val="center"/>
              <w:ind w:right="114"/>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7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240" w:type="dxa"/>
            <w:vAlign w:val="bottom"/>
          </w:tcPr>
          <w:p>
            <w:pPr>
              <w:spacing w:after="0"/>
              <w:rPr>
                <w:sz w:val="21"/>
                <w:szCs w:val="21"/>
                <w:color w:val="auto"/>
              </w:rPr>
            </w:pPr>
          </w:p>
        </w:tc>
        <w:tc>
          <w:tcPr>
            <w:tcW w:w="12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21"/>
                <w:szCs w:val="21"/>
                <w:color w:val="auto"/>
              </w:rPr>
            </w:pPr>
          </w:p>
        </w:tc>
      </w:tr>
      <w:tr>
        <w:trPr>
          <w:trHeight w:val="182"/>
        </w:trPr>
        <w:tc>
          <w:tcPr>
            <w:tcW w:w="7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w w:val="94"/>
              </w:rPr>
              <w:t>28,860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28,011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79,927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85,100</w:t>
            </w: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10,419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(3,364)</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earnings (loss)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r>
      <w:tr>
        <w:trPr>
          <w:trHeight w:val="264"/>
        </w:trPr>
        <w:tc>
          <w:tcPr>
            <w:tcW w:w="74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4"/>
              </w:rPr>
              <w:t>30,197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4"/>
              </w:rPr>
              <w:t>28,019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90,346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81,736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and Nine Months ended September 30,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320" w:type="dxa"/>
            <w:vAlign w:val="bottom"/>
            <w:gridSpan w:val="3"/>
          </w:tcPr>
          <w:p>
            <w:pPr>
              <w:jc w:val="right"/>
              <w:ind w:right="419"/>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5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20" w:type="dxa"/>
            <w:vAlign w:val="bottom"/>
            <w:gridSpan w:val="2"/>
            <w:vMerge w:val="restart"/>
          </w:tcPr>
          <w:p>
            <w:pPr>
              <w:ind w:left="120"/>
              <w:spacing w:after="0" w:line="139"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100" w:type="dxa"/>
            <w:vAlign w:val="bottom"/>
            <w:vMerge w:val="restart"/>
          </w:tcPr>
          <w:p>
            <w:pPr>
              <w:jc w:val="center"/>
              <w:ind w:right="73"/>
              <w:spacing w:after="0" w:line="13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Earnings (Loss)</w:t>
            </w:r>
          </w:p>
        </w:tc>
        <w:tc>
          <w:tcPr>
            <w:tcW w:w="24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52,316,583</w:t>
            </w:r>
          </w:p>
        </w:tc>
        <w:tc>
          <w:tcPr>
            <w:tcW w:w="140" w:type="dxa"/>
            <w:vAlign w:val="bottom"/>
          </w:tcPr>
          <w:p>
            <w:pPr>
              <w:spacing w:after="0"/>
              <w:rPr>
                <w:sz w:val="21"/>
                <w:szCs w:val="21"/>
                <w:color w:val="auto"/>
              </w:rPr>
            </w:pP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369,637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86,492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57,665</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18,340</w:t>
            </w:r>
          </w:p>
        </w:tc>
        <w:tc>
          <w:tcPr>
            <w:tcW w:w="0" w:type="dxa"/>
            <w:vAlign w:val="bottom"/>
          </w:tcPr>
          <w:p>
            <w:pPr>
              <w:spacing w:after="0"/>
              <w:rPr>
                <w:sz w:val="1"/>
                <w:szCs w:val="1"/>
                <w:color w:val="auto"/>
              </w:rPr>
            </w:pPr>
          </w:p>
        </w:tc>
      </w:tr>
      <w:tr>
        <w:trPr>
          <w:trHeight w:val="229"/>
        </w:trPr>
        <w:tc>
          <w:tcPr>
            <w:tcW w:w="2980" w:type="dxa"/>
            <w:vAlign w:val="bottom"/>
          </w:tcPr>
          <w:p>
            <w:pPr>
              <w:ind w:left="180"/>
              <w:spacing w:after="0"/>
              <w:rPr>
                <w:sz w:val="20"/>
                <w:szCs w:val="20"/>
                <w:color w:val="auto"/>
              </w:rPr>
            </w:pPr>
            <w:r>
              <w:rPr>
                <w:rFonts w:ascii="Arial" w:cs="Arial" w:eastAsia="Arial" w:hAnsi="Arial"/>
                <w:sz w:val="18"/>
                <w:szCs w:val="18"/>
                <w:color w:val="auto"/>
              </w:rPr>
              <w:t>Unrealized gain on marketable</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4,585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2019</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52,374,248</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480,018</w:t>
            </w:r>
          </w:p>
        </w:tc>
        <w:tc>
          <w:tcPr>
            <w:tcW w:w="0" w:type="dxa"/>
            <w:vAlign w:val="bottom"/>
          </w:tcPr>
          <w:p>
            <w:pPr>
              <w:spacing w:after="0"/>
              <w:rPr>
                <w:sz w:val="1"/>
                <w:szCs w:val="1"/>
                <w:color w:val="auto"/>
              </w:rPr>
            </w:pPr>
          </w:p>
        </w:tc>
      </w:tr>
      <w:tr>
        <w:trPr>
          <w:trHeight w:val="324"/>
        </w:trPr>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Issuance of ESPP shares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48,950</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25,838</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32,727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32,727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June 30, 2019</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52,449,036</w:t>
            </w:r>
          </w:p>
        </w:tc>
        <w:tc>
          <w:tcPr>
            <w:tcW w:w="1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379,369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137,559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522,904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13,900</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29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28,860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28,860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w:t>
            </w: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net of tax</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2019</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52,462,936</w:t>
            </w:r>
          </w:p>
        </w:tc>
        <w:tc>
          <w:tcPr>
            <w:tcW w:w="1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383,525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166,419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557,257</w:t>
            </w:r>
          </w:p>
        </w:tc>
        <w:tc>
          <w:tcPr>
            <w:tcW w:w="0" w:type="dxa"/>
            <w:vAlign w:val="bottom"/>
          </w:tcPr>
          <w:p>
            <w:pPr>
              <w:spacing w:after="0"/>
              <w:rPr>
                <w:sz w:val="1"/>
                <w:szCs w:val="1"/>
                <w:color w:val="auto"/>
              </w:rPr>
            </w:pPr>
          </w:p>
        </w:tc>
      </w:tr>
      <w:tr>
        <w:trPr>
          <w:trHeight w:val="67"/>
        </w:trPr>
        <w:tc>
          <w:tcPr>
            <w:tcW w:w="298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9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Three and Nine Months ended September 30, 2018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1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800" w:type="dxa"/>
            <w:vAlign w:val="bottom"/>
          </w:tcPr>
          <w:p>
            <w:pPr>
              <w:spacing w:after="0"/>
              <w:rPr>
                <w:sz w:val="20"/>
                <w:szCs w:val="20"/>
                <w:color w:val="auto"/>
              </w:rPr>
            </w:pPr>
            <w:r>
              <w:rPr>
                <w:rFonts w:ascii="Arial" w:cs="Arial" w:eastAsia="Arial" w:hAnsi="Arial"/>
                <w:sz w:val="14"/>
                <w:szCs w:val="14"/>
                <w:b w:val="1"/>
                <w:bCs w:val="1"/>
                <w:color w:val="auto"/>
              </w:rPr>
              <w:t>Common Stock</w:t>
            </w:r>
          </w:p>
        </w:tc>
        <w:tc>
          <w:tcPr>
            <w:tcW w:w="1460" w:type="dxa"/>
            <w:vAlign w:val="bottom"/>
          </w:tcPr>
          <w:p>
            <w:pPr>
              <w:spacing w:after="0"/>
              <w:rPr>
                <w:sz w:val="14"/>
                <w:szCs w:val="14"/>
                <w:color w:val="auto"/>
              </w:rPr>
            </w:pPr>
          </w:p>
        </w:tc>
        <w:tc>
          <w:tcPr>
            <w:tcW w:w="18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Accumulated Other</w:t>
            </w:r>
          </w:p>
        </w:tc>
        <w:tc>
          <w:tcPr>
            <w:tcW w:w="1200" w:type="dxa"/>
            <w:vAlign w:val="bottom"/>
          </w:tcPr>
          <w:p>
            <w:pPr>
              <w:spacing w:after="0"/>
              <w:rPr>
                <w:sz w:val="14"/>
                <w:szCs w:val="14"/>
                <w:color w:val="auto"/>
              </w:rPr>
            </w:pPr>
          </w:p>
        </w:tc>
        <w:tc>
          <w:tcPr>
            <w:tcW w:w="112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8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460" w:type="dxa"/>
            <w:vAlign w:val="bottom"/>
            <w:vMerge w:val="restart"/>
          </w:tcPr>
          <w:p>
            <w:pPr>
              <w:jc w:val="center"/>
              <w:ind w:right="8"/>
              <w:spacing w:after="0" w:line="139" w:lineRule="exact"/>
              <w:rPr>
                <w:sz w:val="20"/>
                <w:szCs w:val="20"/>
                <w:color w:val="auto"/>
              </w:rPr>
            </w:pPr>
            <w:r>
              <w:rPr>
                <w:rFonts w:ascii="Arial" w:cs="Arial" w:eastAsia="Arial" w:hAnsi="Arial"/>
                <w:sz w:val="14"/>
                <w:szCs w:val="14"/>
                <w:b w:val="1"/>
                <w:bCs w:val="1"/>
                <w:color w:val="auto"/>
                <w:w w:val="96"/>
              </w:rPr>
              <w:t>Additional</w:t>
            </w:r>
          </w:p>
        </w:tc>
        <w:tc>
          <w:tcPr>
            <w:tcW w:w="18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1200" w:type="dxa"/>
            <w:vAlign w:val="bottom"/>
            <w:vMerge w:val="restart"/>
          </w:tcPr>
          <w:p>
            <w:pPr>
              <w:ind w:left="340"/>
              <w:spacing w:after="0" w:line="139" w:lineRule="exact"/>
              <w:rPr>
                <w:sz w:val="20"/>
                <w:szCs w:val="20"/>
                <w:color w:val="auto"/>
              </w:rPr>
            </w:pPr>
            <w:r>
              <w:rPr>
                <w:rFonts w:ascii="Arial" w:cs="Arial" w:eastAsia="Arial" w:hAnsi="Arial"/>
                <w:sz w:val="14"/>
                <w:szCs w:val="14"/>
                <w:b w:val="1"/>
                <w:bCs w:val="1"/>
                <w:color w:val="auto"/>
              </w:rPr>
              <w:t>Retained</w:t>
            </w:r>
          </w:p>
        </w:tc>
        <w:tc>
          <w:tcPr>
            <w:tcW w:w="1120" w:type="dxa"/>
            <w:vAlign w:val="bottom"/>
            <w:vMerge w:val="restart"/>
          </w:tcPr>
          <w:p>
            <w:pPr>
              <w:jc w:val="center"/>
              <w:ind w:left="208"/>
              <w:spacing w:after="0" w:line="13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65"/>
        </w:trPr>
        <w:tc>
          <w:tcPr>
            <w:tcW w:w="84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89"/>
              </w:rPr>
              <w:t>Shares</w:t>
            </w:r>
          </w:p>
        </w:tc>
        <w:tc>
          <w:tcPr>
            <w:tcW w:w="18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Amount</w:t>
            </w:r>
          </w:p>
        </w:tc>
        <w:tc>
          <w:tcPr>
            <w:tcW w:w="146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840" w:type="dxa"/>
            <w:vAlign w:val="bottom"/>
            <w:vMerge w:val="continue"/>
          </w:tcPr>
          <w:p>
            <w:pPr>
              <w:spacing w:after="0"/>
              <w:rPr>
                <w:sz w:val="16"/>
                <w:szCs w:val="16"/>
                <w:color w:val="auto"/>
              </w:rPr>
            </w:pPr>
          </w:p>
        </w:tc>
        <w:tc>
          <w:tcPr>
            <w:tcW w:w="1800" w:type="dxa"/>
            <w:vAlign w:val="bottom"/>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Paid-in Capital</w:t>
            </w:r>
          </w:p>
        </w:tc>
        <w:tc>
          <w:tcPr>
            <w:tcW w:w="182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Earnings (Loss)</w:t>
            </w:r>
          </w:p>
        </w:tc>
        <w:tc>
          <w:tcPr>
            <w:tcW w:w="120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12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7620</wp:posOffset>
            </wp:positionV>
            <wp:extent cx="716915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tbl>
      <w:tblPr>
        <w:tblLayout w:type="fixed"/>
        <w:tblInd w:w="100" w:type="dxa"/>
        <w:tblCellMar>
          <w:top w:w="0" w:type="dxa"/>
          <w:left w:w="0" w:type="dxa"/>
          <w:bottom w:w="0" w:type="dxa"/>
          <w:right w:w="0" w:type="dxa"/>
        </w:tblCellMar>
      </w:tblPr>
      <w:tr>
        <w:trPr>
          <w:trHeight w:val="254"/>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December 31, 2017</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51,314,850</w:t>
            </w:r>
          </w:p>
        </w:tc>
        <w:tc>
          <w:tcPr>
            <w:tcW w:w="120" w:type="dxa"/>
            <w:vAlign w:val="bottom"/>
          </w:tcPr>
          <w:p>
            <w:pPr>
              <w:spacing w:after="0"/>
              <w:rPr>
                <w:sz w:val="22"/>
                <w:szCs w:val="22"/>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0"/>
        </w:trPr>
        <w:tc>
          <w:tcPr>
            <w:tcW w:w="2820" w:type="dxa"/>
            <w:vAlign w:val="bottom"/>
          </w:tcPr>
          <w:p>
            <w:pPr>
              <w:ind w:left="140"/>
              <w:spacing w:after="0"/>
              <w:rPr>
                <w:sz w:val="20"/>
                <w:szCs w:val="20"/>
                <w:color w:val="auto"/>
              </w:rPr>
            </w:pPr>
            <w:r>
              <w:rPr>
                <w:rFonts w:ascii="Arial" w:cs="Arial" w:eastAsia="Arial" w:hAnsi="Arial"/>
                <w:sz w:val="18"/>
                <w:szCs w:val="18"/>
                <w:color w:val="auto"/>
              </w:rPr>
              <w:t>Cumulative-effect of adoption of</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ASC 606</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Balance, January 1, 2018</w:t>
            </w: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51,314,850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319,141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2820" w:type="dxa"/>
            <w:vAlign w:val="bottom"/>
          </w:tcPr>
          <w:p>
            <w:pPr>
              <w:ind w:left="140"/>
              <w:spacing w:after="0"/>
              <w:rPr>
                <w:sz w:val="20"/>
                <w:szCs w:val="20"/>
                <w:color w:val="auto"/>
              </w:rPr>
            </w:pPr>
            <w:r>
              <w:rPr>
                <w:rFonts w:ascii="Arial" w:cs="Arial" w:eastAsia="Arial" w:hAnsi="Arial"/>
                <w:sz w:val="18"/>
                <w:szCs w:val="18"/>
                <w:color w:val="auto"/>
              </w:rPr>
              <w:t>Equity component of convertible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notes issuance, net of tax</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ind w:left="140"/>
              <w:spacing w:after="0"/>
              <w:rPr>
                <w:sz w:val="20"/>
                <w:szCs w:val="20"/>
                <w:color w:val="auto"/>
              </w:rPr>
            </w:pPr>
            <w:r>
              <w:rPr>
                <w:rFonts w:ascii="Arial" w:cs="Arial" w:eastAsia="Arial" w:hAnsi="Arial"/>
                <w:sz w:val="18"/>
                <w:szCs w:val="18"/>
                <w:color w:val="auto"/>
              </w:rPr>
              <w:t>Purchases of convertible note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hedges, net of tax</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Issuance of warrants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ind w:left="140"/>
              <w:spacing w:after="0"/>
              <w:rPr>
                <w:sz w:val="20"/>
                <w:szCs w:val="20"/>
                <w:color w:val="auto"/>
              </w:rPr>
            </w:pPr>
            <w:r>
              <w:rPr>
                <w:rFonts w:ascii="Arial" w:cs="Arial" w:eastAsia="Arial" w:hAnsi="Arial"/>
                <w:sz w:val="18"/>
                <w:szCs w:val="18"/>
                <w:color w:val="auto"/>
              </w:rPr>
              <w:t>Unrealized loss on marketable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securities, net of tax</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Balance, March 31, 2018</w:t>
            </w: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51,633,991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594"/>
        </w:trPr>
        <w:tc>
          <w:tcPr>
            <w:tcW w:w="28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Issuance of ESPP shares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34,676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510,667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ind w:left="140"/>
              <w:spacing w:after="0"/>
              <w:rPr>
                <w:sz w:val="20"/>
                <w:szCs w:val="20"/>
                <w:color w:val="auto"/>
              </w:rPr>
            </w:pPr>
            <w:r>
              <w:rPr>
                <w:rFonts w:ascii="Arial" w:cs="Arial" w:eastAsia="Arial" w:hAnsi="Arial"/>
                <w:sz w:val="18"/>
                <w:szCs w:val="18"/>
                <w:color w:val="auto"/>
              </w:rPr>
              <w:t>Unrealized loss on marketable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securities, net of tax</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Balance, June 30, 2018</w:t>
            </w: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52,179,334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594"/>
        </w:trPr>
        <w:tc>
          <w:tcPr>
            <w:tcW w:w="28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Exercise of stock options</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77,679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20" w:type="dxa"/>
            <w:vAlign w:val="bottom"/>
          </w:tcPr>
          <w:p>
            <w:pPr>
              <w:ind w:left="140"/>
              <w:spacing w:after="0"/>
              <w:rPr>
                <w:sz w:val="20"/>
                <w:szCs w:val="20"/>
                <w:color w:val="auto"/>
              </w:rPr>
            </w:pPr>
            <w:r>
              <w:rPr>
                <w:rFonts w:ascii="Arial" w:cs="Arial" w:eastAsia="Arial" w:hAnsi="Arial"/>
                <w:sz w:val="18"/>
                <w:szCs w:val="18"/>
                <w:color w:val="auto"/>
              </w:rPr>
              <w:t>Unrealized gain on marketable</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Arial" w:cs="Arial" w:eastAsia="Arial" w:hAnsi="Arial"/>
                <w:sz w:val="18"/>
                <w:szCs w:val="18"/>
                <w:color w:val="auto"/>
              </w:rPr>
              <w:t>securities, net of tax</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52,257,013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294,999</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(26,823)</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267,480</w:t>
            </w:r>
          </w:p>
        </w:tc>
      </w:tr>
      <w:tr>
        <w:trPr>
          <w:trHeight w:val="486"/>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24"/>
                <w:szCs w:val="24"/>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294,999</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(24,501)</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269,802</w:t>
            </w:r>
          </w:p>
        </w:tc>
      </w:tr>
      <w:tr>
        <w:trPr>
          <w:trHeight w:val="27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2,635</w:t>
            </w:r>
          </w:p>
        </w:tc>
      </w:tr>
      <w:tr>
        <w:trPr>
          <w:trHeight w:val="27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2,858</w:t>
            </w:r>
          </w:p>
        </w:tc>
      </w:tr>
      <w:tr>
        <w:trPr>
          <w:trHeight w:val="486"/>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56,215</w:t>
            </w:r>
          </w:p>
        </w:tc>
        <w:tc>
          <w:tcPr>
            <w:tcW w:w="10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56,215</w:t>
            </w:r>
          </w:p>
        </w:tc>
      </w:tr>
      <w:tr>
        <w:trPr>
          <w:trHeight w:val="486"/>
        </w:trPr>
        <w:tc>
          <w:tcPr>
            <w:tcW w:w="1240" w:type="dxa"/>
            <w:vAlign w:val="bottom"/>
          </w:tcPr>
          <w:p>
            <w:pPr>
              <w:jc w:val="right"/>
              <w:spacing w:after="0"/>
              <w:rPr>
                <w:sz w:val="20"/>
                <w:szCs w:val="20"/>
                <w:color w:val="auto"/>
              </w:rPr>
            </w:pPr>
            <w:r>
              <w:rPr>
                <w:rFonts w:ascii="Arial" w:cs="Arial" w:eastAsia="Arial" w:hAnsi="Arial"/>
                <w:sz w:val="18"/>
                <w:szCs w:val="18"/>
                <w:color w:val="auto"/>
              </w:rPr>
              <w:t>(70,137)</w:t>
            </w:r>
          </w:p>
        </w:tc>
        <w:tc>
          <w:tcPr>
            <w:tcW w:w="10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(70,137)</w:t>
            </w:r>
          </w:p>
        </w:tc>
      </w:tr>
      <w:tr>
        <w:trPr>
          <w:trHeight w:val="27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65,688</w:t>
            </w:r>
          </w:p>
        </w:tc>
      </w:tr>
      <w:tr>
        <w:trPr>
          <w:trHeight w:val="270"/>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26,352</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26,352</w:t>
            </w:r>
          </w:p>
        </w:tc>
      </w:tr>
      <w:tr>
        <w:trPr>
          <w:trHeight w:val="486"/>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352,257</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351,869</w:t>
            </w:r>
          </w:p>
        </w:tc>
      </w:tr>
      <w:tr>
        <w:trPr>
          <w:trHeight w:val="594"/>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3,068</w:t>
            </w:r>
          </w:p>
        </w:tc>
      </w:tr>
      <w:tr>
        <w:trPr>
          <w:trHeight w:val="27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1,184</w:t>
            </w:r>
          </w:p>
        </w:tc>
      </w:tr>
      <w:tr>
        <w:trPr>
          <w:trHeight w:val="27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5,462</w:t>
            </w:r>
          </w:p>
        </w:tc>
      </w:tr>
      <w:tr>
        <w:trPr>
          <w:trHeight w:val="270"/>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30,737</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30,737</w:t>
            </w:r>
          </w:p>
        </w:tc>
      </w:tr>
      <w:tr>
        <w:trPr>
          <w:trHeight w:val="486"/>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361,971</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(4,119)</w:t>
            </w: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32,588</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390,492</w:t>
            </w:r>
          </w:p>
        </w:tc>
      </w:tr>
      <w:tr>
        <w:trPr>
          <w:trHeight w:val="594"/>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4"/>
                <w:szCs w:val="24"/>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2,597</w:t>
            </w:r>
          </w:p>
        </w:tc>
      </w:tr>
      <w:tr>
        <w:trPr>
          <w:trHeight w:val="270"/>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3"/>
                <w:szCs w:val="23"/>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828</w:t>
            </w:r>
          </w:p>
        </w:tc>
      </w:tr>
      <w:tr>
        <w:trPr>
          <w:trHeight w:val="270"/>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28,011</w:t>
            </w:r>
          </w:p>
        </w:tc>
        <w:tc>
          <w:tcPr>
            <w:tcW w:w="1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28,011</w:t>
            </w:r>
          </w:p>
        </w:tc>
      </w:tr>
      <w:tr>
        <w:trPr>
          <w:trHeight w:val="486"/>
        </w:trPr>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30"/>
              <w:spacing w:after="0"/>
              <w:rPr>
                <w:sz w:val="20"/>
                <w:szCs w:val="20"/>
                <w:color w:val="auto"/>
              </w:rPr>
            </w:pPr>
            <w:r>
              <w:rPr>
                <w:rFonts w:ascii="Arial" w:cs="Arial" w:eastAsia="Arial" w:hAnsi="Arial"/>
                <w:sz w:val="18"/>
                <w:szCs w:val="18"/>
                <w:color w:val="auto"/>
              </w:rPr>
              <w:t>365,396</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60,599</w:t>
            </w:r>
          </w:p>
        </w:tc>
        <w:tc>
          <w:tcPr>
            <w:tcW w:w="12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421,936</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-4587240</wp:posOffset>
            </wp:positionV>
            <wp:extent cx="716915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18034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-4236085</wp:posOffset>
            </wp:positionV>
            <wp:extent cx="71691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-3755390</wp:posOffset>
            </wp:positionV>
            <wp:extent cx="716915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30861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-3275330</wp:posOffset>
            </wp:positionV>
            <wp:extent cx="71691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-2795270</wp:posOffset>
            </wp:positionV>
            <wp:extent cx="716915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18034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-2409190</wp:posOffset>
            </wp:positionV>
            <wp:extent cx="71691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-2066290</wp:posOffset>
            </wp:positionV>
            <wp:extent cx="71691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-1723390</wp:posOffset>
            </wp:positionV>
            <wp:extent cx="716915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30861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-1234440</wp:posOffset>
            </wp:positionV>
            <wp:extent cx="716915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20574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-857250</wp:posOffset>
            </wp:positionV>
            <wp:extent cx="71691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-513715</wp:posOffset>
            </wp:positionV>
            <wp:extent cx="716915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100"/>
            <w:col w:w="5700"/>
          </w:cols>
          <w:pgMar w:left="24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accompanying notes.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79,927</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85,100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Noncash operating lease cost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Amortization of premium/discount on marketable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Noncash royalty revenue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(6,233)</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16,344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(10,687)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3,066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product returns and rebates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17,627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5,966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99,338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96,137</w:t>
            </w:r>
          </w:p>
        </w:tc>
      </w:tr>
      <w:tr>
        <w:trPr>
          <w:trHeight w:val="115"/>
        </w:trPr>
        <w:tc>
          <w:tcPr>
            <w:tcW w:w="85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(361,121)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(491,654)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184,467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legal fees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(447,810)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15"/>
        </w:trPr>
        <w:tc>
          <w:tcPr>
            <w:tcW w:w="8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notes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Convertible notes issuance financing costs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(10,435)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warrants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65,688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convertible note hedges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(92,897)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375,187</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15"/>
        </w:trPr>
        <w:tc>
          <w:tcPr>
            <w:tcW w:w="8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(75,359)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23,514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100,304</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116,889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123,818</w:t>
            </w:r>
          </w:p>
        </w:tc>
      </w:tr>
      <w:tr>
        <w:trPr>
          <w:trHeight w:val="67"/>
        </w:trPr>
        <w:tc>
          <w:tcPr>
            <w:tcW w:w="85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02"/>
        </w:trPr>
        <w:tc>
          <w:tcPr>
            <w:tcW w:w="8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interest on convertible notes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35,933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29,930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22"/>
        </w:trPr>
        <w:tc>
          <w:tcPr>
            <w:tcW w:w="85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legal fees and fixed assets included in accounts payable and accrued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and equipment acquired under build-to-suit lease transaction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capitalized during construction period for build-to-suit lease transaction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Facility lease financing obligation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2,347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treatment of epilepsy. The Company has several proprietary product candidates in clinical development that address opportunities in the CNS market.</w:t>
      </w:r>
    </w:p>
    <w:p>
      <w:pPr>
        <w:spacing w:after="0" w:line="13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Company launched Oxtellar XR and Trokendi XR for the treatment of epilepsy in 2013, launched Trokendi XR for the prophylaxis of migraine headache in adolescents and adults in April 2017, and launched Oxtellar XR with an expanded indication to include monotherapy for partial seizures in January 2019.</w:t>
      </w:r>
    </w:p>
    <w:p>
      <w:pPr>
        <w:spacing w:after="0" w:line="137" w:lineRule="exact"/>
        <w:rPr>
          <w:sz w:val="20"/>
          <w:szCs w:val="20"/>
          <w:color w:val="auto"/>
        </w:rPr>
      </w:pPr>
    </w:p>
    <w:p>
      <w:pPr>
        <w:ind w:right="7700" w:firstLine="8"/>
        <w:spacing w:after="0" w:line="456" w:lineRule="auto"/>
        <w:tabs>
          <w:tab w:leader="none" w:pos="3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660" w:firstLine="648"/>
        <w:spacing w:after="0" w:line="312" w:lineRule="auto"/>
        <w:rPr>
          <w:sz w:val="20"/>
          <w:szCs w:val="20"/>
          <w:color w:val="auto"/>
        </w:rPr>
      </w:pPr>
      <w:r>
        <w:rPr>
          <w:rFonts w:ascii="Arial" w:cs="Arial" w:eastAsia="Arial" w:hAnsi="Arial"/>
          <w:sz w:val="16"/>
          <w:szCs w:val="16"/>
          <w:color w:val="auto"/>
        </w:rPr>
        <w:t>The Company’s condensed consolidated financial statements include the accounts of Supernus Pharmaceuticals, Inc., Supernus Europe Ltd., Biscayne Neurotherapeutics, Inc. and its wholly-owned subsidiary, Biscayne Neurotherapeutics Australia Pty Ltd., collectively referred to herein as “Supernus” or “the Company.” All significant intercompany transactions and balances have been eliminated in consolidation.</w:t>
      </w:r>
    </w:p>
    <w:p>
      <w:pPr>
        <w:spacing w:after="0" w:line="1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financial statements should be read in conjunction with the Company’s most recent Annual Report on Form 10-K for the year ended December 31, 2018, filed with the SEC.</w:t>
      </w:r>
    </w:p>
    <w:p>
      <w:pPr>
        <w:spacing w:after="0" w:line="14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bases its estimates on: historical experience; various forecasts; information received from its service providers; and other assumptions that the Company believes are reasonable under the circumstances. Actual results could differ materially from the Company’s estimates. The Company evaluates the methodologies employed in its estimates on an ongoing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recognizes revenue when physical control of goods or provision of services are transferred to the Company’s customers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contract assets or liabilities recorded as of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Company’s customers, who are primarily pharmaceutical wholesalers and distributors, purchase product to fulfill orders from retail pharmacy chains and independent pharmacies of varying size and purchasing power. The Company recognizes gross revenue when its products are physically received by its customers after shipment from a third party fulfillment center. Customers take control of the products, including title and ownership, upon physical receipt of our products at the customers' facilities.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Product sales are recorded net of various forms of variable consideration, including: estimated liability for rebates; an estimated liability for future product returns; and an estimated allowance for discounts. These are collectively considered "sales deductions."</w:t>
      </w:r>
    </w:p>
    <w:p>
      <w:pPr>
        <w:spacing w:after="0" w:line="13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As described below, variability in the net transaction price for the Company’s products arises primarily from sales deductions and significant judgment is required in estimating sales deductions. In making these estimates, the Company considers: historical experience; product price increases; current contract prices under applicable programs; unbilled claims; processing time lags; and inventory levels in the distribution channel. The Company adjusts its estimates of revenue either when the most likely amount of consideration it expects to receive changes, or when the consideration becomes fixed.</w:t>
      </w:r>
    </w:p>
    <w:p>
      <w:pPr>
        <w:spacing w:after="0" w:line="11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If actual results in the future vary from the estimates, the Company adjusts these estimates. These adjustments could materially affect net product sales and earnings in the period that such adjustments are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product sales net of the following sales deductions:</w:t>
      </w:r>
    </w:p>
    <w:p>
      <w:pPr>
        <w:spacing w:after="0" w:line="18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Rebates are discounts which the Company pays under either public sector or private sector health care programs. Public sector rebate</w:t>
      </w:r>
    </w:p>
    <w:p>
      <w:pPr>
        <w:spacing w:after="0" w:line="46" w:lineRule="exact"/>
        <w:rPr>
          <w:rFonts w:ascii="Arial" w:cs="Arial" w:eastAsia="Arial" w:hAnsi="Arial"/>
          <w:sz w:val="16"/>
          <w:szCs w:val="16"/>
          <w:color w:val="auto"/>
        </w:rPr>
      </w:pPr>
    </w:p>
    <w:p>
      <w:pPr>
        <w:ind w:left="660" w:right="60"/>
        <w:spacing w:after="0" w:line="253" w:lineRule="auto"/>
        <w:rPr>
          <w:rFonts w:ascii="Arial" w:cs="Arial" w:eastAsia="Arial" w:hAnsi="Arial"/>
          <w:sz w:val="16"/>
          <w:szCs w:val="16"/>
          <w:color w:val="auto"/>
        </w:rPr>
      </w:pPr>
      <w:r>
        <w:rPr>
          <w:rFonts w:ascii="Arial" w:cs="Arial" w:eastAsia="Arial" w:hAnsi="Arial"/>
          <w:sz w:val="18"/>
          <w:szCs w:val="18"/>
          <w:color w:val="auto"/>
        </w:rPr>
        <w:t>programs encompass: various Medicaid drug rebate programs; Medicare coverage gap programs; and programs covering public health service institutions and government entities. All federal employees and agencies purchase drugs under the Federal Supply Schedule. Private sector rebate programs include: contractual agreements with managed care providers, under which the Company pays fees to gain access to that provider’s patient drug formulary; and Company sponsored programs, under which the Company defrays or eliminates patient co-payment charges that the patient would otherwise pay to their managed care provider.</w:t>
      </w:r>
    </w:p>
    <w:p>
      <w:pPr>
        <w:spacing w:after="0" w:line="151" w:lineRule="exact"/>
        <w:rPr>
          <w:sz w:val="20"/>
          <w:szCs w:val="20"/>
          <w:color w:val="auto"/>
        </w:rPr>
      </w:pPr>
    </w:p>
    <w:p>
      <w:pPr>
        <w:ind w:left="660" w:right="360" w:firstLine="648"/>
        <w:spacing w:after="0" w:line="277" w:lineRule="auto"/>
        <w:rPr>
          <w:sz w:val="20"/>
          <w:szCs w:val="20"/>
          <w:color w:val="auto"/>
        </w:rPr>
      </w:pPr>
      <w:r>
        <w:rPr>
          <w:rFonts w:ascii="Arial" w:cs="Arial" w:eastAsia="Arial" w:hAnsi="Arial"/>
          <w:sz w:val="18"/>
          <w:szCs w:val="18"/>
          <w:color w:val="auto"/>
        </w:rPr>
        <w:t>Rebates paid under public sector programs are generally mandated under law, whereas private sector rebates are generally contractually negotiated by the Company with managed care providers.</w:t>
      </w:r>
    </w:p>
    <w:p>
      <w:pPr>
        <w:spacing w:after="0" w:line="130" w:lineRule="exact"/>
        <w:rPr>
          <w:sz w:val="20"/>
          <w:szCs w:val="20"/>
          <w:color w:val="auto"/>
        </w:rPr>
      </w:pPr>
    </w:p>
    <w:p>
      <w:pPr>
        <w:ind w:left="660" w:right="240" w:firstLine="810"/>
        <w:spacing w:after="0" w:line="293" w:lineRule="auto"/>
        <w:rPr>
          <w:sz w:val="20"/>
          <w:szCs w:val="20"/>
          <w:color w:val="auto"/>
        </w:rPr>
      </w:pPr>
      <w:r>
        <w:rPr>
          <w:rFonts w:ascii="Arial" w:cs="Arial" w:eastAsia="Arial" w:hAnsi="Arial"/>
          <w:sz w:val="16"/>
          <w:szCs w:val="16"/>
          <w:color w:val="auto"/>
        </w:rPr>
        <w:t>Rebates are owed upon dispensing our product to a patient; i.e., filling a prescription. The accrual balance for rebates consists of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to cover prescriptions dispensed in past quarters, but for which no invoice has been received. Third, the accrual balance includes an estimate for rebates that will be prospectively owed, for prescriptions filled in future quarters. This pertains to product that has been sold to wholesalers or distributors, and which resides either as wholesaler/distributor inventory, or as inventory held at pharmacies.</w:t>
      </w:r>
    </w:p>
    <w:p>
      <w:pPr>
        <w:spacing w:after="0" w:line="124" w:lineRule="exact"/>
        <w:rPr>
          <w:sz w:val="20"/>
          <w:szCs w:val="20"/>
          <w:color w:val="auto"/>
        </w:rPr>
      </w:pPr>
    </w:p>
    <w:p>
      <w:pPr>
        <w:ind w:left="660" w:right="100" w:firstLine="810"/>
        <w:spacing w:after="0" w:line="271" w:lineRule="auto"/>
        <w:rPr>
          <w:sz w:val="20"/>
          <w:szCs w:val="20"/>
          <w:color w:val="auto"/>
        </w:rPr>
      </w:pPr>
      <w:r>
        <w:rPr>
          <w:rFonts w:ascii="Arial" w:cs="Arial" w:eastAsia="Arial" w:hAnsi="Arial"/>
          <w:sz w:val="17"/>
          <w:szCs w:val="17"/>
          <w:color w:val="auto"/>
        </w:rPr>
        <w:t xml:space="preserve">The Company’s estimates of expected rebate claims vary by program and by type of customer, because the period from the date at which the prescription is filled to the date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 assistance programs; and anticipated changes in program utilization rates (i.e., patient participation rates under a specific program). The Company records an estimated liability for rebates at the time the customer takes title to the product (i.e., at the time of sale to wholesalers/distributors), and records this liability as a reduction to gross product sales and an increase in </w:t>
      </w:r>
      <w:r>
        <w:rPr>
          <w:rFonts w:ascii="Arial" w:cs="Arial" w:eastAsia="Arial" w:hAnsi="Arial"/>
          <w:sz w:val="17"/>
          <w:szCs w:val="17"/>
          <w:i w:val="1"/>
          <w:iCs w:val="1"/>
          <w:color w:val="auto"/>
        </w:rPr>
        <w:t>Accrued product returns and rebates</w:t>
      </w:r>
      <w:r>
        <w:rPr>
          <w:rFonts w:ascii="Arial" w:cs="Arial" w:eastAsia="Arial" w:hAnsi="Arial"/>
          <w:sz w:val="17"/>
          <w:szCs w:val="17"/>
          <w:color w:val="auto"/>
        </w:rPr>
        <w:t xml:space="preserve"> in current liabilities on its condensed consolidated balance sheets.</w:t>
      </w:r>
    </w:p>
    <w:p>
      <w:pPr>
        <w:spacing w:after="0" w:line="138" w:lineRule="exact"/>
        <w:rPr>
          <w:sz w:val="20"/>
          <w:szCs w:val="20"/>
          <w:color w:val="auto"/>
        </w:rPr>
      </w:pPr>
    </w:p>
    <w:p>
      <w:pPr>
        <w:jc w:val="both"/>
        <w:ind w:left="660" w:firstLine="810"/>
        <w:spacing w:after="0" w:line="264" w:lineRule="auto"/>
        <w:rPr>
          <w:sz w:val="20"/>
          <w:szCs w:val="20"/>
          <w:color w:val="auto"/>
        </w:rPr>
      </w:pPr>
      <w:r>
        <w:rPr>
          <w:rFonts w:ascii="Arial" w:cs="Arial" w:eastAsia="Arial" w:hAnsi="Arial"/>
          <w:sz w:val="18"/>
          <w:szCs w:val="18"/>
          <w:color w:val="auto"/>
        </w:rPr>
        <w:t>The sensitivity of the Company’s estimates varies by program and by type of customer. If actual rebates vary from estimated amounts, the Company will adjust the balances of such accrued rebates to reflect actual experience with respect to these programs. These changes could materially affect the estimated liability balance, net product sales and earnings in the period of adjustment.</w:t>
      </w:r>
    </w:p>
    <w:p>
      <w:pPr>
        <w:spacing w:after="0" w:line="141" w:lineRule="exact"/>
        <w:rPr>
          <w:sz w:val="20"/>
          <w:szCs w:val="20"/>
          <w:color w:val="auto"/>
        </w:rPr>
      </w:pPr>
    </w:p>
    <w:p>
      <w:pPr>
        <w:ind w:left="660" w:right="40" w:hanging="328"/>
        <w:spacing w:after="0" w:line="279"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Returns</w:t>
      </w:r>
      <w:r>
        <w:rPr>
          <w:rFonts w:ascii="Arial" w:cs="Arial" w:eastAsia="Arial" w:hAnsi="Arial"/>
          <w:sz w:val="17"/>
          <w:szCs w:val="17"/>
          <w:color w:val="auto"/>
        </w:rPr>
        <w:t>: Sale of the Company’s products are not subject to a general right of return. However, the Company will accept return of product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damaged or defective when shipped from its third party fulfillment center. In addition, the Company will accept return of expired product six months prior to and up to 12 months subsequent to the product’s expiry date. Expired or defective returned product cannot be re-sold and is therefore destroyed. Product that has been used to fill patient prescriptions is no longer subject to any right of return.</w:t>
      </w:r>
    </w:p>
    <w:p>
      <w:pPr>
        <w:spacing w:after="0" w:line="131" w:lineRule="exact"/>
        <w:rPr>
          <w:sz w:val="20"/>
          <w:szCs w:val="20"/>
          <w:color w:val="auto"/>
        </w:rPr>
      </w:pPr>
    </w:p>
    <w:p>
      <w:pPr>
        <w:ind w:left="660" w:right="40" w:firstLine="810"/>
        <w:spacing w:after="0" w:line="277" w:lineRule="auto"/>
        <w:rPr>
          <w:sz w:val="20"/>
          <w:szCs w:val="20"/>
          <w:color w:val="auto"/>
        </w:rPr>
      </w:pPr>
      <w:r>
        <w:rPr>
          <w:rFonts w:ascii="Arial" w:cs="Arial" w:eastAsia="Arial" w:hAnsi="Arial"/>
          <w:sz w:val="18"/>
          <w:szCs w:val="18"/>
          <w:color w:val="auto"/>
        </w:rPr>
        <w:t xml:space="preserve">The Company records an estimated liability for product returns at the time the customer takes title to the product (i.e., at time of sale) as a reduction to gross product sales and an increase in </w:t>
      </w:r>
      <w:r>
        <w:rPr>
          <w:rFonts w:ascii="Arial" w:cs="Arial" w:eastAsia="Arial" w:hAnsi="Arial"/>
          <w:sz w:val="18"/>
          <w:szCs w:val="18"/>
          <w:i w:val="1"/>
          <w:iCs w:val="1"/>
          <w:color w:val="auto"/>
        </w:rPr>
        <w:t>Accrued product returns and rebates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 current liabilities on the condensed consolidated balance sheets. The Company estimates the liability for returns based on the actual returns experience for its two commercial products, in conjunction with industry experience for return of similar products (i.e., ambient temperature storage for oral formulations). Because the Company’s products have not reached maturity, the return rate of its products has and is expected to continue to vary.</w:t>
      </w:r>
    </w:p>
    <w:p>
      <w:pPr>
        <w:spacing w:after="0" w:line="146" w:lineRule="exact"/>
        <w:rPr>
          <w:sz w:val="20"/>
          <w:szCs w:val="20"/>
          <w:color w:val="auto"/>
        </w:rPr>
      </w:pPr>
    </w:p>
    <w:p>
      <w:pPr>
        <w:ind w:left="660" w:right="80" w:firstLine="810"/>
        <w:spacing w:after="0" w:line="273" w:lineRule="auto"/>
        <w:rPr>
          <w:sz w:val="20"/>
          <w:szCs w:val="20"/>
          <w:color w:val="auto"/>
        </w:rPr>
      </w:pPr>
      <w:r>
        <w:rPr>
          <w:rFonts w:ascii="Arial" w:cs="Arial" w:eastAsia="Arial" w:hAnsi="Arial"/>
          <w:sz w:val="17"/>
          <w:szCs w:val="17"/>
          <w:color w:val="auto"/>
        </w:rPr>
        <w:t>The Company’s products have a shelf life of 48 months from date of manufacture. Because of the extended shelf life, coupled with its return policy, there typically is a significant time lag between the time at which the product is sold and when the Company issues credit on expired product. Because the Company’s policy generally permits product returns to be processed at current wholesaler price rather than historical acquisition price, the Company’s estimated liability for product returns is affected by price increases taken subsequent to the date of sale. Therefore, price increase(s) taken during the current period increase(s) the liability for product returns because they affect the estimated liability for product returns for both sales made in the current period as well as sales made in prior periods.</w:t>
      </w:r>
    </w:p>
    <w:p>
      <w:pPr>
        <w:spacing w:after="0" w:line="138" w:lineRule="exact"/>
        <w:rPr>
          <w:sz w:val="20"/>
          <w:szCs w:val="20"/>
          <w:color w:val="auto"/>
        </w:rPr>
      </w:pPr>
    </w:p>
    <w:p>
      <w:pPr>
        <w:ind w:left="660" w:right="580" w:firstLine="810"/>
        <w:spacing w:after="0" w:line="277" w:lineRule="auto"/>
        <w:rPr>
          <w:sz w:val="20"/>
          <w:szCs w:val="20"/>
          <w:color w:val="auto"/>
        </w:rPr>
      </w:pPr>
      <w:r>
        <w:rPr>
          <w:rFonts w:ascii="Arial" w:cs="Arial" w:eastAsia="Arial" w:hAnsi="Arial"/>
          <w:sz w:val="18"/>
          <w:szCs w:val="18"/>
          <w:color w:val="auto"/>
        </w:rPr>
        <w:t>When the Company adjusts its estimates for product returns, either favorably or unfavorably, this adjustment affects the estimated liability, product sales and earnings in the period of adjustment.</w:t>
      </w:r>
    </w:p>
    <w:p>
      <w:pPr>
        <w:spacing w:after="0" w:line="130" w:lineRule="exact"/>
        <w:rPr>
          <w:sz w:val="20"/>
          <w:szCs w:val="20"/>
          <w:color w:val="auto"/>
        </w:rPr>
      </w:pPr>
    </w:p>
    <w:p>
      <w:pPr>
        <w:ind w:left="660" w:right="24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Sales discounts</w:t>
      </w:r>
      <w:r>
        <w:rPr>
          <w:rFonts w:ascii="Arial" w:cs="Arial" w:eastAsia="Arial" w:hAnsi="Arial"/>
          <w:sz w:val="17"/>
          <w:szCs w:val="17"/>
          <w:color w:val="auto"/>
        </w:rPr>
        <w:t>: Distributors and wholesalers of the Company's pharmaceutical products are generally offered various forms of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 and wholesaler are offered a prompt pay discount for payment within a specified period.</w:t>
      </w:r>
    </w:p>
    <w:p>
      <w:pPr>
        <w:spacing w:after="0" w:line="131" w:lineRule="exact"/>
        <w:rPr>
          <w:sz w:val="20"/>
          <w:szCs w:val="20"/>
          <w:color w:val="auto"/>
        </w:rPr>
      </w:pPr>
    </w:p>
    <w:p>
      <w:pPr>
        <w:ind w:left="660" w:right="800" w:firstLine="648"/>
        <w:spacing w:after="0" w:line="277" w:lineRule="auto"/>
        <w:rPr>
          <w:sz w:val="20"/>
          <w:szCs w:val="20"/>
          <w:color w:val="auto"/>
        </w:rPr>
      </w:pPr>
      <w:r>
        <w:rPr>
          <w:rFonts w:ascii="Arial" w:cs="Arial" w:eastAsia="Arial" w:hAnsi="Arial"/>
          <w:sz w:val="18"/>
          <w:szCs w:val="18"/>
          <w:color w:val="auto"/>
        </w:rPr>
        <w:t xml:space="preserve">The Company accounts for these discounts at the time of sale, as a reduction to gross product sales, and records these amounts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condensed consolidated balance sheets.</w:t>
      </w:r>
    </w:p>
    <w:p>
      <w:pPr>
        <w:spacing w:after="0" w:line="130" w:lineRule="exact"/>
        <w:rPr>
          <w:sz w:val="20"/>
          <w:szCs w:val="20"/>
          <w:color w:val="auto"/>
        </w:rPr>
      </w:pPr>
    </w:p>
    <w:p>
      <w:pPr>
        <w:ind w:left="660" w:right="320" w:firstLine="648"/>
        <w:spacing w:after="0" w:line="277" w:lineRule="auto"/>
        <w:rPr>
          <w:sz w:val="20"/>
          <w:szCs w:val="20"/>
          <w:color w:val="auto"/>
        </w:rPr>
      </w:pPr>
      <w:r>
        <w:rPr>
          <w:rFonts w:ascii="Arial" w:cs="Arial" w:eastAsia="Arial" w:hAnsi="Arial"/>
          <w:sz w:val="18"/>
          <w:szCs w:val="18"/>
          <w:color w:val="auto"/>
        </w:rPr>
        <w:t>Customer orders are generally fulfilled within a few days of receipt, resulting in minimal order backlog. There are no minimum product purchase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has entered into collaboration agreements to commercialize both Oxtellar XR and Trokendi XR outside of the U.S., which agreements include the right to use the Company’s intellectual property as a functional license. These agreements generally include an up-front license fee and ongoing milestone payments upon the achievement of specific events. These agreements may also require minimum royalty payments, based on sales of products developed from the applicable intellectual property.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Up-front license fees are recognized once the license has been executed between the Company and its licensee.</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Milestones are a form of variable consideration that are recognized when either the underlying events have transpired (i.e., event-based milestone) or when the sales-based targets have been met by the collaborative partner (i.e., sales-based milestone). Both types of milestone payments are nonrefundable. The Company evaluates whether achieving the milestone is considered probable and estimates the amount of the milestone to be included in the transaction price using the most likely amount method. The value of the associated milestone is not included in the transaction price if it is probable that a significant revenue reversal would occur. This estimation is based on management’s judgment, including assessing factors that are outside of the Company’s influence, such as: likelihood of regulatory success; availability of third party information; and expected time period until achievement of the event. These factors are evaluated based on the specific facts and circumstances.</w:t>
      </w:r>
    </w:p>
    <w:p>
      <w:pPr>
        <w:spacing w:after="0" w:line="13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Event-based milestones are recognized in the period that the related event, such as regulatory approval, occurs. Milestone payments that are not within the control of the Company, such as approval from regulatory authorities, or where attainment of the specified event is dependent on the success of a third-party are not considered probable until the specified event occurs. Sales-based milestones are recognized as revenue only when the sales-based target is achieved. Revenue is recognized from the satisfaction of performance obligations in the amount billable to the customer.</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guaranteed minimum amounts are owed to the Company related to license and collaboration agreements.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Revenues</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The Company recognizes noncash royalty revenue for amounts earned pursuant to a royalty agreement with United Therapeutics Corporation (United Therapeutics), which agreement includes the right to use the Company’s intellectual property as a functional license. In 2014, the Company sold certain of these royalty rights to Healthcare Royalty Partners III, L.P. (HC Royalty) (see Note 17,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Accordingly, the Company records noncash royalty revenue based on estimated product sales by United Therapeutics, in which sales of United Therapeutics' product results in payments made from United Therapeutics to HC Royalty in connection with these agreements.</w:t>
      </w:r>
    </w:p>
    <w:p>
      <w:pPr>
        <w:spacing w:after="0" w:line="13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Royalty revenue also includes royalty amounts received from collaboration partners, including from Shire Plc (Shire, a subsidiary of Takeda Pharmaceutical Company Ltd), based on net product sales of Shire’s product, Mydayis, in the current period. Royalty revenue is only recognized when the underlying product sale by Shire occurs. The Shire arrangement also includes Shire's right to use the Company’s intellectual property as a functional license.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any royalty revenue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Research and development expenditures are expensed as incurred. These expenses include: salaries, benefits and share-based compensation; contract research and development services provided by third parties; costs for preclinical and clinical studies; the cost of acquiring or manufacturing clinical trial material; regulatory costs; facilities costs; depreciation expense and other allocated expenses; and license fees and milestone payments related to in-licensed products and technologies. Assets acquired that are used for research and development and that have no future alternative use are expensed as in-process research and development.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Study and Clinical Trial Accruals</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estimates preclinical study and clinical trial expenses based on the services performed pursuant to contracts with research institutions, clinical investigators, clinical research organizations (CROs) and other service providers that conduct activities on the Company’s behalf. In recording service fees, the Company estimates the time period over which the related services are performed and compares the level of effort expended through the end of each period with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recognizes share-based compensation expense over the service period using the straight-line method. Employee share-based compensation is measured based on estimated fair value as of the grant date. The Company uses the Black-Scholes option-pricing model in calculating the fair value of option grants as of the grant date. The Company uses the following assumptions for estimating fair value of option grants:</w:t>
      </w:r>
    </w:p>
    <w:p>
      <w:pPr>
        <w:spacing w:after="0" w:line="10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common stock underlying the option grants is determined based on observable market prices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common stock.</w:t>
      </w:r>
    </w:p>
    <w:p>
      <w:pPr>
        <w:spacing w:after="0" w:line="13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—Volatility is a measure of the amount by which the Company’s share price has fluctuated (i.e.,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(i.e., expected volatility) during a period. Beginning in the first quarter of 2019, the Company began using the historical volatility of its common stock to measure expected volatility for future option grants. Prior to the first quarter of 2019, volatility was estimated using the volatility of the common stock of several public entities of similar size, complexity, and stage of development, as well as taking into consideration the Company’s actual volatility since the Company’s IPO in 2012.</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—This is the period of time during which options are expected to remain unexercised. Options have a maximum contractual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 Beginning in the first quarter of 2019, the Company began estimating the average expected life of stock options using its historical experience. Prior to the first quarter of 2019, the Company determined the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average expected life of stock options according to the “simplified method”, as described in Staff Accounting Bulletin 110, which is the mid-point between the vesting date and the end of the contractual term.</w:t>
      </w:r>
    </w:p>
    <w:p>
      <w:pPr>
        <w:spacing w:after="0" w:line="13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U.S. Treasury Note rate as of the week each option grant is issued, with a term that most closely resembles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Forfeiture Rate</w:t>
      </w:r>
      <w:r>
        <w:rPr>
          <w:rFonts w:ascii="Arial" w:cs="Arial" w:eastAsia="Arial" w:hAnsi="Arial"/>
          <w:sz w:val="18"/>
          <w:szCs w:val="18"/>
          <w:color w:val="auto"/>
        </w:rPr>
        <w:t>—Forfeitures are accounted for as they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w:t>
      </w:r>
    </w:p>
    <w:p>
      <w:pPr>
        <w:spacing w:after="0" w:line="18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January 1, 2019, the Company self-insures its employee medical insurance liability. The self-insurance liability is undiscounted and is determined actuarially. It is based on claims filed, historical and industry claims experience, and an estimate of claims incurred but not yet paid. The Company has established stop-loss amounts that limit the Company’s further exposure after a claim reaches the designated stop-loss threshold, which effectively transfers any additional liability to a third party. The stop-loss limit for self-insured employee medical claims is $150,000 per employee per year.</w:t>
      </w:r>
    </w:p>
    <w:p>
      <w:pPr>
        <w:spacing w:after="0" w:line="11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The Company recorded self-insurance liability of approximately $500,000 as of September 30, 2019 in </w:t>
      </w:r>
      <w:r>
        <w:rPr>
          <w:rFonts w:ascii="Arial" w:cs="Arial" w:eastAsia="Arial" w:hAnsi="Arial"/>
          <w:sz w:val="18"/>
          <w:szCs w:val="18"/>
          <w:i w:val="1"/>
          <w:iCs w:val="1"/>
          <w:color w:val="auto"/>
        </w:rPr>
        <w:t>Accrued expenses and other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on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Advertising expense includes costs of promotional materials and activities, such as marketing materials, marketing programs and speaker programs.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costs of the Company’s advertising efforts are expensed as incurred.</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The Company incurred approximately $11.3 million and $32.5 million in advertising costs for the three and nine months ended September 30, 2019, respectively, and approximately $11.6 million and $30.5 million in advertising costs for the three and nine months ended September 30, 2018, respectively. These expenses are recorded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in the condensed consolidated statements of earnings.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ind w:right="380" w:firstLine="648"/>
        <w:spacing w:after="0" w:line="273"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and its related amendments (New Lease Standard). The New Lease Standard requires a lessee to recognize a right-of-use lease asset and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lease liability on the balance sheet. The Company adopted the New Lease Standard on January 1, 2019 using the modified retrospective method, which applies the provision of the New Lease Standard at the effective date without adjusting comparative periods presented. In addition, the Company elected the package of practical expedients permitted under the transition guidance within the New Lease Standard which, among other things, allows the Company to carry forward the historical lease classification.</w:t>
      </w:r>
    </w:p>
    <w:p>
      <w:pPr>
        <w:spacing w:after="0" w:line="138"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The adoption of the New Lease Standard resulted in the recognition of lease assets and lease liabilities for operating leases as of January 1, 2019 of approximately $4.0 million. Financial reporting for periods on or after January 1, 2019 are presented under the new guidance. Prior period amounts are not adjusted and continue to be reported in accordance with previous guidance. The standard did not materially impact the Company’s condensed consolidated net earnings and had no impact on cash flows (see Note 14,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which requires credit losses on financial assets measured on an amortized cost basis to be presented at the net amount expected to be collected, rather than based on incurred losses. Further, credit losses on available-for-sale debt securities should be recorded through an allowance for credit losses, limited to the amount by which fair value is below amortized cost. The new standard also requires enhanced disclosure of credit risk associated with respective assets. The standard is effective for fiscal years beginning after December 15, 2019, for interim and annual periods within those years, with early adoption permitted. The Company is currently assessing the impact of this new standard and expects the adoption of the guidance will not have a material impact on its condensed consolidated financial statements.</w:t>
      </w:r>
    </w:p>
    <w:p>
      <w:pPr>
        <w:spacing w:after="0" w:line="192" w:lineRule="exact"/>
        <w:rPr>
          <w:sz w:val="20"/>
          <w:szCs w:val="20"/>
          <w:color w:val="auto"/>
        </w:rPr>
      </w:pPr>
    </w:p>
    <w:p>
      <w:pPr>
        <w:ind w:right="340" w:firstLine="648"/>
        <w:spacing w:after="0" w:line="293"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That Is a Service Contract</w:t>
      </w:r>
      <w:r>
        <w:rPr>
          <w:rFonts w:ascii="Arial" w:cs="Arial" w:eastAsia="Arial" w:hAnsi="Arial"/>
          <w:sz w:val="18"/>
          <w:szCs w:val="18"/>
          <w:color w:val="auto"/>
        </w:rPr>
        <w:t>, which aligns the requirements for capitalizing implementation costs incurred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 hosting arrangement that is a service contract with the requirements for capitalizing implementation costs incurred to develop or obtain internal-use software (and hosting arrangements that include an internal-use software license). This ASU also requires the entity to expense the capitalized implementation costs of a hosting arrangement that is a service contract over the term of the hosting arrangement, which includes reasonably certain renewals. The standard is effective for the Company in the year ending December 31, 2020, with early adoption permitted. The Company is currently assessing the impact of this new standard and expects the adoption of the guidance will not have a material impact on its condensed consolidated financial statements.</w:t>
      </w:r>
    </w:p>
    <w:p>
      <w:pPr>
        <w:spacing w:after="0" w:line="15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In November 2018, the FASB issued ASU 2018-18, </w:t>
      </w:r>
      <w:r>
        <w:rPr>
          <w:rFonts w:ascii="Arial" w:cs="Arial" w:eastAsia="Arial" w:hAnsi="Arial"/>
          <w:sz w:val="17"/>
          <w:szCs w:val="17"/>
          <w:i w:val="1"/>
          <w:iCs w:val="1"/>
          <w:color w:val="auto"/>
        </w:rPr>
        <w:t>Clarifying the Interaction Between Topic 808 and Topic 606</w:t>
      </w:r>
      <w:r>
        <w:rPr>
          <w:rFonts w:ascii="Arial" w:cs="Arial" w:eastAsia="Arial" w:hAnsi="Arial"/>
          <w:sz w:val="17"/>
          <w:szCs w:val="17"/>
          <w:color w:val="auto"/>
        </w:rPr>
        <w:t>, which clarifies when transactions between participants in a collaborative arrangement are within the scope of the FASB’s revenue standard, Topic 606. The standard is effective for the Company in the year ending December 31, 2020, with early adoption permitted. The Company is currently assessing the impact of this new standard and expects the adoption of the guidance will not have a material impact on its condensed consolidated financial statements.</w:t>
      </w:r>
    </w:p>
    <w:p>
      <w:pPr>
        <w:spacing w:after="0" w:line="12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arm's length market participants.</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reports assets and liabilities measured at fair value using a three level fair value hierarchy that prioritizes the inputs used to measure fair value. The three levels of inputs used to measure fair value are as follows:</w:t>
      </w:r>
    </w:p>
    <w:p>
      <w:pPr>
        <w:spacing w:after="0" w:line="130" w:lineRule="exact"/>
        <w:rPr>
          <w:sz w:val="20"/>
          <w:szCs w:val="20"/>
          <w:color w:val="auto"/>
        </w:rPr>
      </w:pPr>
    </w:p>
    <w:p>
      <w:pPr>
        <w:ind w:left="980" w:right="7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that the Company has the ability to access as of the measurement date.</w:t>
      </w:r>
    </w:p>
    <w:p>
      <w:pPr>
        <w:spacing w:after="0" w:line="129"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are: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(i.e., market corroborated inputs).</w:t>
      </w:r>
    </w:p>
    <w:p>
      <w:pPr>
        <w:spacing w:after="0" w:line="146"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based on the best information available, including the Company’s own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w:t>
      </w:r>
    </w:p>
    <w:p>
      <w:pPr>
        <w:spacing w:after="0" w:line="185"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Company’s financial assets that are required to be measured at fair value on a recurring basis are as follows,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3"/>
              </w:rPr>
              <w:t>Fair Value Measurements at</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gridSpan w:val="4"/>
          </w:tcPr>
          <w:p>
            <w:pPr>
              <w:jc w:val="center"/>
              <w:ind w:right="97"/>
              <w:spacing w:after="0" w:line="149" w:lineRule="exact"/>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879"/>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Total Fair</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Quoted Prices</w:t>
            </w:r>
          </w:p>
        </w:tc>
        <w:tc>
          <w:tcPr>
            <w:tcW w:w="260" w:type="dxa"/>
            <w:vAlign w:val="bottom"/>
          </w:tcPr>
          <w:p>
            <w:pPr>
              <w:spacing w:after="0"/>
              <w:rPr>
                <w:sz w:val="13"/>
                <w:szCs w:val="13"/>
                <w:color w:val="auto"/>
              </w:rPr>
            </w:pPr>
          </w:p>
        </w:tc>
        <w:tc>
          <w:tcPr>
            <w:tcW w:w="11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restart"/>
          </w:tcPr>
          <w:p>
            <w:pPr>
              <w:jc w:val="center"/>
              <w:ind w:right="177"/>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7"/>
                <w:szCs w:val="7"/>
                <w:color w:val="auto"/>
              </w:rPr>
            </w:pPr>
          </w:p>
        </w:tc>
        <w:tc>
          <w:tcPr>
            <w:tcW w:w="15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restart"/>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7"/>
                <w:szCs w:val="7"/>
                <w:color w:val="auto"/>
              </w:rPr>
            </w:pPr>
          </w:p>
        </w:tc>
        <w:tc>
          <w:tcPr>
            <w:tcW w:w="15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vMerge w:val="restart"/>
          </w:tcPr>
          <w:p>
            <w:pPr>
              <w:jc w:val="center"/>
              <w:ind w:right="17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44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4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4480" w:type="dxa"/>
            <w:vAlign w:val="bottom"/>
            <w:tcBorders>
              <w:bottom w:val="single" w:sz="8" w:color="CCEEFF"/>
            </w:tcBorders>
          </w:tcPr>
          <w:p>
            <w:pPr>
              <w:spacing w:after="0"/>
              <w:rPr>
                <w:sz w:val="7"/>
                <w:szCs w:val="7"/>
                <w:color w:val="auto"/>
              </w:rPr>
            </w:pPr>
          </w:p>
        </w:tc>
        <w:tc>
          <w:tcPr>
            <w:tcW w:w="25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116,889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116,889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179,643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179,396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debt securities</w:t>
            </w:r>
          </w:p>
        </w:tc>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Long term marketable securities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585,446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584,990</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U.S. government agency debt securities</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10,996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2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893,517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117,593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775,924</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Fair Value Measurements at</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Total Fair</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3"/>
                <w:szCs w:val="13"/>
                <w:color w:val="auto"/>
              </w:rPr>
            </w:pPr>
          </w:p>
        </w:tc>
        <w:tc>
          <w:tcPr>
            <w:tcW w:w="114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Active Markets</w:t>
            </w:r>
          </w:p>
        </w:tc>
        <w:tc>
          <w:tcPr>
            <w:tcW w:w="220" w:type="dxa"/>
            <w:vAlign w:val="bottom"/>
          </w:tcPr>
          <w:p>
            <w:pPr>
              <w:spacing w:after="0"/>
              <w:rPr>
                <w:sz w:val="12"/>
                <w:szCs w:val="12"/>
                <w:color w:val="auto"/>
              </w:rPr>
            </w:pPr>
          </w:p>
        </w:tc>
        <w:tc>
          <w:tcPr>
            <w:tcW w:w="11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for Identical Assets</w:t>
            </w:r>
          </w:p>
        </w:tc>
        <w:tc>
          <w:tcPr>
            <w:tcW w:w="22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140" w:type="dxa"/>
            <w:vAlign w:val="bottom"/>
          </w:tcPr>
          <w:p>
            <w:pPr>
              <w:jc w:val="center"/>
              <w:ind w:right="158"/>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192,248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192,248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163,770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163,525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415,650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415,205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and municipal debt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775,142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192,939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582,203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assets include cash held at banks, certificates of deposit, money market funds, and investment grade corporate debt securities.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Level 2 assets include commercial paper, investment grade corporate and U.S. government agency, state and municipal debt securities, other fixed income securities and SERP (Supplemental Executive Retirement Plan) assets. Level 2 securities are valued using third-party pricing sources that apply applicable inputs and other relevant data in their models to estimate fair value. The fair 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condensed consolidated balance sheets.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 was recorded for level 3 assets as of September 30, 2019.</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available-for-sale marketable securities held by the Company are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U.S. government agency and municipal debt 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Amortized cost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766,570</w:t>
            </w:r>
          </w:p>
        </w:tc>
        <w:tc>
          <w:tcPr>
            <w:tcW w:w="100" w:type="dxa"/>
            <w:vAlign w:val="bottom"/>
          </w:tcPr>
          <w:p>
            <w:pPr>
              <w:spacing w:after="0"/>
              <w:rPr>
                <w:sz w:val="21"/>
                <w:szCs w:val="21"/>
                <w:color w:val="auto"/>
              </w:rPr>
            </w:pP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586,726</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unrealized gains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Gross unrealized losses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776,250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582,568</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in thousands of dollars: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10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10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179,808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1 year to 2 years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194,063</w:t>
            </w:r>
          </w:p>
        </w:tc>
      </w:tr>
      <w:tr>
        <w:trPr>
          <w:trHeight w:val="27"/>
        </w:trPr>
        <w:tc>
          <w:tcPr>
            <w:tcW w:w="10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 years to 3 years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201,889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3 years to 4 years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200,490</w:t>
            </w:r>
          </w:p>
        </w:tc>
      </w:tr>
      <w:tr>
        <w:trPr>
          <w:trHeight w:val="27"/>
        </w:trPr>
        <w:tc>
          <w:tcPr>
            <w:tcW w:w="10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4 years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101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776,250</w:t>
            </w:r>
          </w:p>
        </w:tc>
      </w:tr>
      <w:tr>
        <w:trPr>
          <w:trHeight w:val="27"/>
        </w:trPr>
        <w:tc>
          <w:tcPr>
            <w:tcW w:w="10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0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experienced any other-than-temporary losses on its marketable securities.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liabilities that are not carried at fair value,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w w:val="91"/>
              </w:rPr>
              <w:t>September 30,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8"/>
        </w:trPr>
        <w:tc>
          <w:tcPr>
            <w:tcW w:w="24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14"/>
                <w:szCs w:val="14"/>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 Notes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341,163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374,828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329,462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375,834</w:t>
            </w:r>
          </w:p>
        </w:tc>
        <w:tc>
          <w:tcPr>
            <w:tcW w:w="0" w:type="dxa"/>
            <w:vAlign w:val="bottom"/>
          </w:tcPr>
          <w:p>
            <w:pPr>
              <w:spacing w:after="0"/>
              <w:rPr>
                <w:sz w:val="1"/>
                <w:szCs w:val="1"/>
                <w:color w:val="auto"/>
              </w:rPr>
            </w:pPr>
          </w:p>
        </w:tc>
      </w:tr>
      <w:tr>
        <w:trPr>
          <w:trHeight w:val="608"/>
        </w:trPr>
        <w:tc>
          <w:tcPr>
            <w:tcW w:w="240" w:type="dxa"/>
            <w:vAlign w:val="bottom"/>
          </w:tcPr>
          <w:p>
            <w:pPr>
              <w:spacing w:after="0"/>
              <w:rPr>
                <w:sz w:val="24"/>
                <w:szCs w:val="24"/>
                <w:color w:val="auto"/>
              </w:rPr>
            </w:pPr>
          </w:p>
        </w:tc>
        <w:tc>
          <w:tcPr>
            <w:tcW w:w="8560" w:type="dxa"/>
            <w:vAlign w:val="bottom"/>
            <w:gridSpan w:val="7"/>
          </w:tcPr>
          <w:p>
            <w:pPr>
              <w:ind w:left="420"/>
              <w:spacing w:after="0"/>
              <w:rPr>
                <w:sz w:val="20"/>
                <w:szCs w:val="20"/>
                <w:color w:val="auto"/>
              </w:rPr>
            </w:pPr>
            <w:r>
              <w:rPr>
                <w:rFonts w:ascii="Arial" w:cs="Arial" w:eastAsia="Arial" w:hAnsi="Arial"/>
                <w:sz w:val="18"/>
                <w:szCs w:val="18"/>
                <w:color w:val="auto"/>
                <w:w w:val="91"/>
              </w:rPr>
              <w:t>The fair value is estimated based on actual trade information as well as quoted prices provided by bond traders.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 w:type="dxa"/>
            <w:vAlign w:val="bottom"/>
          </w:tcPr>
          <w:p>
            <w:pPr>
              <w:spacing w:after="0"/>
              <w:rPr>
                <w:sz w:val="20"/>
                <w:szCs w:val="20"/>
                <w:color w:val="auto"/>
              </w:rPr>
            </w:pPr>
            <w:r>
              <w:rPr>
                <w:rFonts w:ascii="Arial" w:cs="Arial" w:eastAsia="Arial" w:hAnsi="Arial"/>
                <w:sz w:val="18"/>
                <w:szCs w:val="18"/>
                <w:b w:val="1"/>
                <w:bCs w:val="1"/>
                <w:color w:val="auto"/>
              </w:rPr>
              <w:t>4.</w:t>
            </w:r>
          </w:p>
        </w:tc>
        <w:tc>
          <w:tcPr>
            <w:tcW w:w="5820" w:type="dxa"/>
            <w:vAlign w:val="bottom"/>
          </w:tcPr>
          <w:p>
            <w:pPr>
              <w:ind w:left="100"/>
              <w:spacing w:after="0"/>
              <w:rPr>
                <w:sz w:val="20"/>
                <w:szCs w:val="20"/>
                <w:color w:val="auto"/>
              </w:rPr>
            </w:pPr>
            <w:r>
              <w:rPr>
                <w:rFonts w:ascii="Arial" w:cs="Arial" w:eastAsia="Arial" w:hAnsi="Arial"/>
                <w:sz w:val="18"/>
                <w:szCs w:val="18"/>
                <w:b w:val="1"/>
                <w:bCs w:val="1"/>
                <w:color w:val="auto"/>
              </w:rPr>
              <w:t>Inventories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 w:type="dxa"/>
            <w:vAlign w:val="bottom"/>
          </w:tcPr>
          <w:p>
            <w:pPr>
              <w:spacing w:after="0"/>
              <w:rPr>
                <w:sz w:val="24"/>
                <w:szCs w:val="24"/>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rPr>
              <w:t>Inventories consist of the following, in thousands of dollars: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24"/>
                <w:szCs w:val="2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13,183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25,504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25,659</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58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40" w:type="dxa"/>
            <w:vAlign w:val="bottom"/>
            <w:vMerge w:val="continue"/>
          </w:tcPr>
          <w:p>
            <w:pPr>
              <w:spacing w:after="0"/>
              <w:rPr>
                <w:sz w:val="24"/>
                <w:szCs w:val="24"/>
                <w:color w:val="auto"/>
              </w:rPr>
            </w:pPr>
          </w:p>
        </w:tc>
        <w:tc>
          <w:tcPr>
            <w:tcW w:w="5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40" w:type="dxa"/>
            <w:vAlign w:val="bottom"/>
          </w:tcPr>
          <w:p>
            <w:pPr>
              <w:spacing w:after="0"/>
              <w:rPr>
                <w:sz w:val="24"/>
                <w:szCs w:val="24"/>
                <w:color w:val="auto"/>
              </w:rPr>
            </w:pPr>
          </w:p>
        </w:tc>
        <w:tc>
          <w:tcPr>
            <w:tcW w:w="5820" w:type="dxa"/>
            <w:vAlign w:val="bottom"/>
          </w:tcPr>
          <w:p>
            <w:pPr>
              <w:ind w:left="420"/>
              <w:spacing w:after="0"/>
              <w:rPr>
                <w:sz w:val="20"/>
                <w:szCs w:val="20"/>
                <w:color w:val="auto"/>
              </w:rPr>
            </w:pPr>
            <w:r>
              <w:rPr>
                <w:rFonts w:ascii="Arial" w:cs="Arial" w:eastAsia="Arial" w:hAnsi="Arial"/>
                <w:sz w:val="18"/>
                <w:szCs w:val="18"/>
                <w:color w:val="auto"/>
                <w:w w:val="92"/>
              </w:rPr>
              <w:t>Property and equipment consists of the following, in thousands of dollars: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24"/>
                <w:szCs w:val="2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240" w:type="dxa"/>
            <w:vAlign w:val="bottom"/>
          </w:tcPr>
          <w:p>
            <w:pPr>
              <w:spacing w:after="0"/>
              <w:rPr>
                <w:sz w:val="22"/>
                <w:szCs w:val="22"/>
                <w:color w:val="auto"/>
              </w:rPr>
            </w:pPr>
          </w:p>
        </w:tc>
        <w:tc>
          <w:tcPr>
            <w:tcW w:w="5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Lab equipment and furniture</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8,884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22,307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Depreciation and amortization expense on property and equipment was approximately $0.4 million and $1.1 million for the three and nine months ended September 30, 2019, respectively, modestly lower than the approximately $0.6 million and $1.5 million for the three and nine months ended September 30, 2018, respectively.</w:t>
      </w:r>
    </w:p>
    <w:p>
      <w:pPr>
        <w:spacing w:after="0" w:line="14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performs its annual impairment assessment of its property and equipment in the fourth quarter, or earlier if impairment indicators exist. As of September 30, 2019, there were no identified indicators of impairment.</w:t>
      </w:r>
    </w:p>
    <w:p>
      <w:pPr>
        <w:spacing w:after="0" w:line="12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Intangible assets consist of patent defense costs, which are legal fees incurred in conjunction with defending patents for Oxtellar XR and Trokendi XR. The Company amortizes those costs over the useful life of the respective patents.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sets forth the gross carrying amount and related accumulated amortization of the intangible assets, in thousands of dollars: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70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6820" w:type="dxa"/>
            <w:vAlign w:val="bottom"/>
          </w:tcPr>
          <w:p>
            <w:pPr>
              <w:spacing w:after="0"/>
              <w:rPr>
                <w:sz w:val="16"/>
                <w:szCs w:val="16"/>
                <w:color w:val="auto"/>
              </w:rPr>
            </w:pPr>
          </w:p>
        </w:tc>
        <w:tc>
          <w:tcPr>
            <w:tcW w:w="1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2"/>
              </w:rPr>
              <w:t>Average Life</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50"/>
        </w:trPr>
        <w:tc>
          <w:tcPr>
            <w:tcW w:w="68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patent defense costs</w:t>
            </w:r>
          </w:p>
        </w:tc>
        <w:tc>
          <w:tcPr>
            <w:tcW w:w="1700" w:type="dxa"/>
            <w:vAlign w:val="bottom"/>
            <w:tcBorders>
              <w:bottom w:val="single" w:sz="8" w:color="CCEEFF"/>
            </w:tcBorders>
            <w:shd w:val="clear" w:color="auto" w:fill="CCEEFF"/>
          </w:tcPr>
          <w:p>
            <w:pPr>
              <w:jc w:val="center"/>
              <w:ind w:right="22"/>
              <w:spacing w:after="0"/>
              <w:rPr>
                <w:sz w:val="20"/>
                <w:szCs w:val="20"/>
                <w:color w:val="auto"/>
              </w:rPr>
            </w:pPr>
            <w:r>
              <w:rPr>
                <w:rFonts w:ascii="Arial" w:cs="Arial" w:eastAsia="Arial" w:hAnsi="Arial"/>
                <w:sz w:val="18"/>
                <w:szCs w:val="18"/>
                <w:color w:val="auto"/>
                <w:w w:val="88"/>
              </w:rPr>
              <w:t>3.26 - 7.51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43,375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44,724</w:t>
            </w:r>
          </w:p>
        </w:tc>
      </w:tr>
      <w:tr>
        <w:trPr>
          <w:trHeight w:val="243"/>
        </w:trPr>
        <w:tc>
          <w:tcPr>
            <w:tcW w:w="682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(13,356)</w:t>
            </w:r>
          </w:p>
        </w:tc>
      </w:tr>
      <w:tr>
        <w:trPr>
          <w:trHeight w:val="27"/>
        </w:trPr>
        <w:tc>
          <w:tcPr>
            <w:tcW w:w="68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26,101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31,368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Amortization expense on intangible assets was approximately $1.3 million and $3.9 million for the three and nine months ended September 30, 2019, respectively, essentially unchanged as compared to $1.3 million and $3.9 million for the three and nine months ended September 30, 2018, respectively.</w:t>
      </w:r>
    </w:p>
    <w:p>
      <w:pPr>
        <w:spacing w:after="0" w:line="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performs its annual impairment assessment of its intangible assets in the fourth quarter, or earlier, if impairment indicators exist. As of September 30, 2019, there were no identified indicators of impairment.</w:t>
      </w:r>
    </w:p>
    <w:p>
      <w:pPr>
        <w:spacing w:after="0" w:line="12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 of the following,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Accrued clinical trial costs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17,332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14,034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3,706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 liabilities, current</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5,249</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40,800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36,535</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800" w:type="dxa"/>
            <w:vAlign w:val="bottom"/>
          </w:tcPr>
          <w:p>
            <w:pPr>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color w:val="auto"/>
              </w:rPr>
              <w:t xml:space="preserve"> Includes clinical supply and research manufacturing costs.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800" w:type="dxa"/>
            <w:vAlign w:val="bottom"/>
          </w:tcPr>
          <w:p>
            <w:pPr>
              <w:spacing w:after="0"/>
              <w:rPr>
                <w:sz w:val="20"/>
                <w:szCs w:val="20"/>
                <w:color w:val="auto"/>
              </w:rPr>
            </w:pPr>
            <w:r>
              <w:rPr>
                <w:rFonts w:ascii="Arial" w:cs="Arial" w:eastAsia="Arial" w:hAnsi="Arial"/>
                <w:sz w:val="18"/>
                <w:szCs w:val="18"/>
                <w:b w:val="1"/>
                <w:bCs w:val="1"/>
                <w:color w:val="auto"/>
              </w:rPr>
              <w:t>8.  Accrued Product Returns and Rebates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0" w:type="dxa"/>
            <w:vAlign w:val="bottom"/>
          </w:tcPr>
          <w:p>
            <w:pPr>
              <w:ind w:left="660"/>
              <w:spacing w:after="0"/>
              <w:rPr>
                <w:sz w:val="20"/>
                <w:szCs w:val="20"/>
                <w:color w:val="auto"/>
              </w:rPr>
            </w:pPr>
            <w:r>
              <w:rPr>
                <w:rFonts w:ascii="Arial" w:cs="Arial" w:eastAsia="Arial" w:hAnsi="Arial"/>
                <w:sz w:val="18"/>
                <w:szCs w:val="18"/>
                <w:color w:val="auto"/>
              </w:rPr>
              <w:t>Accrued product returns and rebates consist of the following, in thousands of dollars: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24"/>
                <w:szCs w:val="2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product rebates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76,758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85,003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product returns</w:t>
            </w: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21,292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22,060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98,050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Senior Notes Due 2023</w:t>
      </w:r>
    </w:p>
    <w:p>
      <w:pPr>
        <w:spacing w:after="0" w:line="189"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Notes are being amortized to interest expense at an effective interest rate of 5.41% over the contractual term of the 2023 Notes. The Company may not redeem the 2023 Notes at its option before maturity.</w:t>
      </w:r>
    </w:p>
    <w:p>
      <w:pPr>
        <w:spacing w:after="0" w:line="14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restrictions on the payment of dividends, the issuance of other indebtedness, or the issuance or repurchase of securities by the Company.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4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0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5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at the strike price through 2023. The strike price of the Warrant Transactions will initially be $80.9063 per share of the Company’s common stock, and is subject to adjustment.</w:t>
      </w:r>
    </w:p>
    <w:p>
      <w:pPr>
        <w:spacing w:after="0" w:line="14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 The Warrant Transactions are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consists of the following,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14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amount of the 2023 Notes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402,500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(76,434)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Accretion of debt discount and deferred financing costs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8"/>
                <w:szCs w:val="18"/>
                <w:color w:val="auto"/>
                <w:w w:val="98"/>
              </w:rPr>
              <w:t>23,549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carrying value</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341,163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329,462</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No 2023 Notes have been converted as of September 30, 2019.</w:t>
            </w: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tcPr>
          <w:p>
            <w:pPr>
              <w:spacing w:after="0"/>
              <w:rPr>
                <w:sz w:val="20"/>
                <w:szCs w:val="20"/>
                <w:color w:val="auto"/>
              </w:rPr>
            </w:pPr>
            <w:r>
              <w:rPr>
                <w:rFonts w:ascii="Arial" w:cs="Arial" w:eastAsia="Arial" w:hAnsi="Arial"/>
                <w:sz w:val="18"/>
                <w:szCs w:val="18"/>
                <w:b w:val="1"/>
                <w:bCs w:val="1"/>
                <w:color w:val="auto"/>
              </w:rPr>
              <w:t>10. Other Income (Expenses)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tcPr>
          <w:p>
            <w:pPr>
              <w:ind w:left="660"/>
              <w:spacing w:after="0"/>
              <w:rPr>
                <w:sz w:val="20"/>
                <w:szCs w:val="20"/>
                <w:color w:val="auto"/>
              </w:rPr>
            </w:pPr>
            <w:r>
              <w:rPr>
                <w:rFonts w:ascii="Arial" w:cs="Arial" w:eastAsia="Arial" w:hAnsi="Arial"/>
                <w:sz w:val="18"/>
                <w:szCs w:val="18"/>
                <w:color w:val="auto"/>
              </w:rPr>
              <w:t>Other income (expenses) consist of the following, in thousands of dollars: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20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20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4"/>
              </w:rPr>
              <w:t>(unaudited)</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15,657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(13,425)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115"/>
        </w:trPr>
        <w:tc>
          <w:tcPr>
            <w:tcW w:w="69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Interest expense includes noncash interest expense related to amortization of deferred financing costs and amortization of the debt discount in the amount of $4.0 million and $11.7 million for the three and nine months ended September 30, 2019, respectively, as compared to $3.7 million and $8.1 million respectively, for the three and nine months ended September 30,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center"/>
              <w:ind w:right="13"/>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center"/>
              <w:ind w:left="177"/>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1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70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2019</w:t>
            </w:r>
          </w:p>
        </w:tc>
        <w:tc>
          <w:tcPr>
            <w:tcW w:w="1160" w:type="dxa"/>
            <w:vAlign w:val="bottom"/>
            <w:tcBorders>
              <w:bottom w:val="single" w:sz="8" w:color="auto"/>
            </w:tcBorders>
            <w:gridSpan w:val="5"/>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4"/>
          </w:tcPr>
          <w:p>
            <w:pPr>
              <w:jc w:val="center"/>
              <w:ind w:left="177"/>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6"/>
          </w:tcPr>
          <w:p>
            <w:pPr>
              <w:jc w:val="center"/>
              <w:ind w:right="13"/>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40" w:type="dxa"/>
            <w:vAlign w:val="bottom"/>
            <w:tcBorders>
              <w:bottom w:val="single" w:sz="8" w:color="CCEEFF"/>
            </w:tcBorders>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2,128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9,269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6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2,597</w:t>
            </w:r>
          </w:p>
        </w:tc>
        <w:tc>
          <w:tcPr>
            <w:tcW w:w="340" w:type="dxa"/>
            <w:vAlign w:val="bottom"/>
            <w:tcBorders>
              <w:bottom w:val="single" w:sz="8" w:color="CCEEFF"/>
            </w:tcBorders>
            <w:gridSpan w:val="3"/>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11,223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following table summarizes stock option and SAR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33"/>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7"/>
            <w:vMerge w:val="restart"/>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7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46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2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13"/>
              <w:spacing w:after="0"/>
              <w:rPr>
                <w:sz w:val="20"/>
                <w:szCs w:val="20"/>
                <w:color w:val="auto"/>
              </w:rPr>
            </w:pPr>
            <w:r>
              <w:rPr>
                <w:rFonts w:ascii="Arial" w:cs="Arial" w:eastAsia="Arial" w:hAnsi="Arial"/>
                <w:sz w:val="14"/>
                <w:szCs w:val="14"/>
                <w:b w:val="1"/>
                <w:bCs w:val="1"/>
                <w:color w:val="auto"/>
                <w:w w:val="95"/>
              </w:rPr>
              <w:t>Term (in years)</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3,916,963</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36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867,135</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36.63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(97,403)</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13.23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(48,449)</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35.73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September 30, 2019 (unaudited)</w:t>
            </w: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auto"/>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4,638,246</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23.07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December 31, 2018:</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Vested and expected to vest</w:t>
            </w:r>
          </w:p>
        </w:tc>
        <w:tc>
          <w:tcPr>
            <w:tcW w:w="36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3,916,963</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19.98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1,889,947</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97"/>
        </w:trPr>
        <w:tc>
          <w:tcPr>
            <w:tcW w:w="7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2019:</w:t>
            </w: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Vested and expected to vest</w:t>
            </w:r>
          </w:p>
        </w:tc>
        <w:tc>
          <w:tcPr>
            <w:tcW w:w="36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4,638,246</w:t>
            </w:r>
          </w:p>
        </w:tc>
        <w:tc>
          <w:tcPr>
            <w:tcW w:w="4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23.07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Exercisable</w:t>
            </w:r>
          </w:p>
        </w:tc>
        <w:tc>
          <w:tcPr>
            <w:tcW w:w="360" w:type="dxa"/>
            <w:vAlign w:val="bottom"/>
            <w:shd w:val="clear" w:color="auto" w:fill="CCEEFF"/>
          </w:tcPr>
          <w:p>
            <w:pPr>
              <w:spacing w:after="0"/>
              <w:rPr>
                <w:sz w:val="21"/>
                <w:szCs w:val="21"/>
                <w:color w:val="auto"/>
              </w:rPr>
            </w:pP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2,595,276</w:t>
            </w:r>
          </w:p>
        </w:tc>
        <w:tc>
          <w:tcPr>
            <w:tcW w:w="4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3"/>
              </w:rPr>
              <w:t>15.52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89"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stock appreciation rights (SAR), warrants, employee stock purchase plan (ESPP) awards and the 2023 Notes, as determined per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 connection with the issuance of the 2023 Notes, the Company entered into Convertible Note Hedge and Warrant Transactions as described further in Note 9,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The expected collective impact of the Convertible Note Hedge and Warrant Transactions is to reduce the potential dilution that may occur from the actual conversion of the 2023 Notes between the conversion price of $59.33 per share and the strike price of the warrants of $80.9063 per share.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2023 Notes and related Convertible Note Hedge and Warrant Transactions are excluded in the calculation of diluted EPS because their inclusion would be anti-dilutive. The denominator of the diluted EPS calculation excludes additional shares related to the 2023 Notes and warrants since the average price of the Company's common stock was less than the conversion price of the 2023 Notes of $59.33 per share and the strike price of the warrants of $80.9063 per share. Prior to actual conversion for</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purposes of calculating diluted earnings per share, the Convertible Note Hedge Transactions are not considered as their impact would be anti-dilutive.</w:t>
      </w:r>
    </w:p>
    <w:p>
      <w:pPr>
        <w:spacing w:after="0" w:line="23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addition to the above described effect of the 2023 notes and the related Convertible Note Hedge and Warrant Transactions, the Company also excluded the common stock equivalents for outstanding stock-based awards in the calculation of diluted EPS because their inclusion would be anti-dilutive: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Nine Months ended</w:t>
            </w:r>
          </w:p>
        </w:tc>
      </w:tr>
      <w:tr>
        <w:trPr>
          <w:trHeight w:val="192"/>
        </w:trPr>
        <w:tc>
          <w:tcPr>
            <w:tcW w:w="6520" w:type="dxa"/>
            <w:vAlign w:val="bottom"/>
          </w:tcPr>
          <w:p>
            <w:pPr>
              <w:spacing w:after="0"/>
              <w:rPr>
                <w:sz w:val="16"/>
                <w:szCs w:val="16"/>
                <w:color w:val="auto"/>
              </w:rPr>
            </w:pPr>
          </w:p>
        </w:tc>
        <w:tc>
          <w:tcPr>
            <w:tcW w:w="1680" w:type="dxa"/>
            <w:vAlign w:val="bottom"/>
            <w:tcBorders>
              <w:bottom w:val="single" w:sz="8" w:color="auto"/>
            </w:tcBorders>
          </w:tcPr>
          <w:p>
            <w:pPr>
              <w:jc w:val="center"/>
              <w:ind w:left="68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center"/>
              <w:ind w:left="66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spacing w:after="0"/>
              <w:rPr>
                <w:sz w:val="22"/>
                <w:szCs w:val="22"/>
                <w:color w:val="auto"/>
              </w:rPr>
            </w:pPr>
          </w:p>
        </w:tc>
        <w:tc>
          <w:tcPr>
            <w:tcW w:w="1680" w:type="dxa"/>
            <w:vAlign w:val="bottom"/>
            <w:tcBorders>
              <w:bottom w:val="single" w:sz="8" w:color="auto"/>
            </w:tcBorders>
          </w:tcPr>
          <w:p>
            <w:pPr>
              <w:jc w:val="right"/>
              <w:ind w:right="884"/>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2018</w:t>
            </w:r>
          </w:p>
        </w:tc>
      </w:tr>
      <w:tr>
        <w:trPr>
          <w:trHeight w:val="250"/>
        </w:trPr>
        <w:tc>
          <w:tcPr>
            <w:tcW w:w="6520" w:type="dxa"/>
            <w:vAlign w:val="bottom"/>
          </w:tcPr>
          <w:p>
            <w:pPr>
              <w:spacing w:after="0"/>
              <w:rPr>
                <w:sz w:val="21"/>
                <w:szCs w:val="21"/>
                <w:color w:val="auto"/>
              </w:rPr>
            </w:pPr>
          </w:p>
        </w:tc>
        <w:tc>
          <w:tcPr>
            <w:tcW w:w="1680" w:type="dxa"/>
            <w:vAlign w:val="bottom"/>
          </w:tcPr>
          <w:p>
            <w:pPr>
              <w:jc w:val="center"/>
              <w:ind w:left="684"/>
              <w:spacing w:after="0"/>
              <w:rPr>
                <w:sz w:val="20"/>
                <w:szCs w:val="20"/>
                <w:color w:val="auto"/>
              </w:rPr>
            </w:pPr>
            <w:r>
              <w:rPr>
                <w:rFonts w:ascii="Arial" w:cs="Arial" w:eastAsia="Arial" w:hAnsi="Arial"/>
                <w:sz w:val="14"/>
                <w:szCs w:val="14"/>
                <w:b w:val="1"/>
                <w:bCs w:val="1"/>
                <w:color w:val="auto"/>
                <w:w w:val="94"/>
              </w:rPr>
              <w:t>(unaudited)</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center"/>
              <w:ind w:left="664"/>
              <w:spacing w:after="0"/>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21"/>
                <w:szCs w:val="21"/>
                <w:color w:val="auto"/>
              </w:rPr>
            </w:pPr>
          </w:p>
        </w:tc>
      </w:tr>
      <w:tr>
        <w:trPr>
          <w:trHeight w:val="249"/>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CEEFF"/>
          </w:tcPr>
          <w:p>
            <w:pPr>
              <w:jc w:val="right"/>
              <w:ind w:right="564"/>
              <w:spacing w:after="0"/>
              <w:rPr>
                <w:sz w:val="20"/>
                <w:szCs w:val="20"/>
                <w:color w:val="auto"/>
              </w:rPr>
            </w:pPr>
            <w:r>
              <w:rPr>
                <w:rFonts w:ascii="Arial" w:cs="Arial" w:eastAsia="Arial" w:hAnsi="Arial"/>
                <w:sz w:val="18"/>
                <w:szCs w:val="18"/>
                <w:color w:val="auto"/>
              </w:rPr>
              <w:t>1,395,138</w:t>
            </w:r>
          </w:p>
        </w:tc>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165,675</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961,605</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180,100</w:t>
            </w:r>
          </w:p>
        </w:tc>
      </w:tr>
      <w:tr>
        <w:trPr>
          <w:trHeight w:val="27"/>
        </w:trPr>
        <w:tc>
          <w:tcPr>
            <w:tcW w:w="65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EPS for the three and nine months ended September 30, 2019 and 2018, in thousands of dollars, except share and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2"/>
              </w:rPr>
              <w:t>Three Months ended September 30,</w:t>
            </w:r>
          </w:p>
        </w:tc>
        <w:tc>
          <w:tcPr>
            <w:tcW w:w="220" w:type="dxa"/>
            <w:vAlign w:val="bottom"/>
          </w:tcPr>
          <w:p>
            <w:pPr>
              <w:spacing w:after="0"/>
              <w:rPr>
                <w:sz w:val="14"/>
                <w:szCs w:val="14"/>
                <w:color w:val="auto"/>
              </w:rPr>
            </w:pPr>
          </w:p>
        </w:tc>
        <w:tc>
          <w:tcPr>
            <w:tcW w:w="240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jc w:val="center"/>
              <w:ind w:right="113"/>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64"/>
        </w:trPr>
        <w:tc>
          <w:tcPr>
            <w:tcW w:w="61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4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w w:val="94"/>
              </w:rPr>
              <w:t>(unaudited)</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in thousands: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28,860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79,927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85,100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52,453,384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52,227,630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52,392,232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51,897,240</w:t>
            </w:r>
          </w:p>
        </w:tc>
        <w:tc>
          <w:tcPr>
            <w:tcW w:w="0" w:type="dxa"/>
            <w:vAlign w:val="bottom"/>
          </w:tcPr>
          <w:p>
            <w:pPr>
              <w:spacing w:after="0"/>
              <w:rPr>
                <w:sz w:val="1"/>
                <w:szCs w:val="1"/>
                <w:color w:val="auto"/>
              </w:rPr>
            </w:pPr>
          </w:p>
        </w:tc>
      </w:tr>
      <w:tr>
        <w:trPr>
          <w:trHeight w:val="270"/>
        </w:trPr>
        <w:tc>
          <w:tcPr>
            <w:tcW w:w="6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Stock options and SAR</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1,352,454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2,012,217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1,506,254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2,201,090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 diluted</w:t>
            </w: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53,805,838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3"/>
              </w:rPr>
              <w:t>54,239,847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w w:val="99"/>
              </w:rPr>
              <w:t>53,898,486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54,098,330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Earnings per share,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the Company’s income tax expense and effective tax rate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(dollar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Nine Months ended</w:t>
            </w:r>
          </w:p>
        </w:tc>
        <w:tc>
          <w:tcPr>
            <w:tcW w:w="860" w:type="dxa"/>
            <w:vAlign w:val="bottom"/>
          </w:tcPr>
          <w:p>
            <w:pPr>
              <w:spacing w:after="0"/>
              <w:rPr>
                <w:sz w:val="14"/>
                <w:szCs w:val="14"/>
                <w:color w:val="auto"/>
              </w:rPr>
            </w:pPr>
          </w:p>
        </w:tc>
      </w:tr>
      <w:tr>
        <w:trPr>
          <w:trHeight w:val="192"/>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2"/>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21"/>
                <w:szCs w:val="21"/>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10,730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8,360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26,648</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16,309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tcPr>
          <w:p>
            <w:pPr>
              <w:spacing w:after="0"/>
              <w:rPr>
                <w:sz w:val="21"/>
                <w:szCs w:val="21"/>
                <w:color w:val="auto"/>
              </w:rPr>
            </w:pPr>
          </w:p>
        </w:tc>
        <w:tc>
          <w:tcPr>
            <w:tcW w:w="1120" w:type="dxa"/>
            <w:vAlign w:val="bottom"/>
          </w:tcPr>
          <w:p>
            <w:pPr>
              <w:jc w:val="right"/>
              <w:ind w:right="2"/>
              <w:spacing w:after="0"/>
              <w:rPr>
                <w:sz w:val="20"/>
                <w:szCs w:val="20"/>
                <w:color w:val="auto"/>
              </w:rPr>
            </w:pPr>
            <w:r>
              <w:rPr>
                <w:rFonts w:ascii="Arial" w:cs="Arial" w:eastAsia="Arial" w:hAnsi="Arial"/>
                <w:sz w:val="18"/>
                <w:szCs w:val="18"/>
                <w:color w:val="auto"/>
              </w:rPr>
              <w:t>27.10%</w:t>
            </w:r>
          </w:p>
        </w:tc>
        <w:tc>
          <w:tcPr>
            <w:tcW w:w="540" w:type="dxa"/>
            <w:vAlign w:val="bottom"/>
          </w:tcPr>
          <w:p>
            <w:pPr>
              <w:spacing w:after="0"/>
              <w:rPr>
                <w:sz w:val="21"/>
                <w:szCs w:val="21"/>
                <w:color w:val="auto"/>
              </w:rPr>
            </w:pPr>
          </w:p>
        </w:tc>
        <w:tc>
          <w:tcPr>
            <w:tcW w:w="940" w:type="dxa"/>
            <w:vAlign w:val="bottom"/>
          </w:tcPr>
          <w:p>
            <w:pPr>
              <w:ind w:left="340"/>
              <w:spacing w:after="0"/>
              <w:rPr>
                <w:sz w:val="20"/>
                <w:szCs w:val="20"/>
                <w:color w:val="auto"/>
              </w:rPr>
            </w:pPr>
            <w:r>
              <w:rPr>
                <w:rFonts w:ascii="Arial" w:cs="Arial" w:eastAsia="Arial" w:hAnsi="Arial"/>
                <w:sz w:val="18"/>
                <w:szCs w:val="18"/>
                <w:color w:val="auto"/>
                <w:w w:val="94"/>
              </w:rPr>
              <w:t>23.00%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25.00%</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16.10%</w:t>
            </w:r>
          </w:p>
        </w:tc>
      </w:tr>
    </w:tbl>
    <w:p>
      <w:pPr>
        <w:spacing w:after="0" w:line="200" w:lineRule="exact"/>
        <w:rPr>
          <w:sz w:val="20"/>
          <w:szCs w:val="20"/>
          <w:color w:val="auto"/>
        </w:rPr>
      </w:pPr>
    </w:p>
    <w:p>
      <w:pPr>
        <w:spacing w:after="0" w:line="20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increase in income tax expense and the increase in the effective tax rate for the three months ended September 30, 2019, as compared to the same period in the prior year, was primarily attributable to income growth, state income tax rate changes, greater 2018 research and development credit and larger employee stock option tax benefits realized in 2018.</w:t>
      </w:r>
    </w:p>
    <w:p>
      <w:pPr>
        <w:spacing w:after="0" w:line="14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increase in income tax expense and the increase in the effective tax rate for the nine months ended September 30, 2019, as compared to the same period in the prior year, was primarily attributable to the tax benefits realized in 2018 related to exercise of employee stock options.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8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Company determines if an arrangement is a lease at its inception. Some leases include options to terminate prior to the end of the lease term, or to extend for one or more years. These options are included in the lease term when it is reasonably certain that the option will be exercised.</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lease arrangements that contain lease components (e.g., minimum rent payments) and non-lease components (e.g., maintenance, labor charges, etc.). It accounts for both of these components as a single lease component. The Company’s lease agreements do not contain any material residual value guarantees or material restrictive covenants.</w:t>
      </w:r>
    </w:p>
    <w:p>
      <w:pPr>
        <w:spacing w:after="0" w:line="14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Operating leases are included in </w:t>
      </w:r>
      <w:r>
        <w:rPr>
          <w:rFonts w:ascii="Arial" w:cs="Arial" w:eastAsia="Arial" w:hAnsi="Arial"/>
          <w:sz w:val="17"/>
          <w:szCs w:val="17"/>
          <w:i w:val="1"/>
          <w:iCs w:val="1"/>
          <w:color w:val="auto"/>
        </w:rPr>
        <w:t>Lease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Lease liabilities, long term</w:t>
      </w:r>
      <w:r>
        <w:rPr>
          <w:rFonts w:ascii="Arial" w:cs="Arial" w:eastAsia="Arial" w:hAnsi="Arial"/>
          <w:sz w:val="17"/>
          <w:szCs w:val="17"/>
          <w:color w:val="auto"/>
        </w:rPr>
        <w:t xml:space="preserve"> on the condensed consolidated balance sheets. Leases with an initial term of 12 months or less are not recorded on the balance sheet. Operating lease assets and lease liabilities are recognized at the commencement date based on the present value of the future minimum lease payments over the lease term. The Company calculates the present value of future payments by using an estimated incremental borrowing rate which approximates the rate at which the Company would borrow, on a secured basis and over a similar term. This rate is estimated based on information available at commencement date of the lease, and may differ for individual leases or for portfolios of leased assets. The Company recognizes lease expense for these leases on a straight-line basis over the lease term. Lease expense for operating leases is recognized as an operating cost.</w:t>
      </w:r>
    </w:p>
    <w:p>
      <w:pPr>
        <w:spacing w:after="0" w:line="13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operating leases for its current headquarters office and lab space at 1550 East Gude Drive in Rockville, MD and for its fleet vehicles. The Company’s existing leases for its current headquarters office and lab space run through April 2020. With respect to the fleet vehicle leases, given the volume of individual leases involved in the overall arrangement, the Company applies a portfolio approach to effectively account for the operating lease assets and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entered into a new lease agreement, effective January 31, 2019, with Advent Key West, LLC (Landlord), for its new headquarters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Rockville, MD (Premises). The term of the new headquarters lease commenced on February 1, 2019 (the Commencement Date) and will continue until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30, 2034, unless earlier terminated in accordance with the terms of the lease. The lease includes options to extend the lease for up to 10 years. Fixed 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Premises began on the Commencement Date; however, the Landlord agreed to a rent abatement from the Commencement Date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April 30, 2020. The initial fixed rental rate is approximately $195,000 per month for the first 12 months, and will automatically increase by 2% on each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Commencement Date. Under the terms of the Lease, the Company provided a security deposit of approximately $195,000, and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pay all utility charges for the Premises in addition to its pro rata share of any operating expenses and real estate taxes. The Company will occupy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Premises upon completion of the build-out of the Premises.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lease also provides for a tenant improvement allowance of approximately $10.2 million, in aggregate. Any unspent tenant improvement allowance as of January 31, 2020 will be forfeited. The full amount of the tenant improvement allowance was initially recorded in </w:t>
      </w:r>
      <w:r>
        <w:rPr>
          <w:rFonts w:ascii="Arial" w:cs="Arial" w:eastAsia="Arial" w:hAnsi="Arial"/>
          <w:sz w:val="18"/>
          <w:szCs w:val="18"/>
          <w:i w:val="1"/>
          <w:iCs w:val="1"/>
          <w:color w:val="auto"/>
        </w:rPr>
        <w:t>Prepaid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assets </w:t>
      </w:r>
      <w:r>
        <w:rPr>
          <w:rFonts w:ascii="Arial" w:cs="Arial" w:eastAsia="Arial" w:hAnsi="Arial"/>
          <w:sz w:val="18"/>
          <w:szCs w:val="18"/>
          <w:color w:val="auto"/>
        </w:rPr>
        <w:t>on the condensed consolidated balance sheets.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assets, lease-related assets and lease liabilities are as follows,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386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38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3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b w:val="1"/>
                <w:bCs w:val="1"/>
                <w:color w:val="auto"/>
              </w:rPr>
              <w:t>Balance Sheet Classification</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8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6300" w:type="dxa"/>
            <w:vAlign w:val="bottom"/>
          </w:tcPr>
          <w:p>
            <w:pPr>
              <w:ind w:left="1320"/>
              <w:spacing w:after="0"/>
              <w:rPr>
                <w:sz w:val="20"/>
                <w:szCs w:val="20"/>
                <w:color w:val="auto"/>
              </w:rPr>
            </w:pPr>
            <w:r>
              <w:rPr>
                <w:rFonts w:ascii="Arial" w:cs="Arial" w:eastAsia="Arial" w:hAnsi="Arial"/>
                <w:sz w:val="18"/>
                <w:szCs w:val="18"/>
                <w:color w:val="auto"/>
              </w:rPr>
              <w:t>Lease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18,780</w:t>
            </w:r>
          </w:p>
        </w:tc>
      </w:tr>
      <w:tr>
        <w:trPr>
          <w:trHeight w:val="27"/>
        </w:trPr>
        <w:tc>
          <w:tcPr>
            <w:tcW w:w="3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Tenant receivable</w:t>
            </w:r>
          </w:p>
        </w:tc>
        <w:tc>
          <w:tcPr>
            <w:tcW w:w="6300" w:type="dxa"/>
            <w:vAlign w:val="bottom"/>
            <w:tcBorders>
              <w:bottom w:val="single" w:sz="8" w:color="CCEEFF"/>
            </w:tcBorders>
            <w:shd w:val="clear" w:color="auto" w:fill="CCEEFF"/>
          </w:tcPr>
          <w:p>
            <w:pPr>
              <w:ind w:left="13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4,096</w:t>
            </w: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Total lease and lease-related assets</w:t>
            </w:r>
          </w:p>
        </w:tc>
        <w:tc>
          <w:tcPr>
            <w:tcW w:w="6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22,876</w:t>
            </w:r>
          </w:p>
        </w:tc>
      </w:tr>
      <w:tr>
        <w:trPr>
          <w:trHeight w:val="67"/>
        </w:trPr>
        <w:tc>
          <w:tcPr>
            <w:tcW w:w="3860" w:type="dxa"/>
            <w:vAlign w:val="bottom"/>
            <w:tcBorders>
              <w:bottom w:val="single" w:sz="8" w:color="CCEEFF"/>
            </w:tcBorders>
          </w:tcPr>
          <w:p>
            <w:pPr>
              <w:spacing w:after="0"/>
              <w:rPr>
                <w:sz w:val="5"/>
                <w:szCs w:val="5"/>
                <w:color w:val="auto"/>
              </w:rPr>
            </w:pPr>
          </w:p>
        </w:tc>
        <w:tc>
          <w:tcPr>
            <w:tcW w:w="6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3860" w:type="dxa"/>
            <w:vAlign w:val="bottom"/>
            <w:shd w:val="clear" w:color="auto" w:fill="CCEEFF"/>
          </w:tcPr>
          <w:p>
            <w:pPr>
              <w:spacing w:after="0"/>
              <w:rPr>
                <w:sz w:val="24"/>
                <w:szCs w:val="24"/>
                <w:color w:val="auto"/>
              </w:rPr>
            </w:pPr>
          </w:p>
        </w:tc>
        <w:tc>
          <w:tcPr>
            <w:tcW w:w="6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6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6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6300" w:type="dxa"/>
            <w:vAlign w:val="bottom"/>
          </w:tcPr>
          <w:p>
            <w:pPr>
              <w:ind w:left="13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3,145</w:t>
            </w:r>
          </w:p>
        </w:tc>
      </w:tr>
      <w:tr>
        <w:trPr>
          <w:trHeight w:val="27"/>
        </w:trPr>
        <w:tc>
          <w:tcPr>
            <w:tcW w:w="38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6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6300" w:type="dxa"/>
            <w:vAlign w:val="bottom"/>
          </w:tcPr>
          <w:p>
            <w:pPr>
              <w:ind w:left="1320"/>
              <w:spacing w:after="0"/>
              <w:rPr>
                <w:sz w:val="20"/>
                <w:szCs w:val="20"/>
                <w:color w:val="auto"/>
              </w:rPr>
            </w:pPr>
            <w:r>
              <w:rPr>
                <w:rFonts w:ascii="Arial" w:cs="Arial" w:eastAsia="Arial" w:hAnsi="Arial"/>
                <w:sz w:val="18"/>
                <w:szCs w:val="18"/>
                <w:color w:val="auto"/>
              </w:rPr>
              <w:t>Lease liabilities, long term</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27,256</w:t>
            </w:r>
          </w:p>
        </w:tc>
      </w:tr>
      <w:tr>
        <w:trPr>
          <w:trHeight w:val="27"/>
        </w:trPr>
        <w:tc>
          <w:tcPr>
            <w:tcW w:w="3860" w:type="dxa"/>
            <w:vAlign w:val="bottom"/>
            <w:tcBorders>
              <w:bottom w:val="single" w:sz="8" w:color="CCEEFF"/>
            </w:tcBorders>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6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30,401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costs for the three and nine months ended September 30, 2019 are as follows, in thousands of dollars: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leases cost</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cash flow information related to leases is as follows,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47167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1678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440" w:type="dxa"/>
            <w:vAlign w:val="bottom"/>
            <w:tcBorders>
              <w:bottom w:val="single" w:sz="8" w:color="auto"/>
            </w:tcBorders>
          </w:tcPr>
          <w:p>
            <w:pPr>
              <w:spacing w:after="0"/>
              <w:rPr>
                <w:sz w:val="21"/>
                <w:szCs w:val="21"/>
                <w:color w:val="auto"/>
              </w:rPr>
            </w:pPr>
          </w:p>
        </w:tc>
      </w:tr>
      <w:tr>
        <w:trPr>
          <w:trHeight w:val="244"/>
        </w:trPr>
        <w:tc>
          <w:tcPr>
            <w:tcW w:w="180" w:type="dxa"/>
            <w:vAlign w:val="bottom"/>
          </w:tcPr>
          <w:p>
            <w:pPr>
              <w:spacing w:after="0"/>
              <w:rPr>
                <w:sz w:val="21"/>
                <w:szCs w:val="21"/>
                <w:color w:val="auto"/>
              </w:rPr>
            </w:pPr>
          </w:p>
        </w:tc>
        <w:tc>
          <w:tcPr>
            <w:tcW w:w="3240" w:type="dxa"/>
            <w:vAlign w:val="bottom"/>
            <w:gridSpan w:val="4"/>
          </w:tcPr>
          <w:p>
            <w:pPr>
              <w:jc w:val="right"/>
              <w:ind w:right="1257"/>
              <w:spacing w:after="0"/>
              <w:rPr>
                <w:sz w:val="20"/>
                <w:szCs w:val="20"/>
                <w:color w:val="auto"/>
              </w:rPr>
            </w:pPr>
            <w:r>
              <w:rPr>
                <w:rFonts w:ascii="Arial" w:cs="Arial" w:eastAsia="Arial" w:hAnsi="Arial"/>
                <w:sz w:val="14"/>
                <w:szCs w:val="14"/>
                <w:b w:val="1"/>
                <w:bCs w:val="1"/>
                <w:color w:val="auto"/>
              </w:rPr>
              <w:t>(unaudited)</w:t>
            </w:r>
          </w:p>
        </w:tc>
      </w:tr>
      <w:tr>
        <w:trPr>
          <w:trHeight w:val="255"/>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3,517</w:t>
            </w:r>
          </w:p>
        </w:tc>
      </w:tr>
      <w:tr>
        <w:trPr>
          <w:trHeight w:val="270"/>
        </w:trPr>
        <w:tc>
          <w:tcPr>
            <w:tcW w:w="180" w:type="dxa"/>
            <w:vAlign w:val="bottom"/>
          </w:tcPr>
          <w:p>
            <w:pPr>
              <w:spacing w:after="0"/>
              <w:rPr>
                <w:sz w:val="23"/>
                <w:szCs w:val="23"/>
                <w:color w:val="auto"/>
              </w:rPr>
            </w:pP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1,467</w:t>
            </w:r>
          </w:p>
        </w:tc>
      </w:tr>
      <w:tr>
        <w:trPr>
          <w:trHeight w:val="27"/>
        </w:trPr>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2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4,984</w:t>
            </w:r>
          </w:p>
        </w:tc>
      </w:tr>
      <w:tr>
        <w:trPr>
          <w:trHeight w:val="27"/>
        </w:trPr>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23495</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r>
      <w:tr>
        <w:trPr>
          <w:trHeight w:val="256"/>
        </w:trPr>
        <w:tc>
          <w:tcPr>
            <w:tcW w:w="74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920" w:type="dxa"/>
            <w:vAlign w:val="bottom"/>
            <w:gridSpan w:val="2"/>
            <w:shd w:val="clear" w:color="auto" w:fill="CCEEFF"/>
          </w:tcPr>
          <w:p>
            <w:pPr>
              <w:jc w:val="right"/>
              <w:ind w:right="876"/>
              <w:spacing w:after="0"/>
              <w:rPr>
                <w:sz w:val="20"/>
                <w:szCs w:val="20"/>
                <w:color w:val="auto"/>
              </w:rPr>
            </w:pPr>
            <w:r>
              <w:rPr>
                <w:rFonts w:ascii="Arial" w:cs="Arial" w:eastAsia="Arial" w:hAnsi="Arial"/>
                <w:sz w:val="14"/>
                <w:szCs w:val="14"/>
                <w:b w:val="1"/>
                <w:bCs w:val="1"/>
                <w:color w:val="auto"/>
              </w:rPr>
              <w:t>(unaudited)</w:t>
            </w:r>
          </w:p>
        </w:tc>
        <w:tc>
          <w:tcPr>
            <w:tcW w:w="66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paid for operating leases</w:t>
            </w:r>
          </w:p>
        </w:tc>
        <w:tc>
          <w:tcPr>
            <w:tcW w:w="1400" w:type="dxa"/>
            <w:vAlign w:val="bottom"/>
          </w:tcPr>
          <w:p>
            <w:pPr>
              <w:jc w:val="right"/>
              <w:ind w:right="119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4,048</w:t>
            </w:r>
          </w:p>
        </w:tc>
        <w:tc>
          <w:tcPr>
            <w:tcW w:w="114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4,017</w:t>
            </w:r>
          </w:p>
        </w:tc>
      </w:tr>
      <w:tr>
        <w:trPr>
          <w:trHeight w:val="27"/>
        </w:trPr>
        <w:tc>
          <w:tcPr>
            <w:tcW w:w="7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assets obtained for new operating leases</w:t>
            </w:r>
          </w:p>
        </w:tc>
        <w:tc>
          <w:tcPr>
            <w:tcW w:w="1400" w:type="dxa"/>
            <w:vAlign w:val="bottom"/>
            <w:tcBorders>
              <w:bottom w:val="single" w:sz="8" w:color="CCEEFF"/>
            </w:tcBorders>
            <w:shd w:val="clear" w:color="auto" w:fill="CCEEFF"/>
          </w:tcPr>
          <w:p>
            <w:pPr>
              <w:jc w:val="right"/>
              <w:ind w:right="11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31,856</w:t>
            </w:r>
          </w:p>
        </w:tc>
        <w:tc>
          <w:tcPr>
            <w:tcW w:w="11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608"/>
        </w:trPr>
        <w:tc>
          <w:tcPr>
            <w:tcW w:w="10760" w:type="dxa"/>
            <w:vAlign w:val="bottom"/>
            <w:gridSpan w:val="4"/>
          </w:tcPr>
          <w:p>
            <w:pPr>
              <w:ind w:left="660"/>
              <w:spacing w:after="0"/>
              <w:rPr>
                <w:sz w:val="20"/>
                <w:szCs w:val="20"/>
                <w:color w:val="auto"/>
              </w:rPr>
            </w:pPr>
            <w:r>
              <w:rPr>
                <w:rFonts w:ascii="Arial" w:cs="Arial" w:eastAsia="Arial" w:hAnsi="Arial"/>
                <w:sz w:val="18"/>
                <w:szCs w:val="18"/>
                <w:color w:val="auto"/>
                <w:w w:val="90"/>
              </w:rPr>
              <w:t>Weighted average lease term and weighted average discount rate for operating leases as of September 30, 2019 are as follows, unaudited:</w:t>
            </w:r>
          </w:p>
        </w:tc>
        <w:tc>
          <w:tcPr>
            <w:tcW w:w="660" w:type="dxa"/>
            <w:vAlign w:val="bottom"/>
          </w:tcPr>
          <w:p>
            <w:pPr>
              <w:spacing w:after="0"/>
              <w:rPr>
                <w:sz w:val="24"/>
                <w:szCs w:val="24"/>
                <w:color w:val="auto"/>
              </w:rPr>
            </w:pPr>
          </w:p>
        </w:tc>
      </w:tr>
      <w:tr>
        <w:trPr>
          <w:trHeight w:val="135"/>
        </w:trPr>
        <w:tc>
          <w:tcPr>
            <w:tcW w:w="7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1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w:t>
            </w:r>
          </w:p>
        </w:tc>
      </w:tr>
    </w:tbl>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noncancellable operating leases as of September 30, 2019 are as follows, in thousands of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2019 (remaining)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784</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2,735</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2,537</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29,371</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41,066</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Less: Imputed interest </w:t>
            </w:r>
            <w:r>
              <w:rPr>
                <w:rFonts w:ascii="Arial" w:cs="Arial" w:eastAsia="Arial" w:hAnsi="Arial"/>
                <w:sz w:val="25"/>
                <w:szCs w:val="25"/>
                <w:color w:val="auto"/>
                <w:vertAlign w:val="superscript"/>
              </w:rPr>
              <w:t>(1)</w:t>
            </w: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30,401</w:t>
            </w:r>
          </w:p>
        </w:tc>
      </w:tr>
      <w:tr>
        <w:trPr>
          <w:trHeight w:val="27"/>
        </w:trPr>
        <w:tc>
          <w:tcPr>
            <w:tcW w:w="10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10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w:t>
      </w:r>
    </w:p>
    <w:p>
      <w:pPr>
        <w:spacing w:after="0" w:line="56"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23"/>
          <w:szCs w:val="23"/>
          <w:i w:val="1"/>
          <w:iCs w:val="1"/>
          <w:color w:val="auto"/>
          <w:vertAlign w:val="superscript"/>
        </w:rPr>
      </w:pPr>
      <w:r>
        <w:rPr>
          <w:rFonts w:ascii="Arial" w:cs="Arial" w:eastAsia="Arial" w:hAnsi="Arial"/>
          <w:sz w:val="17"/>
          <w:szCs w:val="17"/>
          <w:color w:val="auto"/>
        </w:rPr>
        <w:t>Calculated using the interest rate for each lease.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Related to Periods Prior to Adoption of the New Lease Standard</w:t>
      </w:r>
    </w:p>
    <w:p>
      <w:pPr>
        <w:spacing w:after="0" w:line="18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Rent expense for the leased facilities and leased vehicles for the years ended December 31, 2018, 2017 and 2016 was approximately $3.6 million, $2.7 million and $2.7 million,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as of December 31, 2018 were as follows, 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3,400</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1,840</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7,527</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Accounts Receivable</w:t>
      </w:r>
    </w:p>
    <w:p>
      <w:pPr>
        <w:spacing w:after="0" w:line="18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The Company recorded an allowance of approximately $10.4 million and $11.5 million for prompt pay discounts and contractual service fees paid to the Company’s customers, primarily pharmaceutical wholesalers/distributors, as of September 30, 2019 and December 31, 2018,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Disaggregated Revenues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disaggregation of revenues by nature, in thousands of dollars: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94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2"/>
              </w:rPr>
              <w:t>Nine Months ended</w:t>
            </w:r>
          </w:p>
        </w:tc>
      </w:tr>
      <w:tr>
        <w:trPr>
          <w:trHeight w:val="192"/>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6"/>
                <w:szCs w:val="16"/>
                <w:color w:val="auto"/>
              </w:rPr>
            </w:pPr>
          </w:p>
        </w:tc>
        <w:tc>
          <w:tcPr>
            <w:tcW w:w="194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70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250"/>
        </w:trPr>
        <w:tc>
          <w:tcPr>
            <w:tcW w:w="7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4"/>
              </w:rPr>
              <w:t>(unaudited)</w:t>
            </w:r>
          </w:p>
        </w:tc>
        <w:tc>
          <w:tcPr>
            <w:tcW w:w="70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77,332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79,834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219,989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w w:val="89"/>
              </w:rPr>
              <w:t>226,863</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59,514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net product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w w:val="95"/>
              </w:rPr>
              <w:t>100,034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100,227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285,491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89"/>
              </w:rPr>
              <w:t>286,377</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Licensing revenues</w:t>
            </w: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750</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w w:val="95"/>
              </w:rPr>
              <w:t>102,140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102,996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292,309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292,963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majority of the Company’s product sales are to pharmaceutical wholesalers/distributors who, in turn, sell the Company's products to chain and independent pharmacies, hospitals and their other customers. Three pharmaceutical wholesalers/distributors collectively accounted for more than 90% of both the Company’s total net product sales as well as its accounts receivables as of the three and nine months ended September 30, 2019 and 2018, respectively.</w:t>
      </w:r>
    </w:p>
    <w:p>
      <w:pPr>
        <w:spacing w:after="0" w:line="106"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recognized noncash royalty revenue of $1.6 million and $5.0 million for the three and nine months ended September 30, 2019, respectively, as compared to the $1.5 million and $4.3 million for the three and nine months ended September 30, 2018, respectively.</w:t>
      </w:r>
    </w:p>
    <w:p>
      <w:pPr>
        <w:spacing w:after="0" w:line="10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For the three and nine months ended September 30, 2019, revenues recognized from performance obligations related to prior periods (e.g., due to changes in transaction price) were not material, in the aggregate, to either </w:t>
      </w:r>
      <w:r>
        <w:rPr>
          <w:rFonts w:ascii="Arial" w:cs="Arial" w:eastAsia="Arial" w:hAnsi="Arial"/>
          <w:sz w:val="18"/>
          <w:szCs w:val="18"/>
          <w:i w:val="1"/>
          <w:iCs w:val="1"/>
          <w:color w:val="auto"/>
        </w:rPr>
        <w:t>Net product sales</w:t>
      </w:r>
      <w:r>
        <w:rPr>
          <w:rFonts w:ascii="Arial" w:cs="Arial" w:eastAsia="Arial" w:hAnsi="Arial"/>
          <w:sz w:val="18"/>
          <w:szCs w:val="18"/>
          <w:color w:val="auto"/>
        </w:rPr>
        <w:t xml:space="preserve"> or </w:t>
      </w:r>
      <w:r>
        <w:rPr>
          <w:rFonts w:ascii="Arial" w:cs="Arial" w:eastAsia="Arial" w:hAnsi="Arial"/>
          <w:sz w:val="18"/>
          <w:szCs w:val="18"/>
          <w:i w:val="1"/>
          <w:iCs w:val="1"/>
          <w:color w:val="auto"/>
        </w:rPr>
        <w:t>to Royalty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8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defined milestones. If these products are ultimately commercialized, the Company is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640"/>
        <w:spacing w:after="0" w:line="454" w:lineRule="auto"/>
        <w:rPr>
          <w:sz w:val="20"/>
          <w:szCs w:val="20"/>
          <w:color w:val="auto"/>
        </w:rPr>
      </w:pPr>
      <w:r>
        <w:rPr>
          <w:rFonts w:ascii="Arial" w:cs="Arial" w:eastAsia="Arial" w:hAnsi="Arial"/>
          <w:sz w:val="18"/>
          <w:szCs w:val="18"/>
          <w:color w:val="auto"/>
        </w:rPr>
        <w:t xml:space="preserve">also obligated to pay royalties to third parties, as percentage of net product sales, for each respective product under license agreement. </w:t>
      </w:r>
      <w:r>
        <w:rPr>
          <w:rFonts w:ascii="Arial" w:cs="Arial" w:eastAsia="Arial" w:hAnsi="Arial"/>
          <w:sz w:val="18"/>
          <w:szCs w:val="18"/>
          <w:i w:val="1"/>
          <w:iCs w:val="1"/>
          <w:color w:val="auto"/>
        </w:rPr>
        <w:t>Royalty Agreement</w:t>
      </w:r>
    </w:p>
    <w:p>
      <w:pPr>
        <w:ind w:firstLine="648"/>
        <w:spacing w:after="0" w:line="293" w:lineRule="auto"/>
        <w:rPr>
          <w:sz w:val="20"/>
          <w:szCs w:val="20"/>
          <w:color w:val="auto"/>
        </w:rPr>
      </w:pPr>
      <w:r>
        <w:rPr>
          <w:rFonts w:ascii="Arial" w:cs="Arial" w:eastAsia="Arial" w:hAnsi="Arial"/>
          <w:sz w:val="16"/>
          <w:szCs w:val="16"/>
          <w:color w:val="auto"/>
        </w:rPr>
        <w:t>In the third quarter of 2014, the Company received a $30.0 million payment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per the terms of the agreement. The Company recorded a nonrecourse liability related to this transaction, and amortizes this amount as noncash royalty revenue (see Note 16). The Company also recognizes noncash interest expense related to this liability and accrues interest expense at an effective interest rate (see Note 10). The interest rate is determined based on projections of HC Royalty’s rate of return.</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financial statements included in this report and this Management’s Discussion and Analysis of Financial Condition and Results of Operations should be read in conjunction with our audited consolidated financial statements and notes thereto for the year ended December 31, 2018 and the related Management’s Discussion and Analysis of Financial Condition and Results of Operations, both of which are contained in our Annual Report on Form 10-K, filed with the Securities and Exchange Commission on March 1, 2019.</w:t>
      </w:r>
    </w:p>
    <w:p>
      <w:pPr>
        <w:spacing w:after="0" w:line="15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13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are a pharmaceutical company focused on developing and commercializing products for the treatment of central nervous system (CNS) diseases in neurology and psychiatry.</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market two products, Oxtellar XR and Trokendi XR, in the United States (U.S.), through our own sales force. We seek strategic collaborations with other pharmaceutical companies to commercialize our products outside of the U.S. via license agreements.</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addition, we are developing multiple proprietary product candidates in the CNS market to address unmet medical needs with significant market opportunities.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2767965</wp:posOffset>
            </wp:positionV>
            <wp:extent cx="51796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7969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126365</wp:posOffset>
            </wp:positionV>
            <wp:extent cx="5145405" cy="23837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Prophylaxis of migraine headache in adults and adolescents.</w:t>
      </w:r>
    </w:p>
    <w:p>
      <w:pPr>
        <w:spacing w:after="0" w:line="185" w:lineRule="exact"/>
        <w:rPr>
          <w:sz w:val="20"/>
          <w:szCs w:val="20"/>
          <w:color w:val="auto"/>
        </w:rPr>
      </w:pPr>
    </w:p>
    <w:p>
      <w:pPr>
        <w:ind w:left="660" w:right="80" w:hanging="652"/>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Initially for Impulsive Aggression (IA) in patients with attention deficit hyperactivity disorder (ADHD), with plans to add other indications, such as IA in patients with post traumatic stress disorder (PTSD), bipolar disorder, Alzheimer’s and other forms of dementia.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devote significant resources to research and development of products and proprietary drug technologies. We expect to incur significant expenses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we: invest in research and development related to the continued development of each of our product candidates through FDA approval or until the program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terminates; expand product indications for approved products; invest in sales and marketing resources for existing and new products; enter into agreements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 products or other companies; and invest in support of our business, technology, regulatory and intellectual property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Neurology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neurology portfolio includes two commercial products and one product candidate for the treatment of neurological diseases.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Trokendi XR is a once-daily extended release topiramate product for the prophylaxis of migraine headache and for the treatment of epilepsy.</w:t>
      </w:r>
    </w:p>
    <w:p>
      <w:pPr>
        <w:spacing w:after="0" w:line="196"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Oxtellar XR is a once-daily extended release oxcarbazepine product that was initially approved for adjunctive treatment of partial onset seizures of epilepsy. During the first quarter of 2019, we launched Oxtellar XR for the recently approved monotherapy treatment of partial onset seizures of epilepsy in adults and in children 6 to 17 years of age.</w:t>
      </w:r>
    </w:p>
    <w:p>
      <w:pPr>
        <w:spacing w:after="0" w:line="141"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These two commercial products differ from immediate release formulations by offering once-daily dosing and unique pharmacokinetic profiles, which we believe can have very positive clinical effects for many patients. We believe a once-daily dosing regimen improves adherence, making it more probable that patients maintain sufficient levels of medication in their bloodstreams to protect against seizures and migraines. In addition, we believe that the unique smooth and steady pharmacokinetic profiles of our once-daily formulations reduce the peak to trough blood level fluctuations, which are typically associated with immediate release products and which may result in increased adverse events (AEs), more side effects and decreased efficacy.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18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expect the number of prescriptions filled for Oxtellar XR and Trokendi XR to continue to increase until patent expiration or generic entry, whichever comes first.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data regarding our prescriptions, as reported by IQVIA, during the periods indicated, including percentage changes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32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w w:val="97"/>
              </w:rPr>
              <w:t>Change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6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3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4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40" w:type="dxa"/>
            <w:vAlign w:val="bottom"/>
            <w:gridSpan w:val="3"/>
          </w:tcPr>
          <w:p>
            <w:pPr>
              <w:ind w:left="280"/>
              <w:spacing w:after="0"/>
              <w:rPr>
                <w:sz w:val="20"/>
                <w:szCs w:val="20"/>
                <w:color w:val="auto"/>
              </w:rPr>
            </w:pPr>
            <w:r>
              <w:rPr>
                <w:rFonts w:ascii="Arial" w:cs="Arial" w:eastAsia="Arial" w:hAnsi="Arial"/>
                <w:sz w:val="14"/>
                <w:szCs w:val="14"/>
                <w:b w:val="1"/>
                <w:bCs w:val="1"/>
                <w:color w:val="auto"/>
              </w:rPr>
              <w:t>Volume</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10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Volume</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Prescriptions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172,981</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164,689</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8,292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center"/>
              <w:ind w:right="94"/>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502,603</w:t>
            </w:r>
          </w:p>
        </w:tc>
        <w:tc>
          <w:tcPr>
            <w:tcW w:w="1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468,252</w:t>
            </w: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34,351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74"/>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42,052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37,476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88"/>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121,016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108,258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ind w:right="154"/>
              <w:spacing w:after="0"/>
              <w:rPr>
                <w:sz w:val="20"/>
                <w:szCs w:val="20"/>
                <w:color w:val="auto"/>
              </w:rPr>
            </w:pPr>
            <w:r>
              <w:rPr>
                <w:rFonts w:ascii="Arial" w:cs="Arial" w:eastAsia="Arial" w:hAnsi="Arial"/>
                <w:sz w:val="18"/>
                <w:szCs w:val="18"/>
                <w:color w:val="auto"/>
                <w:w w:val="94"/>
              </w:rPr>
              <w:t>12%</w:t>
            </w:r>
          </w:p>
        </w:tc>
        <w:tc>
          <w:tcPr>
            <w:tcW w:w="0" w:type="dxa"/>
            <w:vAlign w:val="bottom"/>
          </w:tcPr>
          <w:p>
            <w:pPr>
              <w:spacing w:after="0"/>
              <w:rPr>
                <w:sz w:val="1"/>
                <w:szCs w:val="1"/>
                <w:color w:val="auto"/>
              </w:rPr>
            </w:pPr>
          </w:p>
        </w:tc>
      </w:tr>
      <w:tr>
        <w:trPr>
          <w:trHeight w:val="257"/>
        </w:trPr>
        <w:tc>
          <w:tcPr>
            <w:tcW w:w="2520" w:type="dxa"/>
            <w:vAlign w:val="bottom"/>
          </w:tcPr>
          <w:p>
            <w:pPr>
              <w:ind w:left="40"/>
              <w:spacing w:after="0"/>
              <w:rPr>
                <w:sz w:val="20"/>
                <w:szCs w:val="20"/>
                <w:color w:val="auto"/>
              </w:rPr>
            </w:pPr>
            <w:r>
              <w:rPr>
                <w:rFonts w:ascii="Arial" w:cs="Arial" w:eastAsia="Arial" w:hAnsi="Arial"/>
                <w:sz w:val="18"/>
                <w:szCs w:val="18"/>
                <w:color w:val="auto"/>
              </w:rPr>
              <w:t>Total prescriptions</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215,033</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202,165</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center"/>
              <w:ind w:right="94"/>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623,619</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576,510</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47,109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center"/>
              <w:ind w:right="174"/>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SPN-817 will utilize a novel synthetic form of huperzine A, whose mechanism of action (MOA) includes potent acetyl cholinesterase inhibition with pharmacological activities in CNS conditions such as epilepsy.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Development Program</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plan on studying SPN-817 initially in severe pediatric epilepsy disorders. A Phase I proof-of-concept trial is currently underway outside the U.S. in adult patients with refractory complex partial seizures to study the efficacy, safety and pharmacokinetic profile of a new extended release formulation of non-synthetic huperzine A.</w:t>
      </w:r>
    </w:p>
    <w:p>
      <w:pPr>
        <w:spacing w:after="0" w:line="14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We are completing and optimizing the synthesis process for manufacturing synthetic huperzine A and developing a novel dosage form prior to conducting additional clinical trials. Given the potency of huperzine A, a novel extended release oral dosage form is critical to the success of this program because initial studies with the immediate release formulations of non-synthetic huperzine A have shown dose-limiting, serious side effects.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Psychiatry Portfolio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psychiatry portfolio includes four product candidates for the treatment of psychiatric disorders.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(extended release viloxazine hydrochloride)</w:t>
      </w:r>
    </w:p>
    <w:p>
      <w:pPr>
        <w:spacing w:after="0" w:line="18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Viloxazine, the active ingredient in SPN-812, is a structurally distinct, bicyclic, serotonin norepinephrine modulating agent (SNMA) with New Chemical Entity (NCE) status in the U.S. We are developing SPN-812 as a novel treatment for ADHD in pediatric and adolescent patients. We believe that SPN-812 could be a better alternative than other non-stimulant and stimulant ADHD therapies due to its unique pharmacological and pharmacokinetic profile.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Viloxazine has an extensive safety record in Europe, where it was previously marketed for many years as an antidepressant.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Development Program</w:t>
      </w:r>
    </w:p>
    <w:p>
      <w:pPr>
        <w:spacing w:after="0" w:line="18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Phase III program consisted of four three-arm, placebo-controlled trials: P301 and P303 trials in patients 6 to 11 years old, and P302 and P304 trials in patients 12 to 17 years old. In December 2018, we announced positive topline results from the pediatric trials (P301 and P303) and the first adolescent trial (P302). In March 2019, we announced topline results from the second adolescent trial (P304), supporting the positive results seen in the three previous Phase III trials. The Phase III program for SPN-812 is complete. Patients completing the Phase III trials were permitted to continue treatment under our open label extension trial. That trial is on-going and is expected to continue through 2020, or until our NDA is approved.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initiated a Phase III program in adults in the third quarter of 2019.</w:t>
      </w:r>
    </w:p>
    <w:p>
      <w:pPr>
        <w:spacing w:after="0" w:line="185" w:lineRule="exact"/>
        <w:rPr>
          <w:sz w:val="20"/>
          <w:szCs w:val="20"/>
          <w:color w:val="auto"/>
        </w:rPr>
      </w:pPr>
    </w:p>
    <w:p>
      <w:pPr>
        <w:ind w:right="840" w:firstLine="648"/>
        <w:spacing w:after="0" w:line="308" w:lineRule="auto"/>
        <w:rPr>
          <w:sz w:val="20"/>
          <w:szCs w:val="20"/>
          <w:color w:val="auto"/>
        </w:rPr>
      </w:pPr>
      <w:r>
        <w:rPr>
          <w:rFonts w:ascii="Arial" w:cs="Arial" w:eastAsia="Arial" w:hAnsi="Arial"/>
          <w:sz w:val="17"/>
          <w:szCs w:val="17"/>
          <w:color w:val="auto"/>
        </w:rPr>
        <w:t>The Company continues to focus on compiling the New Drug Application (NDA) for SPN-812 for submission to the U.S. Food and Drug Administration (FDA) in the fourth quarter of 2019. We expect to launch SPN-812, assuming FDA approval, in the second half of 2020.</w:t>
      </w:r>
    </w:p>
    <w:p>
      <w:pPr>
        <w:spacing w:after="0" w:line="10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are continuing to develop and expand our intellectual property (IP) portfolio covering the novel synthesis process for the active ingredient in SPN-812, its novel use in treatment of ADHD and its novel extended release delivery.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 (molindone hydrochloride)</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developing SPN-810 as a novel treatment for IA in patients who have ADHD, with the potential to be the first product available to address this serious, unmet medical need. Molindone hydrochloride was previously marketed in the U.S. for the treatment of schizophrenia, under the trade name Moban, at much higher strengths and using different dosage forms than we are using in our development program. If we are successful in developing SPN-810 as a novel treatment for IA in patients who have ADHD, we may then develop the product as a candidate for treating IA in other indications; e.g., patients with IA in PTSD; bipolar disorder; Alzheimer’s; and other forms of dementia.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SPN-810 Development Program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Phase III program consists of two clinical studies in patients 6 to 11 years old (P301 and P302) and one in patients 12 to 17 years old (P503).</w:t>
      </w:r>
    </w:p>
    <w:p>
      <w:pPr>
        <w:spacing w:after="0" w:line="24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November 2019, we announced topline results from the Phase III P301 trial. The P301 trial did not meet its primary endpoint. The study was a randomized, double-blind, placebo controlled, multicenter, parallel group clinical trial in patients diagnosed with ADHD. Patients receiving SPN-810 36mg showed a median percent reduction of 58.6% in the average weekly frequency of impulsive aggression episodes from baseline that was not statistically significant (p= 0.092) compared to placebo. These results are based on the combined analysis of data from stages 1 and 2 in the study. In stage 1 (interim analysis stage), the median percent reduction was 60%, which was statistically significant (p= 0.029) compared to placebo. However, in stage 2 of the study, post the interim analysis, the increase in variability in the 36mg treatment arm seems to have adversely impacted the results of the combined analysis.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Percent Change from Baseline (CFB) in the Frequency of IA Behaviors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Treatment Period - Primary Analysis (ITT Population)</w:t>
      </w:r>
    </w:p>
    <w:p>
      <w:pPr>
        <w:spacing w:after="0" w:line="27"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25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SPN-810</w:t>
            </w:r>
          </w:p>
        </w:tc>
        <w:tc>
          <w:tcPr>
            <w:tcW w:w="2220" w:type="dxa"/>
            <w:vAlign w:val="bottom"/>
            <w:gridSpan w:val="5"/>
            <w:shd w:val="clear" w:color="auto" w:fill="CCEEFF"/>
          </w:tcPr>
          <w:p>
            <w:pPr>
              <w:ind w:left="800"/>
              <w:spacing w:after="0"/>
              <w:rPr>
                <w:sz w:val="20"/>
                <w:szCs w:val="20"/>
                <w:color w:val="auto"/>
              </w:rPr>
            </w:pPr>
            <w:r>
              <w:rPr>
                <w:rFonts w:ascii="Arial" w:cs="Arial" w:eastAsia="Arial" w:hAnsi="Arial"/>
                <w:sz w:val="18"/>
                <w:szCs w:val="18"/>
                <w:b w:val="1"/>
                <w:bCs w:val="1"/>
                <w:color w:val="auto"/>
              </w:rPr>
              <w:t>SPN-810</w:t>
            </w:r>
          </w:p>
        </w:tc>
      </w:tr>
      <w:tr>
        <w:trPr>
          <w:trHeight w:val="330"/>
        </w:trPr>
        <w:tc>
          <w:tcPr>
            <w:tcW w:w="2520" w:type="dxa"/>
            <w:vAlign w:val="bottom"/>
            <w:tcBorders>
              <w:top w:val="single" w:sz="8" w:color="CCEEFF"/>
              <w:bottom w:val="single" w:sz="8" w:color="CCEEFF"/>
            </w:tcBorders>
            <w:shd w:val="clear" w:color="auto" w:fill="CCEEFF"/>
          </w:tcPr>
          <w:p>
            <w:pPr>
              <w:spacing w:after="0"/>
              <w:rPr>
                <w:sz w:val="24"/>
                <w:szCs w:val="24"/>
                <w:color w:val="auto"/>
              </w:rPr>
            </w:pPr>
          </w:p>
        </w:tc>
        <w:tc>
          <w:tcPr>
            <w:tcW w:w="1960" w:type="dxa"/>
            <w:vAlign w:val="bottom"/>
            <w:tcBorders>
              <w:top w:val="single" w:sz="8" w:color="CCEEFF"/>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Placebo</w:t>
            </w:r>
          </w:p>
        </w:tc>
        <w:tc>
          <w:tcPr>
            <w:tcW w:w="8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18mg</w:t>
            </w: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82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36mg</w:t>
            </w:r>
          </w:p>
        </w:tc>
        <w:tc>
          <w:tcPr>
            <w:tcW w:w="14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70"/>
        </w:trPr>
        <w:tc>
          <w:tcPr>
            <w:tcW w:w="25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 xml:space="preserve">Stage 1 </w:t>
            </w:r>
            <w:r>
              <w:rPr>
                <w:rFonts w:ascii="Arial" w:cs="Arial" w:eastAsia="Arial" w:hAnsi="Arial"/>
                <w:sz w:val="18"/>
                <w:szCs w:val="18"/>
                <w:color w:val="auto"/>
              </w:rPr>
              <w:t>- % CFB</w:t>
            </w:r>
          </w:p>
        </w:tc>
        <w:tc>
          <w:tcPr>
            <w:tcW w:w="520" w:type="dxa"/>
            <w:vAlign w:val="bottom"/>
            <w:tcBorders>
              <w:top w:val="single" w:sz="8" w:color="CCEEFF"/>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40" w:type="dxa"/>
            <w:vAlign w:val="bottom"/>
            <w:tcBorders>
              <w:top w:val="single" w:sz="8" w:color="CCEEFF"/>
            </w:tcBorders>
          </w:tcPr>
          <w:p>
            <w:pPr>
              <w:spacing w:after="0"/>
              <w:rPr>
                <w:sz w:val="23"/>
                <w:szCs w:val="23"/>
                <w:color w:val="auto"/>
              </w:rPr>
            </w:pPr>
          </w:p>
        </w:tc>
      </w:tr>
      <w:tr>
        <w:trPr>
          <w:trHeight w:val="54"/>
        </w:trPr>
        <w:tc>
          <w:tcPr>
            <w:tcW w:w="2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w:t>
            </w:r>
          </w:p>
        </w:tc>
        <w:tc>
          <w:tcPr>
            <w:tcW w:w="11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52</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left="830"/>
              <w:spacing w:after="0"/>
              <w:rPr>
                <w:sz w:val="20"/>
                <w:szCs w:val="20"/>
                <w:color w:val="auto"/>
              </w:rPr>
            </w:pPr>
            <w:r>
              <w:rPr>
                <w:rFonts w:ascii="Arial" w:cs="Arial" w:eastAsia="Arial" w:hAnsi="Arial"/>
                <w:sz w:val="18"/>
                <w:szCs w:val="18"/>
                <w:color w:val="auto"/>
                <w:w w:val="89"/>
              </w:rPr>
              <w:t>45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tcPr>
          <w:p>
            <w:pPr>
              <w:ind w:left="160"/>
              <w:spacing w:after="0"/>
              <w:rPr>
                <w:sz w:val="20"/>
                <w:szCs w:val="20"/>
                <w:color w:val="auto"/>
              </w:rPr>
            </w:pPr>
            <w:r>
              <w:rPr>
                <w:rFonts w:ascii="Arial" w:cs="Arial" w:eastAsia="Arial" w:hAnsi="Arial"/>
                <w:sz w:val="18"/>
                <w:szCs w:val="18"/>
                <w:color w:val="auto"/>
              </w:rPr>
              <w:t>Mean (SD)</w:t>
            </w:r>
          </w:p>
        </w:tc>
        <w:tc>
          <w:tcPr>
            <w:tcW w:w="196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-42.9 (35.9)</w:t>
            </w:r>
          </w:p>
        </w:tc>
        <w:tc>
          <w:tcPr>
            <w:tcW w:w="2300" w:type="dxa"/>
            <w:vAlign w:val="bottom"/>
            <w:gridSpan w:val="5"/>
          </w:tcPr>
          <w:p>
            <w:pPr>
              <w:jc w:val="center"/>
              <w:spacing w:after="0"/>
              <w:rPr>
                <w:sz w:val="20"/>
                <w:szCs w:val="20"/>
                <w:color w:val="auto"/>
              </w:rPr>
            </w:pPr>
            <w:r>
              <w:rPr>
                <w:rFonts w:ascii="Arial" w:cs="Arial" w:eastAsia="Arial" w:hAnsi="Arial"/>
                <w:sz w:val="18"/>
                <w:szCs w:val="18"/>
                <w:color w:val="auto"/>
                <w:w w:val="92"/>
              </w:rPr>
              <w:t>-45.8 (33.5)</w:t>
            </w:r>
          </w:p>
        </w:tc>
        <w:tc>
          <w:tcPr>
            <w:tcW w:w="2220" w:type="dxa"/>
            <w:vAlign w:val="bottom"/>
            <w:gridSpan w:val="5"/>
          </w:tcPr>
          <w:p>
            <w:pPr>
              <w:jc w:val="center"/>
              <w:spacing w:after="0"/>
              <w:rPr>
                <w:sz w:val="20"/>
                <w:szCs w:val="20"/>
                <w:color w:val="auto"/>
              </w:rPr>
            </w:pPr>
            <w:r>
              <w:rPr>
                <w:rFonts w:ascii="Arial" w:cs="Arial" w:eastAsia="Arial" w:hAnsi="Arial"/>
                <w:sz w:val="18"/>
                <w:szCs w:val="18"/>
                <w:color w:val="auto"/>
                <w:w w:val="90"/>
              </w:rPr>
              <w:t>-56.6 (34.1)</w:t>
            </w:r>
          </w:p>
        </w:tc>
      </w:tr>
      <w:tr>
        <w:trPr>
          <w:trHeight w:val="27"/>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Median</w:t>
            </w:r>
          </w:p>
        </w:tc>
        <w:tc>
          <w:tcPr>
            <w:tcW w:w="11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2"/>
              </w:rPr>
              <w:t>-48.6</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92"/>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87"/>
              </w:rPr>
              <w:t>-60.0</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tcPr>
          <w:p>
            <w:pPr>
              <w:ind w:left="160"/>
              <w:spacing w:after="0"/>
              <w:rPr>
                <w:sz w:val="20"/>
                <w:szCs w:val="20"/>
                <w:color w:val="auto"/>
              </w:rPr>
            </w:pPr>
            <w:r>
              <w:rPr>
                <w:rFonts w:ascii="Arial" w:cs="Arial" w:eastAsia="Arial" w:hAnsi="Arial"/>
                <w:sz w:val="18"/>
                <w:szCs w:val="18"/>
                <w:color w:val="auto"/>
              </w:rPr>
              <w:t>P-value</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left="850"/>
              <w:spacing w:after="0"/>
              <w:rPr>
                <w:sz w:val="20"/>
                <w:szCs w:val="20"/>
                <w:color w:val="auto"/>
              </w:rPr>
            </w:pPr>
            <w:r>
              <w:rPr>
                <w:rFonts w:ascii="Arial" w:cs="Arial" w:eastAsia="Arial" w:hAnsi="Arial"/>
                <w:sz w:val="18"/>
                <w:szCs w:val="18"/>
                <w:color w:val="auto"/>
                <w:w w:val="93"/>
              </w:rPr>
              <w:t>0.651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gridSpan w:val="3"/>
          </w:tcPr>
          <w:p>
            <w:pPr>
              <w:jc w:val="center"/>
              <w:ind w:left="850"/>
              <w:spacing w:after="0"/>
              <w:rPr>
                <w:sz w:val="20"/>
                <w:szCs w:val="20"/>
                <w:color w:val="auto"/>
              </w:rPr>
            </w:pPr>
            <w:r>
              <w:rPr>
                <w:rFonts w:ascii="Arial" w:cs="Arial" w:eastAsia="Arial" w:hAnsi="Arial"/>
                <w:sz w:val="18"/>
                <w:szCs w:val="18"/>
                <w:color w:val="auto"/>
                <w:w w:val="88"/>
              </w:rPr>
              <w:t>0.029</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304"/>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Stage 2 </w:t>
            </w:r>
            <w:r>
              <w:rPr>
                <w:rFonts w:ascii="Arial" w:cs="Arial" w:eastAsia="Arial" w:hAnsi="Arial"/>
                <w:sz w:val="18"/>
                <w:szCs w:val="18"/>
                <w:color w:val="auto"/>
              </w:rPr>
              <w:t>- % CFB</w:t>
            </w:r>
          </w:p>
        </w:tc>
        <w:tc>
          <w:tcPr>
            <w:tcW w:w="5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r>
      <w:tr>
        <w:trPr>
          <w:trHeight w:val="243"/>
        </w:trPr>
        <w:tc>
          <w:tcPr>
            <w:tcW w:w="2520" w:type="dxa"/>
            <w:vAlign w:val="bottom"/>
          </w:tcPr>
          <w:p>
            <w:pPr>
              <w:ind w:left="160"/>
              <w:spacing w:after="0"/>
              <w:rPr>
                <w:sz w:val="20"/>
                <w:szCs w:val="20"/>
                <w:color w:val="auto"/>
              </w:rPr>
            </w:pPr>
            <w:r>
              <w:rPr>
                <w:rFonts w:ascii="Arial" w:cs="Arial" w:eastAsia="Arial" w:hAnsi="Arial"/>
                <w:sz w:val="18"/>
                <w:szCs w:val="18"/>
                <w:color w:val="auto"/>
              </w:rPr>
              <w:t>N</w:t>
            </w:r>
          </w:p>
        </w:tc>
        <w:tc>
          <w:tcPr>
            <w:tcW w:w="112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73</w:t>
            </w:r>
          </w:p>
        </w:tc>
        <w:tc>
          <w:tcPr>
            <w:tcW w:w="840" w:type="dxa"/>
            <w:vAlign w:val="bottom"/>
          </w:tcPr>
          <w:p>
            <w:pPr>
              <w:spacing w:after="0"/>
              <w:rPr>
                <w:sz w:val="21"/>
                <w:szCs w:val="21"/>
                <w:color w:val="auto"/>
              </w:rPr>
            </w:pPr>
          </w:p>
        </w:tc>
        <w:tc>
          <w:tcPr>
            <w:tcW w:w="1360" w:type="dxa"/>
            <w:vAlign w:val="bottom"/>
            <w:gridSpan w:val="3"/>
          </w:tcPr>
          <w:p>
            <w:pPr>
              <w:jc w:val="center"/>
              <w:ind w:left="850"/>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gridSpan w:val="3"/>
          </w:tcPr>
          <w:p>
            <w:pPr>
              <w:jc w:val="center"/>
              <w:ind w:left="830"/>
              <w:spacing w:after="0"/>
              <w:rPr>
                <w:sz w:val="20"/>
                <w:szCs w:val="20"/>
                <w:color w:val="auto"/>
              </w:rPr>
            </w:pPr>
            <w:r>
              <w:rPr>
                <w:rFonts w:ascii="Arial" w:cs="Arial" w:eastAsia="Arial" w:hAnsi="Arial"/>
                <w:sz w:val="18"/>
                <w:szCs w:val="18"/>
                <w:color w:val="auto"/>
                <w:w w:val="89"/>
              </w:rPr>
              <w:t>90</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Mean (SD)</w:t>
            </w:r>
          </w:p>
        </w:tc>
        <w:tc>
          <w:tcPr>
            <w:tcW w:w="1960" w:type="dxa"/>
            <w:vAlign w:val="bottom"/>
            <w:tcBorders>
              <w:bottom w:val="single" w:sz="8" w:color="CCEEFF"/>
            </w:tcBorders>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2"/>
              </w:rPr>
              <w:t>-43.8 (36.3)</w:t>
            </w:r>
          </w:p>
        </w:tc>
        <w:tc>
          <w:tcPr>
            <w:tcW w:w="23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2"/>
              </w:rPr>
              <w:t>-44.5 (34.6)</w:t>
            </w:r>
          </w:p>
        </w:tc>
        <w:tc>
          <w:tcPr>
            <w:tcW w:w="222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8"/>
                <w:szCs w:val="18"/>
                <w:color w:val="auto"/>
                <w:w w:val="90"/>
              </w:rPr>
              <w:t>-44.0 (43.5)</w:t>
            </w:r>
          </w:p>
        </w:tc>
      </w:tr>
      <w:tr>
        <w:trPr>
          <w:trHeight w:val="243"/>
        </w:trPr>
        <w:tc>
          <w:tcPr>
            <w:tcW w:w="2520" w:type="dxa"/>
            <w:vAlign w:val="bottom"/>
          </w:tcPr>
          <w:p>
            <w:pPr>
              <w:ind w:left="160"/>
              <w:spacing w:after="0"/>
              <w:rPr>
                <w:sz w:val="20"/>
                <w:szCs w:val="20"/>
                <w:color w:val="auto"/>
              </w:rPr>
            </w:pPr>
            <w:r>
              <w:rPr>
                <w:rFonts w:ascii="Arial" w:cs="Arial" w:eastAsia="Arial" w:hAnsi="Arial"/>
                <w:sz w:val="18"/>
                <w:szCs w:val="18"/>
                <w:color w:val="auto"/>
              </w:rPr>
              <w:t>Median</w:t>
            </w:r>
          </w:p>
        </w:tc>
        <w:tc>
          <w:tcPr>
            <w:tcW w:w="1120" w:type="dxa"/>
            <w:vAlign w:val="bottom"/>
            <w:gridSpan w:val="2"/>
          </w:tcPr>
          <w:p>
            <w:pPr>
              <w:jc w:val="center"/>
              <w:ind w:left="410"/>
              <w:spacing w:after="0"/>
              <w:rPr>
                <w:sz w:val="20"/>
                <w:szCs w:val="20"/>
                <w:color w:val="auto"/>
              </w:rPr>
            </w:pPr>
            <w:r>
              <w:rPr>
                <w:rFonts w:ascii="Arial" w:cs="Arial" w:eastAsia="Arial" w:hAnsi="Arial"/>
                <w:sz w:val="18"/>
                <w:szCs w:val="18"/>
                <w:color w:val="auto"/>
                <w:w w:val="92"/>
              </w:rPr>
              <w:t>-47.2</w:t>
            </w:r>
          </w:p>
        </w:tc>
        <w:tc>
          <w:tcPr>
            <w:tcW w:w="840" w:type="dxa"/>
            <w:vAlign w:val="bottom"/>
          </w:tcPr>
          <w:p>
            <w:pPr>
              <w:spacing w:after="0"/>
              <w:rPr>
                <w:sz w:val="21"/>
                <w:szCs w:val="21"/>
                <w:color w:val="auto"/>
              </w:rPr>
            </w:pPr>
          </w:p>
        </w:tc>
        <w:tc>
          <w:tcPr>
            <w:tcW w:w="136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-45.6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gridSpan w:val="3"/>
          </w:tcPr>
          <w:p>
            <w:pPr>
              <w:jc w:val="center"/>
              <w:ind w:left="850"/>
              <w:spacing w:after="0"/>
              <w:rPr>
                <w:sz w:val="20"/>
                <w:szCs w:val="20"/>
                <w:color w:val="auto"/>
              </w:rPr>
            </w:pPr>
            <w:r>
              <w:rPr>
                <w:rFonts w:ascii="Arial" w:cs="Arial" w:eastAsia="Arial" w:hAnsi="Arial"/>
                <w:sz w:val="18"/>
                <w:szCs w:val="18"/>
                <w:color w:val="auto"/>
                <w:w w:val="87"/>
              </w:rPr>
              <w:t>-58.5</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P-value</w:t>
            </w: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88"/>
              </w:rPr>
              <w:t>0.102</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56"/>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 xml:space="preserve">Stages 1 &amp; 2 Combined </w:t>
            </w:r>
            <w:r>
              <w:rPr>
                <w:rFonts w:ascii="Arial" w:cs="Arial" w:eastAsia="Arial" w:hAnsi="Arial"/>
                <w:sz w:val="18"/>
                <w:szCs w:val="18"/>
                <w:color w:val="auto"/>
              </w:rPr>
              <w:t>- %</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CFB</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4"/>
        </w:trPr>
        <w:tc>
          <w:tcPr>
            <w:tcW w:w="2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w:t>
            </w:r>
          </w:p>
        </w:tc>
        <w:tc>
          <w:tcPr>
            <w:tcW w:w="11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6"/>
              </w:rPr>
              <w:t>125</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8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93"/>
              </w:rPr>
              <w:t>135</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tcPr>
          <w:p>
            <w:pPr>
              <w:ind w:left="160"/>
              <w:spacing w:after="0"/>
              <w:rPr>
                <w:sz w:val="20"/>
                <w:szCs w:val="20"/>
                <w:color w:val="auto"/>
              </w:rPr>
            </w:pPr>
            <w:r>
              <w:rPr>
                <w:rFonts w:ascii="Arial" w:cs="Arial" w:eastAsia="Arial" w:hAnsi="Arial"/>
                <w:sz w:val="18"/>
                <w:szCs w:val="18"/>
                <w:color w:val="auto"/>
              </w:rPr>
              <w:t>Mean (SD)</w:t>
            </w:r>
          </w:p>
        </w:tc>
        <w:tc>
          <w:tcPr>
            <w:tcW w:w="196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-43.4 (36.0)</w:t>
            </w:r>
          </w:p>
        </w:tc>
        <w:tc>
          <w:tcPr>
            <w:tcW w:w="2300" w:type="dxa"/>
            <w:vAlign w:val="bottom"/>
            <w:gridSpan w:val="5"/>
          </w:tcPr>
          <w:p>
            <w:pPr>
              <w:jc w:val="center"/>
              <w:spacing w:after="0"/>
              <w:rPr>
                <w:sz w:val="20"/>
                <w:szCs w:val="20"/>
                <w:color w:val="auto"/>
              </w:rPr>
            </w:pPr>
            <w:r>
              <w:rPr>
                <w:rFonts w:ascii="Arial" w:cs="Arial" w:eastAsia="Arial" w:hAnsi="Arial"/>
                <w:sz w:val="18"/>
                <w:szCs w:val="18"/>
                <w:color w:val="auto"/>
                <w:w w:val="92"/>
              </w:rPr>
              <w:t>-45.5 (33.5)</w:t>
            </w:r>
          </w:p>
        </w:tc>
        <w:tc>
          <w:tcPr>
            <w:tcW w:w="2220" w:type="dxa"/>
            <w:vAlign w:val="bottom"/>
            <w:gridSpan w:val="5"/>
          </w:tcPr>
          <w:p>
            <w:pPr>
              <w:jc w:val="center"/>
              <w:spacing w:after="0"/>
              <w:rPr>
                <w:sz w:val="20"/>
                <w:szCs w:val="20"/>
                <w:color w:val="auto"/>
              </w:rPr>
            </w:pPr>
            <w:r>
              <w:rPr>
                <w:rFonts w:ascii="Arial" w:cs="Arial" w:eastAsia="Arial" w:hAnsi="Arial"/>
                <w:sz w:val="18"/>
                <w:szCs w:val="18"/>
                <w:color w:val="auto"/>
                <w:w w:val="90"/>
              </w:rPr>
              <w:t>-48.2 (40.9)</w:t>
            </w:r>
          </w:p>
        </w:tc>
      </w:tr>
      <w:tr>
        <w:trPr>
          <w:trHeight w:val="27"/>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Median</w:t>
            </w:r>
          </w:p>
        </w:tc>
        <w:tc>
          <w:tcPr>
            <w:tcW w:w="11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2"/>
              </w:rPr>
              <w:t>-48.2</w:t>
            </w:r>
          </w:p>
        </w:tc>
        <w:tc>
          <w:tcPr>
            <w:tcW w:w="8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92"/>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left="850"/>
              <w:spacing w:after="0"/>
              <w:rPr>
                <w:sz w:val="20"/>
                <w:szCs w:val="20"/>
                <w:color w:val="auto"/>
              </w:rPr>
            </w:pPr>
            <w:r>
              <w:rPr>
                <w:rFonts w:ascii="Arial" w:cs="Arial" w:eastAsia="Arial" w:hAnsi="Arial"/>
                <w:sz w:val="18"/>
                <w:szCs w:val="18"/>
                <w:color w:val="auto"/>
                <w:w w:val="87"/>
              </w:rPr>
              <w:t>-58.6</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2520" w:type="dxa"/>
            <w:vAlign w:val="bottom"/>
          </w:tcPr>
          <w:p>
            <w:pPr>
              <w:ind w:left="160"/>
              <w:spacing w:after="0"/>
              <w:rPr>
                <w:sz w:val="20"/>
                <w:szCs w:val="20"/>
                <w:color w:val="auto"/>
              </w:rPr>
            </w:pPr>
            <w:r>
              <w:rPr>
                <w:rFonts w:ascii="Arial" w:cs="Arial" w:eastAsia="Arial" w:hAnsi="Arial"/>
                <w:sz w:val="18"/>
                <w:szCs w:val="18"/>
                <w:color w:val="auto"/>
              </w:rPr>
              <w:t>P-value</w:t>
            </w: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gridSpan w:val="3"/>
          </w:tcPr>
          <w:p>
            <w:pPr>
              <w:jc w:val="center"/>
              <w:ind w:left="850"/>
              <w:spacing w:after="0"/>
              <w:rPr>
                <w:sz w:val="20"/>
                <w:szCs w:val="20"/>
                <w:color w:val="auto"/>
              </w:rPr>
            </w:pPr>
            <w:r>
              <w:rPr>
                <w:rFonts w:ascii="Arial" w:cs="Arial" w:eastAsia="Arial" w:hAnsi="Arial"/>
                <w:sz w:val="18"/>
                <w:szCs w:val="18"/>
                <w:color w:val="auto"/>
                <w:w w:val="93"/>
              </w:rPr>
              <w:t>0.714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gridSpan w:val="3"/>
          </w:tcPr>
          <w:p>
            <w:pPr>
              <w:jc w:val="center"/>
              <w:ind w:left="850"/>
              <w:spacing w:after="0"/>
              <w:rPr>
                <w:sz w:val="20"/>
                <w:szCs w:val="20"/>
                <w:color w:val="auto"/>
              </w:rPr>
            </w:pPr>
            <w:r>
              <w:rPr>
                <w:rFonts w:ascii="Arial" w:cs="Arial" w:eastAsia="Arial" w:hAnsi="Arial"/>
                <w:sz w:val="18"/>
                <w:szCs w:val="18"/>
                <w:color w:val="auto"/>
                <w:w w:val="88"/>
              </w:rPr>
              <w:t>0.092</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median percent reduction in frequency of IA behavior in this Phase III study is consistent with the range of percent improvement in the retrospective modified aggression scale (58% - 62%) we saw in the two positive treatment arms in the Phase IIb study. We will continue to analyze the results to better understand the reasons behind the increased variability in the 36mg treatment arm in the P301 study.</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Overall, the trial exhibited favorable tolerability and safety profiles with low incidence of AEs across all doses. AEs were mild leading to low discontinuation rates of 0%, 7% and 5% for the 18mg, 36mg and combined treatment arms, respectively.</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Adverse Event (AE)</w:t>
            </w:r>
          </w:p>
        </w:tc>
        <w:tc>
          <w:tcPr>
            <w:tcW w:w="154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w w:val="83"/>
              </w:rPr>
              <w:t>Placebo</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80" w:type="dxa"/>
            <w:vAlign w:val="bottom"/>
            <w:tcBorders>
              <w:bottom w:val="single" w:sz="8" w:color="CCEEFF"/>
            </w:tcBorders>
            <w:vMerge w:val="restart"/>
            <w:shd w:val="clear" w:color="auto" w:fill="CCEEFF"/>
          </w:tcPr>
          <w:p>
            <w:pPr>
              <w:spacing w:after="0"/>
              <w:rPr>
                <w:sz w:val="19"/>
                <w:szCs w:val="19"/>
                <w:color w:val="auto"/>
              </w:rPr>
            </w:pPr>
          </w:p>
        </w:tc>
        <w:tc>
          <w:tcPr>
            <w:tcW w:w="1120" w:type="dxa"/>
            <w:vAlign w:val="bottom"/>
            <w:tcBorders>
              <w:bottom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b w:val="1"/>
                <w:bCs w:val="1"/>
                <w:color w:val="auto"/>
                <w:w w:val="87"/>
              </w:rPr>
              <w:t>SPN-810 18mg</w:t>
            </w:r>
          </w:p>
        </w:tc>
        <w:tc>
          <w:tcPr>
            <w:tcW w:w="560" w:type="dxa"/>
            <w:vAlign w:val="bottom"/>
            <w:tcBorders>
              <w:bottom w:val="single" w:sz="8" w:color="CCEEFF"/>
            </w:tcBorders>
            <w:vMerge w:val="restart"/>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gridSpan w:val="5"/>
            <w:vMerge w:val="restart"/>
            <w:shd w:val="clear" w:color="auto" w:fill="CCEEFF"/>
          </w:tcPr>
          <w:p>
            <w:pPr>
              <w:ind w:left="200"/>
              <w:spacing w:after="0"/>
              <w:rPr>
                <w:sz w:val="20"/>
                <w:szCs w:val="20"/>
                <w:color w:val="auto"/>
              </w:rPr>
            </w:pPr>
            <w:r>
              <w:rPr>
                <w:rFonts w:ascii="Arial" w:cs="Arial" w:eastAsia="Arial" w:hAnsi="Arial"/>
                <w:sz w:val="18"/>
                <w:szCs w:val="18"/>
                <w:b w:val="1"/>
                <w:bCs w:val="1"/>
                <w:color w:val="auto"/>
              </w:rPr>
              <w:t>SPN-810 Combined</w:t>
            </w:r>
          </w:p>
        </w:tc>
        <w:tc>
          <w:tcPr>
            <w:tcW w:w="0" w:type="dxa"/>
            <w:vAlign w:val="bottom"/>
          </w:tcPr>
          <w:p>
            <w:pPr>
              <w:spacing w:after="0"/>
              <w:rPr>
                <w:sz w:val="1"/>
                <w:szCs w:val="1"/>
                <w:color w:val="auto"/>
              </w:rPr>
            </w:pPr>
          </w:p>
        </w:tc>
      </w:tr>
      <w:tr>
        <w:trPr>
          <w:trHeight w:val="79"/>
        </w:trPr>
        <w:tc>
          <w:tcPr>
            <w:tcW w:w="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vMerge w:val="continue"/>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20" w:type="dxa"/>
            <w:vAlign w:val="bottom"/>
            <w:tcBorders>
              <w:bottom w:val="single" w:sz="8" w:color="CCEEFF"/>
            </w:tcBorders>
            <w:vMerge w:val="continue"/>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1120" w:type="dxa"/>
            <w:vAlign w:val="bottom"/>
            <w:tcBorders>
              <w:bottom w:val="single" w:sz="8" w:color="auto"/>
            </w:tcBorders>
            <w:gridSpan w:val="3"/>
            <w:vMerge w:val="continue"/>
            <w:shd w:val="clear" w:color="auto" w:fill="CCEEFF"/>
          </w:tcPr>
          <w:p>
            <w:pPr>
              <w:spacing w:after="0"/>
              <w:rPr>
                <w:sz w:val="6"/>
                <w:szCs w:val="6"/>
                <w:color w:val="auto"/>
              </w:rPr>
            </w:pPr>
          </w:p>
        </w:tc>
        <w:tc>
          <w:tcPr>
            <w:tcW w:w="560" w:type="dxa"/>
            <w:vAlign w:val="bottom"/>
            <w:tcBorders>
              <w:bottom w:val="single" w:sz="8" w:color="CCEEFF"/>
            </w:tcBorders>
            <w:vMerge w:val="continue"/>
            <w:shd w:val="clear" w:color="auto" w:fill="CCEEFF"/>
          </w:tcPr>
          <w:p>
            <w:pPr>
              <w:spacing w:after="0"/>
              <w:rPr>
                <w:sz w:val="6"/>
                <w:szCs w:val="6"/>
                <w:color w:val="auto"/>
              </w:rPr>
            </w:pPr>
          </w:p>
        </w:tc>
        <w:tc>
          <w:tcPr>
            <w:tcW w:w="180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2080" w:type="dxa"/>
            <w:vAlign w:val="bottom"/>
            <w:tcBorders>
              <w:bottom w:val="single" w:sz="8" w:color="CCEEFF"/>
            </w:tcBorders>
            <w:gridSpan w:val="5"/>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N (%)</w:t>
            </w:r>
          </w:p>
        </w:tc>
        <w:tc>
          <w:tcPr>
            <w:tcW w:w="26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auto"/>
            </w:tcBorders>
            <w:gridSpan w:val="3"/>
            <w:shd w:val="clear" w:color="auto" w:fill="CCEEFF"/>
          </w:tcPr>
          <w:p>
            <w:pPr>
              <w:jc w:val="center"/>
              <w:ind w:right="20"/>
              <w:spacing w:after="0" w:line="142" w:lineRule="exact"/>
              <w:rPr>
                <w:sz w:val="20"/>
                <w:szCs w:val="20"/>
                <w:color w:val="auto"/>
              </w:rPr>
            </w:pPr>
            <w:r>
              <w:rPr>
                <w:rFonts w:ascii="Arial" w:cs="Arial" w:eastAsia="Arial" w:hAnsi="Arial"/>
                <w:sz w:val="16"/>
                <w:szCs w:val="16"/>
                <w:b w:val="1"/>
                <w:bCs w:val="1"/>
                <w:color w:val="auto"/>
              </w:rPr>
              <w:t>(N=126)</w:t>
            </w:r>
          </w:p>
        </w:tc>
        <w:tc>
          <w:tcPr>
            <w:tcW w:w="10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b w:val="1"/>
                <w:bCs w:val="1"/>
                <w:color w:val="auto"/>
              </w:rPr>
              <w:t>(N=65)</w:t>
            </w:r>
          </w:p>
        </w:tc>
        <w:tc>
          <w:tcPr>
            <w:tcW w:w="8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SPN-810 36mg (N=137)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gridSpan w:val="2"/>
            <w:shd w:val="clear" w:color="auto" w:fill="CCEEFF"/>
          </w:tcPr>
          <w:p>
            <w:pPr>
              <w:jc w:val="center"/>
              <w:ind w:right="440"/>
              <w:spacing w:after="0" w:line="170" w:lineRule="exact"/>
              <w:rPr>
                <w:sz w:val="20"/>
                <w:szCs w:val="20"/>
                <w:color w:val="auto"/>
              </w:rPr>
            </w:pPr>
            <w:r>
              <w:rPr>
                <w:rFonts w:ascii="Arial" w:cs="Arial" w:eastAsia="Arial" w:hAnsi="Arial"/>
                <w:sz w:val="18"/>
                <w:szCs w:val="18"/>
                <w:b w:val="1"/>
                <w:bCs w:val="1"/>
                <w:color w:val="auto"/>
                <w:w w:val="94"/>
              </w:rPr>
              <w:t>(N=202)</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30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Fatigue</w:t>
            </w:r>
          </w:p>
        </w:tc>
        <w:tc>
          <w:tcPr>
            <w:tcW w:w="1240" w:type="dxa"/>
            <w:vAlign w:val="bottom"/>
            <w:tcBorders>
              <w:top w:val="single" w:sz="8" w:color="CCEEFF"/>
            </w:tcBorders>
            <w:gridSpan w:val="3"/>
          </w:tcPr>
          <w:p>
            <w:pPr>
              <w:jc w:val="center"/>
              <w:ind w:left="550"/>
              <w:spacing w:after="0"/>
              <w:rPr>
                <w:sz w:val="20"/>
                <w:szCs w:val="20"/>
                <w:color w:val="auto"/>
              </w:rPr>
            </w:pPr>
            <w:r>
              <w:rPr>
                <w:rFonts w:ascii="Arial" w:cs="Arial" w:eastAsia="Arial" w:hAnsi="Arial"/>
                <w:sz w:val="18"/>
                <w:szCs w:val="18"/>
                <w:color w:val="auto"/>
                <w:w w:val="92"/>
              </w:rPr>
              <w:t>1 (0.8)</w:t>
            </w:r>
          </w:p>
        </w:tc>
        <w:tc>
          <w:tcPr>
            <w:tcW w:w="20" w:type="dxa"/>
            <w:vAlign w:val="bottom"/>
            <w:tcBorders>
              <w:top w:val="single" w:sz="8" w:color="CCEEFF"/>
            </w:tcBorders>
          </w:tcPr>
          <w:p>
            <w:pPr>
              <w:spacing w:after="0"/>
              <w:rPr>
                <w:sz w:val="21"/>
                <w:szCs w:val="21"/>
                <w:color w:val="auto"/>
              </w:rPr>
            </w:pPr>
          </w:p>
        </w:tc>
        <w:tc>
          <w:tcPr>
            <w:tcW w:w="108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gridSpan w:val="2"/>
          </w:tcPr>
          <w:p>
            <w:pPr>
              <w:jc w:val="center"/>
              <w:ind w:left="210"/>
              <w:spacing w:after="0"/>
              <w:rPr>
                <w:sz w:val="20"/>
                <w:szCs w:val="20"/>
                <w:color w:val="auto"/>
              </w:rPr>
            </w:pPr>
            <w:r>
              <w:rPr>
                <w:rFonts w:ascii="Arial" w:cs="Arial" w:eastAsia="Arial" w:hAnsi="Arial"/>
                <w:sz w:val="18"/>
                <w:szCs w:val="18"/>
                <w:color w:val="auto"/>
                <w:w w:val="92"/>
              </w:rPr>
              <w:t>2 (3.1)</w:t>
            </w: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 (7.3)</w:t>
            </w:r>
          </w:p>
        </w:tc>
        <w:tc>
          <w:tcPr>
            <w:tcW w:w="2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gridSpan w:val="2"/>
          </w:tcPr>
          <w:p>
            <w:pPr>
              <w:spacing w:after="0"/>
              <w:rPr>
                <w:sz w:val="21"/>
                <w:szCs w:val="21"/>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12 (5.9)</w:t>
            </w:r>
          </w:p>
        </w:tc>
        <w:tc>
          <w:tcPr>
            <w:tcW w:w="44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Headache</w:t>
            </w:r>
          </w:p>
        </w:tc>
        <w:tc>
          <w:tcPr>
            <w:tcW w:w="1240" w:type="dxa"/>
            <w:vAlign w:val="bottom"/>
            <w:tcBorders>
              <w:bottom w:val="single" w:sz="8" w:color="CCEEFF"/>
            </w:tcBorders>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2"/>
              </w:rPr>
              <w:t>2 (1.6)</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2 (3.1)</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 (5.1)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2"/>
              </w:rPr>
              <w:t>9 (4.5)</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Increased Appetite</w:t>
            </w:r>
          </w:p>
        </w:tc>
        <w:tc>
          <w:tcPr>
            <w:tcW w:w="124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6 (4.8)</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center"/>
              <w:ind w:left="210"/>
              <w:spacing w:after="0"/>
              <w:rPr>
                <w:sz w:val="20"/>
                <w:szCs w:val="20"/>
                <w:color w:val="auto"/>
              </w:rPr>
            </w:pPr>
            <w:r>
              <w:rPr>
                <w:rFonts w:ascii="Arial" w:cs="Arial" w:eastAsia="Arial" w:hAnsi="Arial"/>
                <w:sz w:val="18"/>
                <w:szCs w:val="18"/>
                <w:color w:val="auto"/>
                <w:w w:val="79"/>
              </w:rPr>
              <w:t>0</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9 (6.6)</w:t>
            </w:r>
          </w:p>
        </w:tc>
        <w:tc>
          <w:tcPr>
            <w:tcW w:w="200" w:type="dxa"/>
            <w:vAlign w:val="bottom"/>
          </w:tcPr>
          <w:p>
            <w:pPr>
              <w:spacing w:after="0"/>
              <w:rPr>
                <w:sz w:val="21"/>
                <w:szCs w:val="21"/>
                <w:color w:val="auto"/>
              </w:rPr>
            </w:pPr>
          </w:p>
        </w:tc>
        <w:tc>
          <w:tcPr>
            <w:tcW w:w="1260" w:type="dxa"/>
            <w:vAlign w:val="bottom"/>
            <w:gridSpan w:val="3"/>
          </w:tcPr>
          <w:p>
            <w:pPr>
              <w:jc w:val="center"/>
              <w:ind w:left="570"/>
              <w:spacing w:after="0"/>
              <w:rPr>
                <w:sz w:val="20"/>
                <w:szCs w:val="20"/>
                <w:color w:val="auto"/>
              </w:rPr>
            </w:pPr>
            <w:r>
              <w:rPr>
                <w:rFonts w:ascii="Arial" w:cs="Arial" w:eastAsia="Arial" w:hAnsi="Arial"/>
                <w:sz w:val="18"/>
                <w:szCs w:val="18"/>
                <w:color w:val="auto"/>
                <w:w w:val="92"/>
              </w:rPr>
              <w:t>9 (4.5)</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Blood Prolactin Increased</w:t>
            </w:r>
          </w:p>
        </w:tc>
        <w:tc>
          <w:tcPr>
            <w:tcW w:w="1240" w:type="dxa"/>
            <w:vAlign w:val="bottom"/>
            <w:tcBorders>
              <w:bottom w:val="single" w:sz="8" w:color="CCEEFF"/>
            </w:tcBorders>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2"/>
              </w:rPr>
              <w:t>1 (0.8)</w:t>
            </w:r>
          </w:p>
        </w:tc>
        <w:tc>
          <w:tcPr>
            <w:tcW w:w="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2"/>
              </w:rPr>
              <w:t>4 (6.2)</w:t>
            </w:r>
          </w:p>
        </w:tc>
        <w:tc>
          <w:tcPr>
            <w:tcW w:w="3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 (1.5)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92"/>
              </w:rPr>
              <w:t>6 (3.0)</w:t>
            </w: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Upper Respiratory Tract Infection</w:t>
            </w:r>
          </w:p>
        </w:tc>
        <w:tc>
          <w:tcPr>
            <w:tcW w:w="124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8 (6.3)</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center"/>
              <w:ind w:left="210"/>
              <w:spacing w:after="0"/>
              <w:rPr>
                <w:sz w:val="20"/>
                <w:szCs w:val="20"/>
                <w:color w:val="auto"/>
              </w:rPr>
            </w:pPr>
            <w:r>
              <w:rPr>
                <w:rFonts w:ascii="Arial" w:cs="Arial" w:eastAsia="Arial" w:hAnsi="Arial"/>
                <w:sz w:val="18"/>
                <w:szCs w:val="18"/>
                <w:color w:val="auto"/>
                <w:w w:val="92"/>
              </w:rPr>
              <w:t>2 (3.1)</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2 (1.5)</w:t>
            </w:r>
          </w:p>
        </w:tc>
        <w:tc>
          <w:tcPr>
            <w:tcW w:w="200" w:type="dxa"/>
            <w:vAlign w:val="bottom"/>
          </w:tcPr>
          <w:p>
            <w:pPr>
              <w:spacing w:after="0"/>
              <w:rPr>
                <w:sz w:val="21"/>
                <w:szCs w:val="21"/>
                <w:color w:val="auto"/>
              </w:rPr>
            </w:pPr>
          </w:p>
        </w:tc>
        <w:tc>
          <w:tcPr>
            <w:tcW w:w="1260" w:type="dxa"/>
            <w:vAlign w:val="bottom"/>
            <w:gridSpan w:val="3"/>
          </w:tcPr>
          <w:p>
            <w:pPr>
              <w:jc w:val="center"/>
              <w:ind w:left="570"/>
              <w:spacing w:after="0"/>
              <w:rPr>
                <w:sz w:val="20"/>
                <w:szCs w:val="20"/>
                <w:color w:val="auto"/>
              </w:rPr>
            </w:pPr>
            <w:r>
              <w:rPr>
                <w:rFonts w:ascii="Arial" w:cs="Arial" w:eastAsia="Arial" w:hAnsi="Arial"/>
                <w:sz w:val="18"/>
                <w:szCs w:val="18"/>
                <w:color w:val="auto"/>
                <w:w w:val="92"/>
              </w:rPr>
              <w:t>4 (2.0)</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Discontinuation Rate due to AEs</w:t>
            </w:r>
          </w:p>
        </w:tc>
        <w:tc>
          <w:tcPr>
            <w:tcW w:w="124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4 (3.1)</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20" w:type="dxa"/>
            <w:vAlign w:val="bottom"/>
            <w:gridSpan w:val="2"/>
          </w:tcPr>
          <w:p>
            <w:pPr>
              <w:jc w:val="center"/>
              <w:ind w:left="210"/>
              <w:spacing w:after="0"/>
              <w:rPr>
                <w:sz w:val="20"/>
                <w:szCs w:val="20"/>
                <w:color w:val="auto"/>
              </w:rPr>
            </w:pPr>
            <w:r>
              <w:rPr>
                <w:rFonts w:ascii="Arial" w:cs="Arial" w:eastAsia="Arial" w:hAnsi="Arial"/>
                <w:sz w:val="18"/>
                <w:szCs w:val="18"/>
                <w:color w:val="auto"/>
                <w:w w:val="97"/>
              </w:rPr>
              <w:t>0 (0)</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3"/>
              </w:rPr>
              <w:t>10 (7.2)</w:t>
            </w:r>
          </w:p>
        </w:tc>
        <w:tc>
          <w:tcPr>
            <w:tcW w:w="200" w:type="dxa"/>
            <w:vAlign w:val="bottom"/>
          </w:tcPr>
          <w:p>
            <w:pPr>
              <w:spacing w:after="0"/>
              <w:rPr>
                <w:sz w:val="21"/>
                <w:szCs w:val="21"/>
                <w:color w:val="auto"/>
              </w:rPr>
            </w:pPr>
          </w:p>
        </w:tc>
        <w:tc>
          <w:tcPr>
            <w:tcW w:w="1260" w:type="dxa"/>
            <w:vAlign w:val="bottom"/>
            <w:gridSpan w:val="3"/>
          </w:tcPr>
          <w:p>
            <w:pPr>
              <w:jc w:val="center"/>
              <w:ind w:left="550"/>
              <w:spacing w:after="0"/>
              <w:rPr>
                <w:sz w:val="20"/>
                <w:szCs w:val="20"/>
                <w:color w:val="auto"/>
              </w:rPr>
            </w:pPr>
            <w:r>
              <w:rPr>
                <w:rFonts w:ascii="Arial" w:cs="Arial" w:eastAsia="Arial" w:hAnsi="Arial"/>
                <w:sz w:val="18"/>
                <w:szCs w:val="18"/>
                <w:color w:val="auto"/>
                <w:w w:val="93"/>
              </w:rPr>
              <w:t>10 (4.9)</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Enrollment in the Phase III P302 trial in patients 6 to 11 years old is at 98% of the target. We will cease enrollment in the P302 trial and analyze the data, which are expected to be available by the end of 2019. In the meantime, enrollment in the P503 Phase III trial (adolescents) is on hold until data from the P302 study are available and a final decision is reached regarding the SPN-810 program in IA.</w:t>
      </w:r>
    </w:p>
    <w:p>
      <w:pPr>
        <w:spacing w:after="0" w:line="14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continue to develop and expand our IP portfolio covering the novel synthesis process for the active ingredient in SPN-810, its novel use in IA and its novel extended release delivery.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SPN-809 (viloxazine hydrochloride)</w:t>
      </w:r>
    </w:p>
    <w:p>
      <w:pPr>
        <w:spacing w:after="0" w:line="18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SPN-809 is a novel once-daily product candidate for the treatment of depression. SPN-809 incorporates the same active ingredient as SPN-812, viloxazine hydrochloride.</w:t>
      </w:r>
    </w:p>
    <w:p>
      <w:pPr>
        <w:sectPr>
          <w:pgSz w:w="11900" w:h="16838" w:orient="portrait"/>
          <w:cols w:equalWidth="0" w:num="1">
            <w:col w:w="11380"/>
          </w:cols>
          <w:pgMar w:left="240" w:top="125" w:right="279" w:bottom="144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125" w:right="2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SPN-809 contains the same active ingredient as SPN-812, we expect that many of our activities related to the development of SPN-812 will also benefit the development of SPN-809.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SPN-604 (extended release oxcarbazepine for treatment of bipolar disorder)</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initiated a pivotal Phase III monotherapy trial for the treatment of bipolar disorder in the fourth quarter of 2019. If approved, this would represent the first approval for treatment of bipolar patients with oxcarbazepine in the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8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currently have ten U.S. patents that cover Trokendi XR and we own all of the issued patents. We have one patent issued for extended release topiramate in each of the following countries: Mexico; Australia; Japan and Canada. We have two patents issued in Europe. The ten issued U.S. patents covering Trokendi XR will expire no earlier than 2027.</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entered into settlement agreements with third parties permitting sale of a generic version of Trokendi XR on January 1, 2023, or earlier under certain circumstances.</w:t>
      </w:r>
    </w:p>
    <w:p>
      <w:pPr>
        <w:spacing w:after="0" w:line="13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extended release oxcarbazepine patent portfolio currently includes twelve U.S. patents, nine of which cover Oxtellar XR. The nine issued U.S. patents covering Oxtellar XR will expire no earlier than 2027. We own all of the issued patents and all pending patent application. We have two issued patents for extended release oxcarbazepine in both Europe and Australia, and one patent issued in each of the following countries: Canada; Japan; China and Mexico. In addition, we have a pending U.S. patent application that covers various extended release formulations containing oxcarbazepine.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patent portfolio also contains patent applications relating to our pipeline products.</w:t>
      </w:r>
    </w:p>
    <w:p>
      <w:pPr>
        <w:spacing w:after="0" w:line="18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continue to build our intellectual property portfolio to provide additional protection for our technologies, measurement scales, products and product candidates.</w:t>
      </w:r>
    </w:p>
    <w:p>
      <w:pPr>
        <w:spacing w:after="0" w:line="13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To protect our competitive position, it may be necessary to enforce our patent rights through litigation against infringing third parties. See Part II, Item 1—</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significant accounting policies and bases of presentation for our condensed consolidated financial statements are described in Part I, Item 1, Financial Statements,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Condensed Consolidated Financial Statements. Our condensed consolidated financial statements are prepared in accordance with U.S. generally accepted accounting principles (U.S. GAAP), requiring us to make estimates and assumptions that affect the reported amounts of assets, liabilities, revenues, and expenses, and to disclose material contingent assets and liabilities. Actual results could differ materially from our estimates.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 xml:space="preserve">Revenue from product sales is recognized when physical control of our products is transferred to our customers, primarily pharmaceutical wholesalers and distributors. Product sales are recorded net of various forms of variable consideration, including: estimated rebates; sales discounts; and an estimated liability for future product returns (collectively, “sales deductions”). We adjust our estimates at the earlier of when the most likely amount of consideration we expect to receive changes, or when the consideration becomes fixed. For a complete description of our revenue recognition policy, see Part I, Item 1, Financial Statements, Note 2, </w:t>
      </w:r>
      <w:r>
        <w:rPr>
          <w:rFonts w:ascii="Arial" w:cs="Arial" w:eastAsia="Arial" w:hAnsi="Arial"/>
          <w:sz w:val="16"/>
          <w:szCs w:val="16"/>
          <w:i w:val="1"/>
          <w:iCs w:val="1"/>
          <w:color w:val="auto"/>
        </w:rPr>
        <w:t>Revenue from Product Sales,</w:t>
      </w:r>
      <w:r>
        <w:rPr>
          <w:rFonts w:ascii="Arial" w:cs="Arial" w:eastAsia="Arial" w:hAnsi="Arial"/>
          <w:sz w:val="16"/>
          <w:szCs w:val="16"/>
          <w:color w:val="auto"/>
        </w:rPr>
        <w:t xml:space="preserve"> in the Notes to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Clinical Expenses</w:t>
      </w:r>
    </w:p>
    <w:p>
      <w:pPr>
        <w:spacing w:after="0" w:line="198" w:lineRule="exact"/>
        <w:rPr>
          <w:sz w:val="20"/>
          <w:szCs w:val="20"/>
          <w:color w:val="auto"/>
        </w:rPr>
      </w:pPr>
    </w:p>
    <w:p>
      <w:pPr>
        <w:ind w:right="180" w:firstLine="648"/>
        <w:spacing w:after="0" w:line="290" w:lineRule="auto"/>
        <w:rPr>
          <w:sz w:val="20"/>
          <w:szCs w:val="20"/>
          <w:color w:val="auto"/>
        </w:rPr>
      </w:pPr>
      <w:r>
        <w:rPr>
          <w:rFonts w:ascii="Arial" w:cs="Arial" w:eastAsia="Arial" w:hAnsi="Arial"/>
          <w:sz w:val="17"/>
          <w:szCs w:val="17"/>
          <w:color w:val="auto"/>
        </w:rPr>
        <w:t xml:space="preserve">Research and development expenditures are expensed as incurred. We estimate preclinical study and clinical trial expenses based on services performed pursuant to contracts with research institutions, clinical investigators, clinical research organizations (CROs) and other services providers that conduct activities on the Company’s behalf. If the actual timing of the performance of services or the level of effort varies from the estimate, we adjust our accrued expenses or our deferred advance payments accordingly. For a complete description of our research and development expense and preclinical study and clinical trial accrual policies, see Part I, Item 1, Financial Statements, Note 2,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xml:space="preserve"> and </w:t>
      </w:r>
      <w:r>
        <w:rPr>
          <w:rFonts w:ascii="Arial" w:cs="Arial" w:eastAsia="Arial" w:hAnsi="Arial"/>
          <w:sz w:val="17"/>
          <w:szCs w:val="17"/>
          <w:i w:val="1"/>
          <w:iCs w:val="1"/>
          <w:color w:val="auto"/>
        </w:rPr>
        <w:t>Preclinical Study and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Trial Accruals</w:t>
      </w:r>
      <w:r>
        <w:rPr>
          <w:rFonts w:ascii="Arial" w:cs="Arial" w:eastAsia="Arial" w:hAnsi="Arial"/>
          <w:sz w:val="17"/>
          <w:szCs w:val="17"/>
          <w:color w:val="auto"/>
        </w:rPr>
        <w:t>, in the Notes to Condensed Consolidated Financial Statements.</w:t>
      </w:r>
    </w:p>
    <w:p>
      <w:pPr>
        <w:spacing w:after="0" w:line="12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Clinical trials are inherently complex and often involve multiple service providers. Because billing for services often lags by a month or several months, we are often required to estimate, and therefore accrue, a significant portion of our clinical expenses. This process involves reviewing open contracts and communicating with our subject matter expert personnel, as well as</w:t>
      </w:r>
    </w:p>
    <w:p>
      <w:pPr>
        <w:sectPr>
          <w:pgSz w:w="11900" w:h="16838" w:orient="portrait"/>
          <w:cols w:equalWidth="0" w:num="1">
            <w:col w:w="11400"/>
          </w:cols>
          <w:pgMar w:left="240" w:top="125"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appropriate service provider personnel to identify services that have been performed on our behalf but for which no invoice has been received. This includes services provided by CROs, as well as services provided by investigators and other service providers. We accrue the cost for unbilled services performed, both partially and fully completed.</w:t>
      </w:r>
    </w:p>
    <w:p>
      <w:pPr>
        <w:spacing w:after="0" w:line="14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achievement of performance driven milestones. When accruing clinical trial expenses, we estimate the time period over which services will be performed during the life of the entire clinical program, the total cost of the program, and the level of effort to be expended in each intervening period. We work with each service provider to obtain an estimate for services provided but as yet unbilled as of the end of the calendar quarter, including estimates for payments to site investigators.</w:t>
      </w:r>
    </w:p>
    <w:p>
      <w:pPr>
        <w:spacing w:after="0" w:line="1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work diligently to minimize, if not eliminate, estimates based solely on company generated calculations. We therefore rely primarily on estimates provided by our vendors. If we and/or the service provider underestimates or overestimates the costs associated with a trial or service at any given point in time, adjustments to research and development expenses may be necessary in the following periods. Historically, our estimated accrued clinical expenses have closely approximated the actual expenses incurred.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Revenues consist of net product sales of Trokendi XR and Oxtellar XR in the U.S., and royalty and licensing revenues from our collaborative licensing arrangements.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revenues during the periods indicated (dollar amount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7"/>
              </w:rPr>
              <w:t>Change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20" w:type="dxa"/>
            <w:vAlign w:val="bottom"/>
            <w:gridSpan w:val="3"/>
            <w:vMerge w:val="restart"/>
          </w:tcPr>
          <w:p>
            <w:pPr>
              <w:ind w:left="62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gridSpan w:val="4"/>
            <w:vMerge w:val="restart"/>
          </w:tcPr>
          <w:p>
            <w:pPr>
              <w:jc w:val="right"/>
              <w:ind w:right="57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20" w:type="dxa"/>
            <w:vAlign w:val="bottom"/>
            <w:gridSpan w:val="4"/>
            <w:vMerge w:val="restart"/>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5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gridSpan w:val="4"/>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22"/>
                <w:szCs w:val="22"/>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77,332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79,834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ind w:right="113"/>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219,989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226,863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center"/>
              <w:ind w:right="113"/>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22,702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4"/>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65,502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59,514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37"/>
        </w:trPr>
        <w:tc>
          <w:tcPr>
            <w:tcW w:w="2500" w:type="dxa"/>
            <w:vAlign w:val="bottom"/>
          </w:tcPr>
          <w:p>
            <w:pPr>
              <w:ind w:left="40"/>
              <w:spacing w:after="0"/>
              <w:rPr>
                <w:sz w:val="20"/>
                <w:szCs w:val="20"/>
                <w:color w:val="auto"/>
              </w:rPr>
            </w:pPr>
            <w:r>
              <w:rPr>
                <w:rFonts w:ascii="Arial" w:cs="Arial" w:eastAsia="Arial" w:hAnsi="Arial"/>
                <w:sz w:val="18"/>
                <w:szCs w:val="18"/>
                <w:color w:val="auto"/>
              </w:rPr>
              <w:t>Total net product sales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100,034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100,227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285,491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286,377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5"/>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Licensing revenues</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center"/>
              <w:ind w:right="133"/>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102,140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102,996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ind w:right="113"/>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292,309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292,963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8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Net product sales are computed as gross revenue from our product shipments to our customers, which are primarily pharmaceutical wholesalers and distributors, less estimates for rebates, product returns and sales discounts.</w:t>
      </w:r>
    </w:p>
    <w:p>
      <w:pPr>
        <w:spacing w:after="0" w:line="13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 the fourth quarter of 2018, wholesalers, distributors and pharmacies increased their inventory holdings when compared to the prevailing inventory levels in the third quarter of 2018. We estimated that this caused net product sales to be approximately $10 million higher in the fourth quarter of 2018 than it would have been, had channel inventory levels remained consistent from the third to the fourth quarter of 2018.</w:t>
      </w:r>
    </w:p>
    <w:p>
      <w:pPr>
        <w:spacing w:after="0" w:line="1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channel inventory build-up in the fourth quarter of 2018 was effectively reversed in the first quarter of 2019. Specifically, based on analysis of sales and inventory data, inventory levels at wholesalers, distributors and pharmacies returned to the prevailing levels of the third quarter of 2018. As a result of this channel inventory reduction, both gross sales and net product sales decreased in the first half of 2019, as compared to the prior year. The adverse impact on net product sales in the first half of 2019 due to the reduction in channel inventory is estimated at approximately $10 million.</w:t>
      </w:r>
    </w:p>
    <w:p>
      <w:pPr>
        <w:spacing w:after="0" w:line="114"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a year over year comparison, the aforementioned $10 million reduction in channel inventory and adverse year over year changes in sales deductions were mostly offset by the favorable unit prescription volume growth of 8% coupled with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impact of an 8% price increase. On a quarter over quarter comparison, favorable unit prescription volume growth of 6% was mostly offset by higher sales deductions. Specifically as regards sales deductions, patient reimbursement challenges and increased contracting pressure from managed care providers resulted in both increased per patient costs for our co-pay program as well as higher per patient rebate payments to managed care providers. In aggregate, net product sales for the three and nine months ended September 30, 2019 were relatively flat.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Trokendi XR</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Trokendi XR net product sales decreased by $2.5 million for the three months ended September 30, 2019 as compared to the same period in 2018. Compared to 2018, favorable unit prescription volume growth of 5% coupled with the impact of an 8% price increase were offset by higher levels of net sales deductions. Increased sales deductions were driven primarily by increased per patient costs for our co-pay program, as well as higher per patient rebate payments to managed care providers.</w:t>
      </w:r>
    </w:p>
    <w:p>
      <w:pPr>
        <w:spacing w:after="0" w:line="14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Trokendi XR net product sales decreased by $6.9 million for the nine months ended September 30, 2019 as compared to the same period in 2018. The primary driver for the decrease was the aforementioned channel inventory reduction coupled with higher net product sales deductions, offsetting prescription volume growth and impact of price increase.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Oxtellar XR</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Oxtellar XR net product sales increased by $2.3 million for the three months ended September 30, 2019 as compared to the same period in 2018. Oxtellar XR net product sales increased by $6.0 million for the nine months ended September 30, 2019 as compared to the same period in 2018. In both periods, the increase was attributable to growth in prescription unit volume of 12% and the impact of an 8% price increase taken in January. These effects were partially offset by increased net product sales deductions from higher per patient payments under both Medicaid and managed care programs, as well as higher co-pay program expenditures.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 and related accruals</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The Company records accrued product rebates and accrued product returns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as current liabilities on our condensed consolidated balance sheets and records sales discounts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condensed consolidated balance sheets. These outstanding amounts are generally affected by changes in level of gross sales, changes in the provision for net product sales deductions, and timing of payments/credits.</w:t>
      </w:r>
    </w:p>
    <w:p>
      <w:pPr>
        <w:spacing w:after="0" w:line="14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provides a summary of activities with respect to sales deductions and related accruals for the nine months ended September 30, 2019 and 2018, respectively, in thousands of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5"/>
              </w:rPr>
              <w:t>Accrued Product Returns and Rebates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Product</w:t>
            </w:r>
          </w:p>
        </w:tc>
        <w:tc>
          <w:tcPr>
            <w:tcW w:w="280" w:type="dxa"/>
            <w:vAlign w:val="bottom"/>
          </w:tcPr>
          <w:p>
            <w:pPr>
              <w:spacing w:after="0"/>
              <w:rPr>
                <w:sz w:val="13"/>
                <w:szCs w:val="13"/>
                <w:color w:val="auto"/>
              </w:rPr>
            </w:pPr>
          </w:p>
        </w:tc>
        <w:tc>
          <w:tcPr>
            <w:tcW w:w="10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Rebates</w:t>
            </w:r>
          </w:p>
        </w:tc>
        <w:tc>
          <w:tcPr>
            <w:tcW w:w="28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Sales Discounts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22,060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118,611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sales in current year</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221,598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271,462</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Adjustments relating to prior year sales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269,621</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Actual payments/credits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(228,955)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(279,800)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76,758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108,432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w w:val="95"/>
              </w:rPr>
              <w:t>Accrued Product Returns and Rebates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Product</w:t>
            </w:r>
          </w:p>
        </w:tc>
        <w:tc>
          <w:tcPr>
            <w:tcW w:w="280" w:type="dxa"/>
            <w:vAlign w:val="bottom"/>
          </w:tcPr>
          <w:p>
            <w:pPr>
              <w:spacing w:after="0"/>
              <w:rPr>
                <w:sz w:val="13"/>
                <w:szCs w:val="13"/>
                <w:color w:val="auto"/>
              </w:rPr>
            </w:pPr>
          </w:p>
        </w:tc>
        <w:tc>
          <w:tcPr>
            <w:tcW w:w="108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Product</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20" w:type="dxa"/>
            <w:vAlign w:val="bottom"/>
          </w:tcPr>
          <w:p>
            <w:pPr>
              <w:spacing w:after="0"/>
              <w:rPr>
                <w:sz w:val="13"/>
                <w:szCs w:val="13"/>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Rebates</w:t>
            </w:r>
          </w:p>
        </w:tc>
        <w:tc>
          <w:tcPr>
            <w:tcW w:w="280" w:type="dxa"/>
            <w:vAlign w:val="bottom"/>
          </w:tcPr>
          <w:p>
            <w:pPr>
              <w:spacing w:after="0"/>
              <w:rPr>
                <w:sz w:val="16"/>
                <w:szCs w:val="16"/>
                <w:color w:val="auto"/>
              </w:rPr>
            </w:pPr>
          </w:p>
        </w:tc>
        <w:tc>
          <w:tcPr>
            <w:tcW w:w="1080" w:type="dxa"/>
            <w:vAlign w:val="bottom"/>
          </w:tcPr>
          <w:p>
            <w:pPr>
              <w:jc w:val="right"/>
              <w:ind w:right="354"/>
              <w:spacing w:after="0"/>
              <w:rPr>
                <w:sz w:val="20"/>
                <w:szCs w:val="20"/>
                <w:color w:val="auto"/>
              </w:rPr>
            </w:pPr>
            <w:r>
              <w:rPr>
                <w:rFonts w:ascii="Arial" w:cs="Arial" w:eastAsia="Arial" w:hAnsi="Arial"/>
                <w:sz w:val="14"/>
                <w:szCs w:val="14"/>
                <w:b w:val="1"/>
                <w:bCs w:val="1"/>
                <w:color w:val="auto"/>
              </w:rPr>
              <w:t>Returns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Sales Discounts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18,883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77,235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sales in current year</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166,992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6,347</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214,900</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Adjustments relating to prior year sales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41,558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213,074</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Actual payments/credits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(147,970)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(5,919)</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(193,156)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66,738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97,153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total provision for sales deductions on gross product sales increased from $213.1 million in 2018 to $269.6 million in 2019. A significant portion of this increase was attributable to the year over year increase in the provision for product rebates, from $165.2 million in 2018 to $220.7 million in 2019, or $55.5 million.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Year over year increase in the provision for product rebates is primarily attributable to greater utilization of our patient co-pay programs, as well as higher per patient payments under both Medicaid and managed care programs. Growth in prescriptions and the impact of the 8% price increase taken in January also contributed to the increase in product rebates.</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$1.0 million decrease in the provision for product returns from $6.3 million to $5.3 million for the nine months ended September 30, 2018 and 2019, respectively, is due primarily to favorable returns experience.</w:t>
      </w:r>
    </w:p>
    <w:p>
      <w:pPr>
        <w:spacing w:after="0" w:line="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provision for sales discounts increased by $2.1 million, from $41.6 million to $43.7 million for the nine months ended September 30, 2018 and 2019, respectively, because of the prescription volume growth.</w:t>
      </w:r>
    </w:p>
    <w:p>
      <w:pPr>
        <w:spacing w:after="0" w:line="8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Adjustments related to prior year sales due to changes in our estimates was $1.8 million as compared to $285.5 million of net product sales for the nine months ended September 30, 2019, and $1.8 million as compared to $286.4 million of net product sales for the same period in prior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Revenues</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Royalty revenues include royalty from net product sales of Mydayis, a product of Shire Plc (a subsidiary of Takeda Pharmaceuticals Company Ltd.), as well as noncash royalty revenue pursuant to our agreement with Healthcare Royalty Partners III, L.P. (HC Royalty). HC Royalty receives royalty payments from United Therapeutics Corporation (United Therapeutics) based on net product sales of United Therapeutics' product Orenitram. Supernus records noncash royalty revenue based on such product sales.</w:t>
      </w:r>
    </w:p>
    <w:p>
      <w:pPr>
        <w:spacing w:after="0" w:line="14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Royalty revenues decreased by approximately $0.7 million, or 24%, for the three months ended September 30, 2019, compared to the same period in 2018, and increased by $1.0 million, or 17%, in the nine months ended September 30, 2019 as compared to the same period in 2018. The decrease quarter over quarter was primarily due to decreased sales of Mydayis. The year over year increase was primarily due to increased sales of Orenitram. Noncash royalty revenue, which is included in total royalty revenue, was $1.6 million and $5.0 million, respectively, for the three and nine months ended September 30, 2019, and $1.5 million and $4.3 million, respectively, for the three and nine months ended September 30,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cost of goods sold during the periods indicated (dollar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Nine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Percent</w:t>
            </w:r>
          </w:p>
        </w:tc>
        <w:tc>
          <w:tcPr>
            <w:tcW w:w="24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78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4,819</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4,207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612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12,547</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11,168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1,379</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Cost of goods sold during the three months ended September 30, 2019 was $4.8 million, $0.6 million higher than the $4.2 million for the same period in 2018. Cost of goods sold during the nine months ended September 30, 2019 was $12.5 million compared to $11.2 million for the same period in 2018. The increase in both periods is primarily attributable to higher volume of product sold due to increased prescriptions.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regarding our research and development (R&amp;D) expenses during the periods indicated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Nine Months ended</w:t>
            </w:r>
          </w:p>
        </w:tc>
        <w:tc>
          <w:tcPr>
            <w:tcW w:w="13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159"/>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960" w:type="dxa"/>
            <w:vAlign w:val="bottom"/>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22"/>
                <w:szCs w:val="22"/>
                <w:color w:val="auto"/>
              </w:rPr>
            </w:pP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Dollar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   16,943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4"/>
              </w:rPr>
              <w:t>$ 20,422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49,307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59,368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9"/>
        </w:trPr>
        <w:tc>
          <w:tcPr>
            <w:tcW w:w="2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R&amp;D expenses decreased by $3.5 million in the three months ended September 30, 2019 as compared to the same period in 2018. R&amp;D expenses decreased by $10.1 million in the nine months ended September 30, 2019 as compared to the same period in 2018. The decrease in both periods is primarily driven by the completion of the four Phase III clinical trials for SPN-812 in late 2018/early 2019, partially offset by the cost to manufacture registration/validation materials for SPN-812 to support our upcoming NDA filing.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provides information regarding our selling, general and administrative (SG&amp;A) expenses during the periods indicated (dollar amounts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w w:val="97"/>
              </w:rPr>
              <w:t>Change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22"/>
                <w:szCs w:val="22"/>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Dollar</w:t>
            </w: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4"/>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center"/>
              <w:ind w:right="1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11,065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54"/>
              <w:spacing w:after="0"/>
              <w:rPr>
                <w:sz w:val="20"/>
                <w:szCs w:val="20"/>
                <w:color w:val="auto"/>
              </w:rPr>
            </w:pPr>
            <w:r>
              <w:rPr>
                <w:rFonts w:ascii="Arial" w:cs="Arial" w:eastAsia="Arial" w:hAnsi="Arial"/>
                <w:sz w:val="18"/>
                <w:szCs w:val="18"/>
                <w:color w:val="auto"/>
                <w:w w:val="94"/>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32,148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26,856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154"/>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40,649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40,892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122,700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117,838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Selling and marketing expenses decreased by $2.4 million in the three months ended September 30, 2019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2018. Increased selling expenses of $1.8 million due to increased employee-related expenses were mostly offset by decreased professional and consulting expenses of $1.3 million. Marketing expenses decreased by $2.9 million primarily due to timing of sample production.</w:t>
      </w:r>
    </w:p>
    <w:p>
      <w:pPr>
        <w:spacing w:after="0" w:line="10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Selling and marketing expenses decreased by $0.4 million in the nine months ended September 30, 2019 as compared to the same period in 2018, due to timing of sample production, offset by increased employee related expenses, including share-based compensation.</w:t>
      </w:r>
    </w:p>
    <w:p>
      <w:pPr>
        <w:spacing w:after="0" w:line="130"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$2.1 million and $5.3 million in the three and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respectively, as compared to the same periods in 2018. The increase is primarily due to higher employee-related expenses, including share-based compensation, of $2.0 million quarter over quarter and $4.2 million year over year, and modest increases in professional and consulting fees, facilities cost and insurance.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other income (expenses) during the periods indicated (dollar amounts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Dollar</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Dollar</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5,523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4,461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4"/>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9,331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2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center"/>
              <w:ind w:right="94"/>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4,010</w:t>
            </w:r>
          </w:p>
        </w:tc>
        <w:tc>
          <w:tcPr>
            <w:tcW w:w="1240" w:type="dxa"/>
            <w:vAlign w:val="bottom"/>
            <w:gridSpan w:val="3"/>
          </w:tcPr>
          <w:p>
            <w:pPr>
              <w:jc w:val="right"/>
              <w:ind w:right="26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on nonrecourse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related to sale of future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right="94"/>
              <w:spacing w:after="0"/>
              <w:rPr>
                <w:sz w:val="20"/>
                <w:szCs w:val="20"/>
                <w:color w:val="auto"/>
              </w:rPr>
            </w:pPr>
            <w:r>
              <w:rPr>
                <w:rFonts w:ascii="Arial" w:cs="Arial" w:eastAsia="Arial" w:hAnsi="Arial"/>
                <w:sz w:val="18"/>
                <w:szCs w:val="18"/>
                <w:color w:val="auto"/>
                <w:w w:val="94"/>
              </w:rPr>
              <w:t>(6)%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4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965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center"/>
              <w:ind w:right="114"/>
              <w:spacing w:after="0"/>
              <w:rPr>
                <w:sz w:val="20"/>
                <w:szCs w:val="20"/>
                <w:color w:val="auto"/>
              </w:rPr>
            </w:pPr>
            <w:r>
              <w:rPr>
                <w:rFonts w:ascii="Arial" w:cs="Arial" w:eastAsia="Arial" w:hAnsi="Arial"/>
                <w:sz w:val="18"/>
                <w:szCs w:val="18"/>
                <w:color w:val="auto"/>
                <w:w w:val="95"/>
              </w:rPr>
              <w:t>(87)%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Interest income increased by $1.1 million for the three months ended September 30, 2019 and $6.3 million for the nine months ended September 30, 2019 as compared to the same periods in 2018, respectively. The increase in both periods was mainly attributable to an increase in cash, cash equivalents and marketable security holdings primarily resulting from the March 2018 issuance of $402.5 million of 0.625% Convertible Senior Notes, due 2023 (2023 Notes).</w:t>
      </w:r>
    </w:p>
    <w:p>
      <w:pPr>
        <w:spacing w:after="0" w:line="146"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Interest expense for the three months ended September 30, 2019 remained essentially unchanged compared to the same period in 2018. Interest expense increased by $4.0 million for the nine months ended September 30, 2019 as compared to the same period in 2018, because of noncash interest expense related to the amortization of deferred financing costs and debt discount on the 2023 Notes.</w:t>
      </w:r>
    </w:p>
    <w:p>
      <w:pPr>
        <w:spacing w:after="0" w:line="14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Noncash interest expense related to our nonrecourse royalty liability for the three months ended September 30, 2019, remained unchanged as compared to the same periods in 2018. Noncash interest expense for the nine months ended September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30, 2019 increased by approximately $0.3 million as compared to the same periods in 2018, due to higher projected royalties from increased future sales of Orenitram.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 amounts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Nine Months ended</w:t>
            </w:r>
          </w:p>
        </w:tc>
        <w:tc>
          <w:tcPr>
            <w:tcW w:w="82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6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22"/>
                <w:szCs w:val="22"/>
                <w:color w:val="auto"/>
              </w:rPr>
            </w:pPr>
          </w:p>
        </w:tc>
        <w:tc>
          <w:tcPr>
            <w:tcW w:w="70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w w:val="95"/>
              </w:rPr>
              <w:t>Dollar</w:t>
            </w: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w w:val="95"/>
              </w:rPr>
              <w:t>Dollar</w:t>
            </w:r>
          </w:p>
        </w:tc>
        <w:tc>
          <w:tcPr>
            <w:tcW w:w="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600" w:type="dxa"/>
            <w:vAlign w:val="bottom"/>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$10,730</w:t>
            </w:r>
          </w:p>
        </w:tc>
        <w:tc>
          <w:tcPr>
            <w:tcW w:w="14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$8,360</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$2,370</w:t>
            </w:r>
          </w:p>
        </w:tc>
        <w:tc>
          <w:tcPr>
            <w:tcW w:w="1220" w:type="dxa"/>
            <w:vAlign w:val="bottom"/>
            <w:gridSpan w:val="3"/>
          </w:tcPr>
          <w:p>
            <w:pPr>
              <w:ind w:left="54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$26,648</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$16,309</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$10,339</w:t>
            </w:r>
          </w:p>
        </w:tc>
        <w:tc>
          <w:tcPr>
            <w:tcW w:w="1340" w:type="dxa"/>
            <w:vAlign w:val="bottom"/>
            <w:gridSpan w:val="3"/>
          </w:tcPr>
          <w:p>
            <w:pPr>
              <w:ind w:left="6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8"/>
                <w:szCs w:val="18"/>
                <w:color w:val="auto"/>
              </w:rPr>
              <w:t>Effective tax rate</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27.1%</w:t>
            </w:r>
          </w:p>
        </w:tc>
        <w:tc>
          <w:tcPr>
            <w:tcW w:w="14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23.0%</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16.1%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increase in income tax expense and the increase in the effective tax rate for the three months ended September 30, 2019, as compared to the same period in the prior year, was primarily attributable to income growth, state income tax rate changes, greater 2018 research and development credit and larger employee stock option tax benefits realized in 2018.</w:t>
      </w:r>
    </w:p>
    <w:p>
      <w:pPr>
        <w:spacing w:after="0" w:line="14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increase in income tax expense and the increase in the effective tax rate for the nine months ended September 30, 2019, as compared to the same period in the prior year, was primarily attributable to the tax benefits realized in 2018 related to exercise of employee stock options. In particular, the Company recorded income tax benefits related to the exercise of employee stock options of approximately $30,000 and $400,000 for the three and nine months ended September 30, 2019, respectively, as compared to $700,000 and $7.0 million for the three and nine months ended September 30, 2018,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820" w:firstLine="648"/>
        <w:spacing w:after="0" w:line="264" w:lineRule="auto"/>
        <w:rPr>
          <w:sz w:val="20"/>
          <w:szCs w:val="20"/>
          <w:color w:val="auto"/>
        </w:rPr>
      </w:pPr>
      <w:r>
        <w:rPr>
          <w:rFonts w:ascii="Arial" w:cs="Arial" w:eastAsia="Arial" w:hAnsi="Arial"/>
          <w:sz w:val="18"/>
          <w:szCs w:val="18"/>
          <w:color w:val="auto"/>
        </w:rPr>
        <w:t>We have financed our operations primarily with cash generated from product sales, supplemented by revenue from royalty and licensing arrangements as well as proceeds from the sale of equity and debt securities. As regards continued cash generation, we are highly dependent on the commercial success of our two commercial products, Trokendi XR and Oxtellar XR.</w:t>
      </w:r>
    </w:p>
    <w:p>
      <w:pPr>
        <w:spacing w:after="0" w:line="14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were cash flow positive and profitable from operations in the nine months ended September 30, 2019. While we expect continued profitability for the current year and in subsequent years, we anticipate there may be significant variability from quarter to quarter in our profitability, and particularly as we move forward with the anticipated commercial launch of SPN-812 in 2020, assuming FDA approval.</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believe our existing cash and cash equivalents, marketable securities and cash received from product sales will be sufficient to finance ongoing operations and to finance development of our new products and label expansions for existing products. To continue to grow our business over the long-term, we plan to commit substantial resources to: product acquisition; product in-licensing; product development and clinical trials of product candidates; and supportive functions such as compliance, finance, management of our intellectual property portfolio, information technology systems and personnel. In each case, spending would be commensurate with the growth of the business.</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may, from time to time, consider additional funding through a combination of new collaborative arrangements, strategic alliances, additional equity and debt financings, or financing from other sources, especially in conjunction with opportunistic acquisitions or licensing arrangements. We will continue to actively manage our capital structure and to consider all financing opportunities that could strengthen our long-term liquidity profile. Any such capital structure may or may not be similar to transactions in which we have engaged in the past. There can be no assurances that any such financing opportunities will be available on acceptable terms, if at all.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Cash and cash equivalents, marketable securities, working capital, convertible notes and total stockholder’s equity as of the periods presented below are as follows (dollars in thousands):</w:t>
      </w:r>
    </w:p>
    <w:p>
      <w:pPr>
        <w:spacing w:after="0" w:line="130"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60" w:type="dxa"/>
            <w:vAlign w:val="bottom"/>
          </w:tcPr>
          <w:p>
            <w:pPr>
              <w:spacing w:after="0"/>
              <w:rPr>
                <w:sz w:val="18"/>
                <w:szCs w:val="18"/>
                <w:color w:val="auto"/>
              </w:rPr>
            </w:pPr>
          </w:p>
        </w:tc>
        <w:tc>
          <w:tcPr>
            <w:tcW w:w="1840" w:type="dxa"/>
            <w:vAlign w:val="bottom"/>
            <w:gridSpan w:val="3"/>
          </w:tcPr>
          <w:p>
            <w:pPr>
              <w:ind w:left="1120"/>
              <w:spacing w:after="0"/>
              <w:rPr>
                <w:sz w:val="20"/>
                <w:szCs w:val="20"/>
                <w:color w:val="auto"/>
              </w:rPr>
            </w:pPr>
            <w:r>
              <w:rPr>
                <w:rFonts w:ascii="Arial" w:cs="Arial" w:eastAsia="Arial" w:hAnsi="Arial"/>
                <w:sz w:val="16"/>
                <w:szCs w:val="16"/>
                <w:b w:val="1"/>
                <w:bCs w:val="1"/>
                <w:color w:val="auto"/>
              </w:rPr>
              <w:t>Change</w:t>
            </w:r>
          </w:p>
        </w:tc>
        <w:tc>
          <w:tcPr>
            <w:tcW w:w="128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3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ind w:left="260"/>
              <w:spacing w:after="0"/>
              <w:rPr>
                <w:sz w:val="20"/>
                <w:szCs w:val="20"/>
                <w:color w:val="auto"/>
              </w:rPr>
            </w:pPr>
            <w:r>
              <w:rPr>
                <w:rFonts w:ascii="Arial" w:cs="Arial" w:eastAsia="Arial" w:hAnsi="Arial"/>
                <w:sz w:val="16"/>
                <w:szCs w:val="16"/>
                <w:b w:val="1"/>
                <w:bCs w:val="1"/>
                <w:color w:val="auto"/>
              </w:rPr>
              <w:t>Dollar</w:t>
            </w:r>
          </w:p>
        </w:tc>
        <w:tc>
          <w:tcPr>
            <w:tcW w:w="1280" w:type="dxa"/>
            <w:vAlign w:val="bottom"/>
          </w:tcPr>
          <w:p>
            <w:pPr>
              <w:ind w:left="180"/>
              <w:spacing w:after="0"/>
              <w:rPr>
                <w:sz w:val="20"/>
                <w:szCs w:val="20"/>
                <w:color w:val="auto"/>
              </w:rPr>
            </w:pPr>
            <w:r>
              <w:rPr>
                <w:rFonts w:ascii="Arial" w:cs="Arial" w:eastAsia="Arial" w:hAnsi="Arial"/>
                <w:sz w:val="16"/>
                <w:szCs w:val="16"/>
                <w:b w:val="1"/>
                <w:bCs w:val="1"/>
                <w:color w:val="auto"/>
              </w:rPr>
              <w:t>Percent</w:t>
            </w:r>
          </w:p>
        </w:tc>
      </w:tr>
      <w:tr>
        <w:trPr>
          <w:trHeight w:val="33"/>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15"/>
        </w:trPr>
        <w:tc>
          <w:tcPr>
            <w:tcW w:w="3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116,889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192,248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(75,359)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center"/>
              <w:ind w:right="311"/>
              <w:spacing w:after="0"/>
              <w:rPr>
                <w:sz w:val="20"/>
                <w:szCs w:val="20"/>
                <w:color w:val="auto"/>
              </w:rPr>
            </w:pPr>
            <w:r>
              <w:rPr>
                <w:rFonts w:ascii="Arial" w:cs="Arial" w:eastAsia="Arial" w:hAnsi="Arial"/>
                <w:sz w:val="18"/>
                <w:szCs w:val="18"/>
                <w:color w:val="auto"/>
                <w:w w:val="91"/>
              </w:rPr>
              <w:t>(39)%</w:t>
            </w:r>
          </w:p>
        </w:tc>
      </w:tr>
      <w:tr>
        <w:trPr>
          <w:trHeight w:val="27"/>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179,808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311"/>
              <w:spacing w:after="0"/>
              <w:rPr>
                <w:sz w:val="20"/>
                <w:szCs w:val="20"/>
                <w:color w:val="auto"/>
              </w:rPr>
            </w:pPr>
            <w:r>
              <w:rPr>
                <w:rFonts w:ascii="Arial" w:cs="Arial" w:eastAsia="Arial" w:hAnsi="Arial"/>
                <w:sz w:val="18"/>
                <w:szCs w:val="18"/>
                <w:color w:val="auto"/>
                <w:w w:val="88"/>
              </w:rPr>
              <w:t>10%</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Long term marketable securities</w:t>
            </w: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596,442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418,798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177,644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center"/>
              <w:ind w:right="311"/>
              <w:spacing w:after="0"/>
              <w:rPr>
                <w:sz w:val="20"/>
                <w:szCs w:val="20"/>
                <w:color w:val="auto"/>
              </w:rPr>
            </w:pPr>
            <w:r>
              <w:rPr>
                <w:rFonts w:ascii="Arial" w:cs="Arial" w:eastAsia="Arial" w:hAnsi="Arial"/>
                <w:sz w:val="18"/>
                <w:szCs w:val="18"/>
                <w:color w:val="auto"/>
                <w:w w:val="88"/>
              </w:rPr>
              <w:t>42%</w:t>
            </w:r>
          </w:p>
        </w:tc>
      </w:tr>
      <w:tr>
        <w:trPr>
          <w:trHeight w:val="27"/>
        </w:trPr>
        <w:tc>
          <w:tcPr>
            <w:tcW w:w="3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774,816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118,323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311"/>
              <w:spacing w:after="0"/>
              <w:rPr>
                <w:sz w:val="20"/>
                <w:szCs w:val="20"/>
                <w:color w:val="auto"/>
              </w:rPr>
            </w:pPr>
            <w:r>
              <w:rPr>
                <w:rFonts w:ascii="Arial" w:cs="Arial" w:eastAsia="Arial" w:hAnsi="Arial"/>
                <w:sz w:val="18"/>
                <w:szCs w:val="18"/>
                <w:color w:val="auto"/>
                <w:w w:val="88"/>
              </w:rPr>
              <w:t>15%</w:t>
            </w:r>
          </w:p>
        </w:tc>
      </w:tr>
      <w:tr>
        <w:trPr>
          <w:trHeight w:val="324"/>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311"/>
              <w:spacing w:after="0"/>
              <w:rPr>
                <w:sz w:val="20"/>
                <w:szCs w:val="20"/>
                <w:color w:val="auto"/>
              </w:rPr>
            </w:pPr>
            <w:r>
              <w:rPr>
                <w:rFonts w:ascii="Arial" w:cs="Arial" w:eastAsia="Arial" w:hAnsi="Arial"/>
                <w:sz w:val="18"/>
                <w:szCs w:val="18"/>
                <w:color w:val="auto"/>
                <w:w w:val="91"/>
              </w:rPr>
              <w:t>(16)%</w:t>
            </w:r>
          </w:p>
        </w:tc>
      </w:tr>
      <w:tr>
        <w:trPr>
          <w:trHeight w:val="324"/>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329,462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ind w:right="311"/>
              <w:spacing w:after="0"/>
              <w:rPr>
                <w:sz w:val="20"/>
                <w:szCs w:val="20"/>
                <w:color w:val="auto"/>
              </w:rPr>
            </w:pPr>
            <w:r>
              <w:rPr>
                <w:rFonts w:ascii="Arial" w:cs="Arial" w:eastAsia="Arial" w:hAnsi="Arial"/>
                <w:sz w:val="18"/>
                <w:szCs w:val="18"/>
                <w:color w:val="auto"/>
                <w:w w:val="92"/>
              </w:rPr>
              <w:t>4%</w:t>
            </w:r>
          </w:p>
        </w:tc>
      </w:tr>
      <w:tr>
        <w:trPr>
          <w:trHeight w:val="324"/>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557,257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453,023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104,234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311"/>
              <w:spacing w:after="0"/>
              <w:rPr>
                <w:sz w:val="20"/>
                <w:szCs w:val="20"/>
                <w:color w:val="auto"/>
              </w:rPr>
            </w:pPr>
            <w:r>
              <w:rPr>
                <w:rFonts w:ascii="Arial" w:cs="Arial" w:eastAsia="Arial" w:hAnsi="Arial"/>
                <w:sz w:val="18"/>
                <w:szCs w:val="18"/>
                <w:color w:val="auto"/>
                <w:w w:val="88"/>
              </w:rPr>
              <w:t>23%</w:t>
            </w:r>
          </w:p>
        </w:tc>
      </w:tr>
      <w:tr>
        <w:trPr>
          <w:trHeight w:val="27"/>
        </w:trPr>
        <w:tc>
          <w:tcPr>
            <w:tcW w:w="3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total cash and cash equivalents, marketable securities and long term marketable securities increased by $118.3 million in the first nine months of 2019 primarily from cash generated from operations for the period.</w:t>
      </w:r>
    </w:p>
    <w:p>
      <w:pPr>
        <w:spacing w:after="0" w:line="13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Our working capital at September 30, 2019 was $277.4 million, a decrease of $54.8 million compared to $332.1 million at December 31, 2018. The decrease was primarily due to increased investment in long term marketable securities of approximately $177.6 million in the nine months ended September 30, 2019.</w:t>
      </w:r>
    </w:p>
    <w:p>
      <w:pPr>
        <w:spacing w:after="0" w:line="14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As of September 30, 2019, the outstanding principal on the 2023 Notes was $402.5 million. No 2023 Notes were converted as of September 30, 2019. Contemporaneous with the issuance of the 2023 Notes, the Company also entered into separate convertible note hedge transactions (collectively, the Convertible Note Hedge Transactions). The Company issued 402,500 convertible note hedge options. The Convertible Note Hedge Transactions are expected to reduce the potential dilution of the Company's common stocks upon conversion of the 2023 Notes. Concurrently with entering into the Convertible Note Hedge Transactions, the Company also entered into separate warrant transactions, issuing a total of 6,783,939 warrants (the Warrant Transactions). See Note 9,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xml:space="preserve"> in the Notes to the Condensed Consolidated Financial Statements for further discussion of the 2023 Notes and our other indebtedness.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stockholders’ equity increased by $104.2 million during the nine months ended September 30, 2019, primarily as a result of net earnings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$79.9 million, unrealized gains on marketable securities of $10.4 million, issuance of common stock of $2.7 million and share-based compensation of $11.2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the periods set forth below (summarized,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000" w:type="dxa"/>
            <w:vAlign w:val="bottom"/>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64"/>
        </w:trPr>
        <w:tc>
          <w:tcPr>
            <w:tcW w:w="74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Dollar</w:t>
            </w:r>
          </w:p>
        </w:tc>
      </w:tr>
      <w:tr>
        <w:trPr>
          <w:trHeight w:val="250"/>
        </w:trPr>
        <w:tc>
          <w:tcPr>
            <w:tcW w:w="7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97"/>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40"/>
              <w:spacing w:after="0"/>
              <w:rPr>
                <w:sz w:val="20"/>
                <w:szCs w:val="20"/>
                <w:color w:val="auto"/>
              </w:rPr>
            </w:pPr>
            <w:r>
              <w:rPr>
                <w:rFonts w:ascii="Arial" w:cs="Arial" w:eastAsia="Arial" w:hAnsi="Arial"/>
                <w:sz w:val="18"/>
                <w:szCs w:val="18"/>
                <w:color w:val="auto"/>
              </w:rPr>
              <w:t>Operating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104,905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97,561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7,344</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37"/>
        </w:trPr>
        <w:tc>
          <w:tcPr>
            <w:tcW w:w="7440" w:type="dxa"/>
            <w:vAlign w:val="bottom"/>
          </w:tcPr>
          <w:p>
            <w:pPr>
              <w:ind w:left="420"/>
              <w:spacing w:after="0"/>
              <w:rPr>
                <w:sz w:val="20"/>
                <w:szCs w:val="20"/>
                <w:color w:val="auto"/>
              </w:rPr>
            </w:pPr>
            <w:r>
              <w:rPr>
                <w:rFonts w:ascii="Arial" w:cs="Arial" w:eastAsia="Arial" w:hAnsi="Arial"/>
                <w:sz w:val="18"/>
                <w:szCs w:val="18"/>
                <w:color w:val="auto"/>
              </w:rPr>
              <w:t>Total operating activities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99,338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96,137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3,201</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44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(447,810)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270,448</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4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375,187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(372,522)</w:t>
            </w: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ind w:left="8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(75,359)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23,514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(98,873)</w:t>
            </w:r>
          </w:p>
        </w:tc>
      </w:tr>
      <w:tr>
        <w:trPr>
          <w:trHeight w:val="27"/>
        </w:trPr>
        <w:tc>
          <w:tcPr>
            <w:tcW w:w="7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(used in) changes in working capital. The increase in net cash provided by operating activities is primarily driven by a period over period increase in operating earnings, offset by incremental cash absorbed by additions to working capital. Cash utilized in working capital reflects the timing of cash collections on receivables and settlement of payables as described below.</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certain operating assets and liabilities are as follows, in thousands:</w:t>
      </w:r>
    </w:p>
    <w:p>
      <w:pPr>
        <w:spacing w:after="0" w:line="230"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23495</wp:posOffset>
            </wp:positionV>
            <wp:extent cx="16725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49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Explanation of 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r>
      <w:tr>
        <w:trPr>
          <w:trHeight w:val="229"/>
        </w:trPr>
        <w:tc>
          <w:tcPr>
            <w:tcW w:w="37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16,344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(10,687)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Timing of collections; decreased receivables in 2019 because of</w:t>
            </w: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7"/>
              </w:rPr>
              <w:t>sequential decline in prescription volume coupled with channel</w:t>
            </w:r>
          </w:p>
        </w:tc>
      </w:tr>
      <w:tr>
        <w:trPr>
          <w:trHeight w:val="230"/>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inventory reduction in first quarter 2019.</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Increased inventory to support increased product demand.</w:t>
            </w: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w w:val="97"/>
              </w:rPr>
              <w:t>Prepaid expenses, other current assets and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5"/>
              </w:rPr>
              <w:t>Timing differences related to deposits for equipment purchases;</w:t>
            </w: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prepaid clinical trial costs.</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r>
      <w:tr>
        <w:trPr>
          <w:trHeight w:val="229"/>
        </w:trPr>
        <w:tc>
          <w:tcPr>
            <w:tcW w:w="3780" w:type="dxa"/>
            <w:vAlign w:val="bottom"/>
          </w:tcPr>
          <w:p>
            <w:pPr>
              <w:ind w:left="380"/>
              <w:spacing w:after="0"/>
              <w:rPr>
                <w:sz w:val="20"/>
                <w:szCs w:val="20"/>
                <w:color w:val="auto"/>
              </w:rPr>
            </w:pPr>
            <w:r>
              <w:rPr>
                <w:rFonts w:ascii="Arial" w:cs="Arial" w:eastAsia="Arial" w:hAnsi="Arial"/>
                <w:sz w:val="18"/>
                <w:szCs w:val="18"/>
                <w:color w:val="auto"/>
                <w:w w:val="93"/>
              </w:rPr>
              <w:t>Accounts payable and accrued expenses and</w:t>
            </w: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Timing of vendor payments.</w:t>
            </w: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29"/>
        </w:trPr>
        <w:tc>
          <w:tcPr>
            <w:tcW w:w="3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17,627</w:t>
            </w:r>
          </w:p>
        </w:tc>
        <w:tc>
          <w:tcPr>
            <w:tcW w:w="120" w:type="dxa"/>
            <w:vAlign w:val="bottom"/>
            <w:shd w:val="clear" w:color="auto" w:fill="CCEEFF"/>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Timing of rebate payments coupled with impact of channel</w:t>
            </w: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inventory reduction in first quarter 2019; increased provision</w:t>
            </w: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3"/>
              </w:rPr>
              <w:t>directly related to growth in prescriptions; growth in Medicaid and</w:t>
            </w:r>
          </w:p>
        </w:tc>
      </w:tr>
      <w:tr>
        <w:trPr>
          <w:trHeight w:val="216"/>
        </w:trPr>
        <w:tc>
          <w:tcPr>
            <w:tcW w:w="3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w w:val="99"/>
              </w:rPr>
              <w:t>managed care rebates higher expenditures for patient co-pay</w:t>
            </w:r>
          </w:p>
        </w:tc>
      </w:tr>
      <w:tr>
        <w:trPr>
          <w:trHeight w:val="237"/>
        </w:trPr>
        <w:tc>
          <w:tcPr>
            <w:tcW w:w="3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programs.</w:t>
            </w:r>
          </w:p>
        </w:tc>
      </w:tr>
      <w:tr>
        <w:trPr>
          <w:trHeight w:val="243"/>
        </w:trPr>
        <w:tc>
          <w:tcPr>
            <w:tcW w:w="3780" w:type="dxa"/>
            <w:vAlign w:val="bottom"/>
          </w:tcPr>
          <w:p>
            <w:pPr>
              <w:ind w:left="4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(7,390)</w:t>
            </w:r>
          </w:p>
        </w:tc>
        <w:tc>
          <w:tcPr>
            <w:tcW w:w="1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Timing of income tax payments.</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Timing of compensation payments.</w:t>
            </w:r>
          </w:p>
        </w:tc>
      </w:tr>
      <w:tr>
        <w:trPr>
          <w:trHeight w:val="237"/>
        </w:trPr>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Net cash used in investing activities decreased by $270.4 million for the nine months ended September 30, 2019, as compared to the same period in 2018, primarily due to net purchases of marketable securities. This represents the investment of excess cash in long term securities investments as well as the investment of the proceeds from the issuance of $402.5 million in 2023 Notes in March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cash provided by financing activities decreased to $2.7 million for the nine months ended September 30, 2019 versus $375.2 million provided in the same period in 2018. This year over year decrease is primarily attributable to the issuance of the 2023 Notes, and the related convertible note hedges and warrants, in March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8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Refer to the “Contractual Obligations and Commitments” section in “Part II, Item 7 — Management’s Discussion and Analysis of Liquidity and Capital Resources” of our Annual Report on Form 10-K for the year ended December 31, 2018, for a discussion of our contractual obligations.</w:t>
      </w:r>
    </w:p>
    <w:p>
      <w:pPr>
        <w:spacing w:after="0" w:line="106"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In addition, during the first quarter of 2019, we entered into a new lease agreement with Advent Key West, LLC for our new headquarters in Rockville, MD. Refer to Note 14 in the Notes to Condensed Consolidated Financial Statements in Part I, Item 1 of this Quarterly Report on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do not engage in trading activities involving non-exchange traded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 xml:space="preserve">On January 1, 2019, we adopted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or ASC 842. For a discussion of new accounting pronouncements, see Note 2 in the Notes to the Condensed Consolidated Financial Statements in Part I, Item 1 of this Quarterly Report on Form 10-Q.</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liquidity risk or risk of default by investing in investment grade securities, with maturities of four years or less. Our exposure to market risk is confined to investments in cash, cash equivalents, marketable securities and long term marketable securities. As of September 30, 2019, we had unrestricted cash, cash equivalents, marketable securities and long term marketable securities of $893.1 million.</w:t>
      </w:r>
    </w:p>
    <w:p>
      <w:pPr>
        <w:spacing w:after="0" w:line="1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208" w:lineRule="exact"/>
        <w:rPr>
          <w:sz w:val="20"/>
          <w:szCs w:val="20"/>
          <w:color w:val="auto"/>
        </w:rPr>
      </w:pPr>
    </w:p>
    <w:p>
      <w:pPr>
        <w:ind w:firstLine="648"/>
        <w:spacing w:after="0" w:line="271" w:lineRule="auto"/>
        <w:rPr>
          <w:sz w:val="20"/>
          <w:szCs w:val="20"/>
          <w:color w:val="auto"/>
        </w:rPr>
      </w:pPr>
      <w:r>
        <w:rPr>
          <w:rFonts w:ascii="Arial" w:cs="Arial" w:eastAsia="Arial" w:hAnsi="Arial"/>
          <w:sz w:val="18"/>
          <w:szCs w:val="18"/>
          <w:color w:val="auto"/>
        </w:rPr>
        <w:t>Our cash and cash equivalents consist primarily of cash held at banks, certificates of deposit and money market funds, and have short-term maturities. Our marketable securities consist of investments in commercial paper, investment grade corporate and U.S. government agency and state debt securities, which are reported at fair value.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3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may contract with CROs and investigational sites globally. Currently, we have only one ongoing trial, for SPN-817, outside the U.S. We do not hedge our foreign currency exchange rate risk. Transactions denominated in currencies other than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U.S. dollar are recorded based on exchange rates at the time such transactions arise. As of September 30, 2019 and December 31, 2018, substantially all of our liabilities were denominated in the U.S. dollar.</w:t>
      </w:r>
    </w:p>
    <w:p>
      <w:pPr>
        <w:spacing w:after="0" w:line="13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Inflation generally affects us by increasing our cost of labor and the cost of services provided by our vendors. We do not believe that inflation and changing prices over the three and nine months ended September 30, 2019 and 2018 had a significant impact on our condensed consolidated results of operations.</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4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conducted an evaluation of the effectiveness of the design and operation of our disclosure controls and procedures as of September 30, 2019, the end of the period covered by this report. Based on that evaluation, under the supervision and with the participation of our management, including our CEO and CFO, we concluded that our disclosure controls and procedures were effective as of September 30,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2019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From time to time and in the ordinary course of business, we may be subject to various claims, charges and litigation. We may be required to file infringement claims against third parties for the infringement of our patents. As of September 30, 2019, the Company has no outstanding litigation.</w:t>
      </w:r>
    </w:p>
    <w:p>
      <w:pPr>
        <w:spacing w:after="0" w:line="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2018.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Sales of Unregistered Securities.</w:t>
      </w:r>
    </w:p>
    <w:p>
      <w:pPr>
        <w:spacing w:after="0" w:line="189"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During the three months ended September 30, 2019, the Company granted options to employees to purchase an aggregate of 26,700 shares of common stock at a weighted-average exercise price of $32.53 per share. Once vested, the options are exercisable for a period of ten years from the grant date. These issuances are exempt from registration in reliance on Section 4(a)(2) of the Securities Act as transactions not involving a public offering.</w:t>
      </w:r>
    </w:p>
    <w:p>
      <w:pPr>
        <w:spacing w:after="0" w:line="1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125" w:right="1440"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1080" w:type="dxa"/>
            <w:vAlign w:val="bottom"/>
            <w:gridSpan w:val="2"/>
          </w:tcPr>
          <w:p>
            <w:pPr>
              <w:spacing w:after="0"/>
              <w:rPr>
                <w:sz w:val="20"/>
                <w:szCs w:val="20"/>
                <w:color w:val="auto"/>
              </w:rPr>
            </w:pPr>
            <w:r>
              <w:rPr>
                <w:rFonts w:ascii="Arial" w:cs="Arial" w:eastAsia="Arial" w:hAnsi="Arial"/>
                <w:sz w:val="18"/>
                <w:szCs w:val="18"/>
                <w:color w:val="auto"/>
              </w:rPr>
              <w:t>The following exhibits are filed or furnished as part of this Quarterly Report on Form 10-Q:</w:t>
            </w:r>
          </w:p>
        </w:tc>
      </w:tr>
      <w:tr>
        <w:trPr>
          <w:trHeight w:val="378"/>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31.1</w:t>
            </w:r>
          </w:p>
        </w:tc>
        <w:tc>
          <w:tcPr>
            <w:tcW w:w="10440" w:type="dxa"/>
            <w:vAlign w:val="bottom"/>
          </w:tcPr>
          <w:p>
            <w:pPr>
              <w:ind w:left="40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567"/>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31.2</w:t>
            </w:r>
          </w:p>
        </w:tc>
        <w:tc>
          <w:tcPr>
            <w:tcW w:w="10440" w:type="dxa"/>
            <w:vAlign w:val="bottom"/>
          </w:tcPr>
          <w:p>
            <w:pPr>
              <w:ind w:left="40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553"/>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32.1</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r>
      <w:tr>
        <w:trPr>
          <w:trHeight w:val="230"/>
        </w:trPr>
        <w:tc>
          <w:tcPr>
            <w:tcW w:w="6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of 2002.</w:t>
            </w:r>
          </w:p>
        </w:tc>
      </w:tr>
      <w:tr>
        <w:trPr>
          <w:trHeight w:val="553"/>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32.2</w:t>
            </w:r>
          </w:p>
        </w:tc>
        <w:tc>
          <w:tcPr>
            <w:tcW w:w="10440" w:type="dxa"/>
            <w:vAlign w:val="bottom"/>
          </w:tcPr>
          <w:p>
            <w:pPr>
              <w:ind w:left="40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r>
      <w:tr>
        <w:trPr>
          <w:trHeight w:val="230"/>
        </w:trPr>
        <w:tc>
          <w:tcPr>
            <w:tcW w:w="640" w:type="dxa"/>
            <w:vAlign w:val="bottom"/>
          </w:tcPr>
          <w:p>
            <w:pPr>
              <w:spacing w:after="0"/>
              <w:rPr>
                <w:sz w:val="20"/>
                <w:szCs w:val="20"/>
                <w:color w:val="auto"/>
              </w:rPr>
            </w:pPr>
          </w:p>
        </w:tc>
        <w:tc>
          <w:tcPr>
            <w:tcW w:w="10440" w:type="dxa"/>
            <w:vAlign w:val="bottom"/>
          </w:tcPr>
          <w:p>
            <w:pPr>
              <w:ind w:left="400"/>
              <w:spacing w:after="0"/>
              <w:rPr>
                <w:sz w:val="20"/>
                <w:szCs w:val="20"/>
                <w:color w:val="auto"/>
              </w:rPr>
            </w:pPr>
            <w:r>
              <w:rPr>
                <w:rFonts w:ascii="Arial" w:cs="Arial" w:eastAsia="Arial" w:hAnsi="Arial"/>
                <w:sz w:val="18"/>
                <w:szCs w:val="18"/>
                <w:color w:val="auto"/>
              </w:rPr>
              <w:t>of 2002.</w:t>
            </w:r>
          </w:p>
        </w:tc>
      </w:tr>
    </w:tbl>
    <w:p>
      <w:pPr>
        <w:spacing w:after="0" w:line="337" w:lineRule="exact"/>
        <w:rPr>
          <w:sz w:val="20"/>
          <w:szCs w:val="20"/>
          <w:color w:val="auto"/>
        </w:rPr>
      </w:pPr>
    </w:p>
    <w:p>
      <w:pPr>
        <w:ind w:left="1040" w:right="60" w:hanging="1005"/>
        <w:spacing w:after="0" w:line="25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September 30, 2019,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188" w:lineRule="exact"/>
        <w:rPr>
          <w:sz w:val="20"/>
          <w:szCs w:val="20"/>
          <w:color w:val="auto"/>
        </w:rPr>
      </w:pPr>
    </w:p>
    <w:p>
      <w:pPr>
        <w:ind w:left="1040" w:right="360" w:hanging="1005"/>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September 30, 2019, formatted in Inline XBRL (included with the Exhibit 101 attachments).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60" w:type="dxa"/>
            <w:vAlign w:val="bottom"/>
            <w:gridSpan w:val="6"/>
          </w:tcPr>
          <w:p>
            <w:pPr>
              <w:ind w:left="3380"/>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180" w:type="dxa"/>
            <w:vAlign w:val="bottom"/>
            <w:gridSpan w:val="5"/>
          </w:tcPr>
          <w:p>
            <w:pPr>
              <w:ind w:left="720"/>
              <w:spacing w:after="0"/>
              <w:rPr>
                <w:sz w:val="20"/>
                <w:szCs w:val="20"/>
                <w:color w:val="auto"/>
              </w:rPr>
            </w:pPr>
            <w:r>
              <w:rPr>
                <w:rFonts w:ascii="Arial" w:cs="Arial" w:eastAsia="Arial" w:hAnsi="Arial"/>
                <w:sz w:val="14"/>
                <w:szCs w:val="14"/>
                <w:b w:val="1"/>
                <w:bCs w:val="1"/>
                <w:color w:val="auto"/>
              </w:rPr>
              <w:t>Description</w:t>
            </w:r>
          </w:p>
        </w:tc>
      </w:tr>
      <w:tr>
        <w:trPr>
          <w:trHeight w:val="486"/>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60" w:type="dxa"/>
            <w:vAlign w:val="bottom"/>
            <w:tcBorders>
              <w:top w:val="single" w:sz="8" w:color="auto"/>
            </w:tcBorders>
            <w:gridSpan w:val="7"/>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Executive Officer pursuant to Rule 13a-14(a).</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51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4"/>
        </w:trPr>
        <w:tc>
          <w:tcPr>
            <w:tcW w:w="360" w:type="dxa"/>
            <w:vAlign w:val="bottom"/>
            <w:gridSpan w:val="2"/>
          </w:tcPr>
          <w:p>
            <w:pPr>
              <w:ind w:left="40"/>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Chief Financial Officer pursuant to Rule 13a-14(a).</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60" w:type="dxa"/>
            <w:vAlign w:val="bottom"/>
            <w:gridSpan w:val="2"/>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4"/>
        </w:trPr>
        <w:tc>
          <w:tcPr>
            <w:tcW w:w="360" w:type="dxa"/>
            <w:vAlign w:val="bottom"/>
            <w:gridSpan w:val="2"/>
          </w:tcPr>
          <w:p>
            <w:pPr>
              <w:ind w:left="4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of Chief Executive Officer pursuant to 18 U.S.C. Section 1350, as adopted pursuant to Section 906 of the Sarbanes-Oxley Act</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of 2002.</w:t>
              </w:r>
            </w:hyperlink>
          </w:p>
        </w:tc>
        <w:tc>
          <w:tcPr>
            <w:tcW w:w="12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4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534"/>
        </w:trPr>
        <w:tc>
          <w:tcPr>
            <w:tcW w:w="360" w:type="dxa"/>
            <w:vAlign w:val="bottom"/>
            <w:gridSpan w:val="2"/>
          </w:tcPr>
          <w:p>
            <w:pPr>
              <w:ind w:left="4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2</w:t>
              </w:r>
            </w:hyperlink>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Chief Financial Officer pursuant to 18 U.S.C. Section 1350, as adopted pursuant to Section 906 of the Sarbanes-Oxley Act</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of 2002.</w:t>
              </w:r>
            </w:hyperlink>
          </w:p>
        </w:tc>
        <w:tc>
          <w:tcPr>
            <w:tcW w:w="16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ind w:left="1040" w:right="60" w:hanging="1005"/>
        <w:spacing w:after="0" w:line="25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September 30, 2019, formatted in Inline XBRL: (i) Cover Page, (ii) Consolidated Condensed Statements of Income, (iii) Consolidated Condensed Statements of Comprehensive Income, (iv) Consolidated Condensed Balance Sheets, (v) Consolidated Condensed Statements of Shareholders' Equity, (vi) Consolidated Condensed Statements of Cash Flows, and (vii) the Notes to Consolidated Condensed Financial Statements, tagged in summary and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40" w:right="360" w:hanging="1005"/>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September 30, 2019, formatted in Inline XBRL (included with the Exhibit 101 attachments).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125" w:right="4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SUPERNUS PHARMACEUTICALS, INC.</w:t>
      </w:r>
    </w:p>
    <w:p>
      <w:pPr>
        <w:spacing w:after="0" w:line="360" w:lineRule="exact"/>
        <w:rPr>
          <w:sz w:val="20"/>
          <w:szCs w:val="20"/>
          <w:color w:val="auto"/>
        </w:rPr>
      </w:pPr>
    </w:p>
    <w:p>
      <w:pPr>
        <w:ind w:left="40"/>
        <w:spacing w:after="0"/>
        <w:tabs>
          <w:tab w:leader="none" w:pos="5720" w:val="left"/>
          <w:tab w:leader="none" w:pos="6280" w:val="left"/>
        </w:tabs>
        <w:rPr>
          <w:sz w:val="20"/>
          <w:szCs w:val="20"/>
          <w:color w:val="auto"/>
        </w:rPr>
      </w:pPr>
      <w:r>
        <w:rPr>
          <w:rFonts w:ascii="Arial" w:cs="Arial" w:eastAsia="Arial" w:hAnsi="Arial"/>
          <w:sz w:val="18"/>
          <w:szCs w:val="18"/>
          <w:color w:val="auto"/>
        </w:rPr>
        <w:t>DATED: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 Secretary and Chief Executive Officer</w:t>
      </w:r>
    </w:p>
    <w:p>
      <w:pPr>
        <w:spacing w:after="0" w:line="346" w:lineRule="exact"/>
        <w:rPr>
          <w:sz w:val="20"/>
          <w:szCs w:val="20"/>
          <w:color w:val="auto"/>
        </w:rPr>
      </w:pPr>
    </w:p>
    <w:p>
      <w:pPr>
        <w:ind w:left="40"/>
        <w:spacing w:after="0"/>
        <w:tabs>
          <w:tab w:leader="none" w:pos="5720" w:val="left"/>
          <w:tab w:leader="none" w:pos="6280" w:val="left"/>
        </w:tabs>
        <w:rPr>
          <w:sz w:val="20"/>
          <w:szCs w:val="20"/>
          <w:color w:val="auto"/>
        </w:rPr>
      </w:pPr>
      <w:r>
        <w:rPr>
          <w:rFonts w:ascii="Arial" w:cs="Arial" w:eastAsia="Arial" w:hAnsi="Arial"/>
          <w:sz w:val="18"/>
          <w:szCs w:val="18"/>
          <w:color w:val="auto"/>
        </w:rPr>
        <w:t>DATED: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121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5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Senior Vice President and Chief Financial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125"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7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84" w:lineRule="exact"/>
        <w:rPr>
          <w:rFonts w:ascii="Arial" w:cs="Arial" w:eastAsia="Arial" w:hAnsi="Arial"/>
          <w:sz w:val="16"/>
          <w:szCs w:val="16"/>
          <w:color w:val="auto"/>
        </w:rPr>
      </w:pPr>
    </w:p>
    <w:p>
      <w:pPr>
        <w:jc w:val="both"/>
        <w:ind w:left="660" w:right="300" w:hanging="652"/>
        <w:spacing w:after="0" w:line="26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660" w:right="260" w:hanging="652"/>
        <w:spacing w:after="0" w:line="308"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5"/>
          <w:szCs w:val="15"/>
          <w:color w:val="auto"/>
        </w:rPr>
      </w:pPr>
    </w:p>
    <w:p>
      <w:pPr>
        <w:ind w:left="660" w:right="280" w:hanging="652"/>
        <w:spacing w:after="0" w:line="26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300" w:right="220" w:hanging="644"/>
        <w:spacing w:after="0" w:line="26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6"/>
          <w:szCs w:val="16"/>
          <w:color w:val="auto"/>
        </w:rPr>
      </w:pPr>
    </w:p>
    <w:p>
      <w:pPr>
        <w:jc w:val="both"/>
        <w:ind w:left="1300" w:right="380" w:hanging="644"/>
        <w:spacing w:after="0" w:line="342" w:lineRule="auto"/>
        <w:tabs>
          <w:tab w:leader="none" w:pos="1300" w:val="left"/>
        </w:tabs>
        <w:numPr>
          <w:ilvl w:val="1"/>
          <w:numId w:val="21"/>
        </w:numPr>
        <w:rPr>
          <w:rFonts w:ascii="Arial" w:cs="Arial" w:eastAsia="Arial" w:hAnsi="Arial"/>
          <w:sz w:val="14"/>
          <w:szCs w:val="14"/>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4"/>
          <w:szCs w:val="14"/>
          <w:color w:val="auto"/>
        </w:rPr>
      </w:pPr>
    </w:p>
    <w:p>
      <w:pPr>
        <w:ind w:left="1300" w:right="80" w:hanging="644"/>
        <w:spacing w:after="0" w:line="264"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6"/>
          <w:szCs w:val="16"/>
          <w:color w:val="auto"/>
        </w:rPr>
      </w:pPr>
    </w:p>
    <w:p>
      <w:pPr>
        <w:ind w:left="660" w:right="180" w:hanging="652"/>
        <w:spacing w:after="0" w:line="308"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5"/>
          <w:szCs w:val="15"/>
          <w:color w:val="auto"/>
        </w:rPr>
      </w:pPr>
    </w:p>
    <w:p>
      <w:pPr>
        <w:ind w:left="1300" w:right="68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tabs>
          <w:tab w:leader="none" w:pos="4820" w:val="left"/>
          <w:tab w:leader="none" w:pos="5200" w:val="left"/>
        </w:tabs>
        <w:rPr>
          <w:sz w:val="20"/>
          <w:szCs w:val="20"/>
          <w:color w:val="auto"/>
        </w:rPr>
      </w:pPr>
      <w:r>
        <w:rPr>
          <w:rFonts w:ascii="Arial" w:cs="Arial" w:eastAsia="Arial" w:hAnsi="Arial"/>
          <w:sz w:val="16"/>
          <w:szCs w:val="16"/>
          <w:color w:val="auto"/>
        </w:rPr>
        <w:t>Date: November 8,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34925</wp:posOffset>
            </wp:positionV>
            <wp:extent cx="256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6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420"/>
          </w:cols>
          <w:pgMar w:left="240" w:top="76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Gregory S. Patrick, certify that:</w:t>
      </w:r>
    </w:p>
    <w:p>
      <w:pPr>
        <w:spacing w:after="0" w:line="17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I have reviewed this Quarterly Report on Form 10-Q of Supernus Pharmaceuticals, Inc.;</w:t>
      </w:r>
    </w:p>
    <w:p>
      <w:pPr>
        <w:spacing w:after="0" w:line="184" w:lineRule="exact"/>
        <w:rPr>
          <w:rFonts w:ascii="Arial" w:cs="Arial" w:eastAsia="Arial" w:hAnsi="Arial"/>
          <w:sz w:val="16"/>
          <w:szCs w:val="16"/>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660" w:right="260" w:hanging="652"/>
        <w:spacing w:after="0" w:line="308"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5"/>
          <w:szCs w:val="15"/>
          <w:color w:val="auto"/>
        </w:rPr>
      </w:pPr>
    </w:p>
    <w:p>
      <w:pPr>
        <w:ind w:left="660" w:right="280" w:hanging="652"/>
        <w:spacing w:after="0" w:line="264"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6"/>
          <w:szCs w:val="16"/>
          <w:color w:val="auto"/>
        </w:rPr>
      </w:pPr>
    </w:p>
    <w:p>
      <w:pPr>
        <w:ind w:left="1300" w:right="120" w:hanging="644"/>
        <w:spacing w:after="0" w:line="264"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6"/>
          <w:szCs w:val="16"/>
          <w:color w:val="auto"/>
        </w:rPr>
      </w:pPr>
    </w:p>
    <w:p>
      <w:pPr>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5"/>
          <w:szCs w:val="15"/>
          <w:color w:val="auto"/>
        </w:rPr>
      </w:pPr>
    </w:p>
    <w:p>
      <w:pPr>
        <w:ind w:left="1300" w:right="68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6"/>
          <w:szCs w:val="16"/>
          <w:color w:val="auto"/>
        </w:rPr>
        <w:t>Date: November 8, 2019</w:t>
      </w:r>
      <w:r>
        <w:rPr>
          <w:sz w:val="20"/>
          <w:szCs w:val="20"/>
          <w:color w:val="auto"/>
        </w:rPr>
        <w:tab/>
      </w:r>
      <w:r>
        <w:rPr>
          <w:rFonts w:ascii="Arial" w:cs="Arial" w:eastAsia="Arial" w:hAnsi="Arial"/>
          <w:sz w:val="15"/>
          <w:szCs w:val="15"/>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34925</wp:posOffset>
            </wp:positionV>
            <wp:extent cx="2718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Gregory S. Patrick</w:t>
      </w:r>
    </w:p>
    <w:p>
      <w:pPr>
        <w:spacing w:after="0" w:line="8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September 30, 2019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4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6"/>
          <w:szCs w:val="16"/>
          <w:color w:val="auto"/>
        </w:rPr>
        <w:t>Date: November 8, 2019</w:t>
      </w:r>
      <w:r>
        <w:rPr>
          <w:sz w:val="20"/>
          <w:szCs w:val="20"/>
          <w:color w:val="auto"/>
        </w:rPr>
        <w:tab/>
      </w:r>
      <w:r>
        <w:rPr>
          <w:rFonts w:ascii="Arial" w:cs="Arial" w:eastAsia="Arial" w:hAnsi="Arial"/>
          <w:sz w:val="15"/>
          <w:szCs w:val="15"/>
          <w:color w:val="auto"/>
        </w:rPr>
        <w:t>By:  /s/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34925</wp:posOffset>
            </wp:positionV>
            <wp:extent cx="2718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420"/>
          </w:cols>
          <w:pgMar w:left="240" w:top="76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SUPERNUS PHARMACEUTICALS,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 1350,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In connection with the Quarterly Report of Supernus Pharmaceuticals, Inc. (the “Company”) on Form 10-Q for the period ended September 30, 2019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4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6"/>
          <w:szCs w:val="16"/>
          <w:color w:val="auto"/>
        </w:rPr>
        <w:t>Date: November 8, 2019</w:t>
      </w:r>
      <w:r>
        <w:rPr>
          <w:sz w:val="20"/>
          <w:szCs w:val="20"/>
          <w:color w:val="auto"/>
        </w:rPr>
        <w:tab/>
      </w:r>
      <w:r>
        <w:rPr>
          <w:rFonts w:ascii="Arial" w:cs="Arial" w:eastAsia="Arial" w:hAnsi="Arial"/>
          <w:sz w:val="15"/>
          <w:szCs w:val="15"/>
          <w:color w:val="auto"/>
        </w:rPr>
        <w:t>By:  /s/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34925</wp:posOffset>
            </wp:positionV>
            <wp:extent cx="2718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6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Gregory S. Patrick</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Senior Vice President and Chief Financial Officer</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3"/>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6"/>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01"/>
    </w:lvl>
  </w:abstractNum>
  <w:abstractNum w:abstractNumId="17">
    <w:nsid w:val="628C895D"/>
    <w:multiLevelType w:val="hybridMultilevel"/>
    <w:lvl w:ilvl="0">
      <w:lvlJc w:val="left"/>
      <w:lvlText w:val="%1"/>
      <w:numFmt w:val="decimal"/>
      <w:start w:val="104"/>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2019-12-28T01:49:19Z</dcterms:created>
  <dcterms:modified xsi:type="dcterms:W3CDTF">2019-12-28T01:49:19Z</dcterms:modified>
</cp:coreProperties>
</file>