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FORM 12b-25</w:t>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001-35518</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868459 10 8</w:t>
      </w: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1480" w:val="left"/>
          <w:tab w:leader="none" w:pos="2660" w:val="left"/>
          <w:tab w:leader="none" w:pos="3780" w:val="left"/>
          <w:tab w:leader="none" w:pos="4940" w:val="left"/>
          <w:tab w:leader="none" w:pos="6160" w:val="left"/>
          <w:tab w:leader="none" w:pos="7320" w:val="left"/>
          <w:tab w:leader="none" w:pos="866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Times New Roman" w:cs="Times New Roman" w:eastAsia="Times New Roman" w:hAnsi="Times New Roman"/>
          <w:sz w:val="18"/>
          <w:szCs w:val="18"/>
          <w:color w:val="auto"/>
        </w:rPr>
        <w:t>Form 10-K</w:t>
      </w:r>
      <w:r>
        <w:rPr>
          <w:sz w:val="20"/>
          <w:szCs w:val="20"/>
          <w:color w:val="auto"/>
        </w:rPr>
        <w:tab/>
      </w:r>
      <w:r>
        <w:rPr>
          <w:rFonts w:ascii="Times New Roman" w:cs="Times New Roman" w:eastAsia="Times New Roman" w:hAnsi="Times New Roman"/>
          <w:sz w:val="18"/>
          <w:szCs w:val="18"/>
          <w:color w:val="auto"/>
        </w:rPr>
        <w:t>Form 20-F</w:t>
      </w:r>
      <w:r>
        <w:rPr>
          <w:sz w:val="20"/>
          <w:szCs w:val="20"/>
          <w:color w:val="auto"/>
        </w:rPr>
        <w:tab/>
      </w:r>
      <w:r>
        <w:rPr>
          <w:rFonts w:ascii="Times New Roman" w:cs="Times New Roman" w:eastAsia="Times New Roman" w:hAnsi="Times New Roman"/>
          <w:sz w:val="18"/>
          <w:szCs w:val="18"/>
          <w:color w:val="auto"/>
        </w:rPr>
        <w:t>Form 11-K</w:t>
      </w:r>
      <w:r>
        <w:rPr>
          <w:sz w:val="20"/>
          <w:szCs w:val="20"/>
          <w:color w:val="auto"/>
        </w:rPr>
        <w:tab/>
      </w:r>
      <w:r>
        <w:rPr>
          <w:rFonts w:ascii="Times New Roman" w:cs="Times New Roman" w:eastAsia="Times New Roman" w:hAnsi="Times New Roman"/>
          <w:sz w:val="18"/>
          <w:szCs w:val="18"/>
          <w:color w:val="auto"/>
        </w:rPr>
        <w:t>Form 10-Q</w:t>
      </w:r>
      <w:r>
        <w:rPr>
          <w:sz w:val="20"/>
          <w:szCs w:val="20"/>
          <w:color w:val="auto"/>
        </w:rPr>
        <w:tab/>
      </w:r>
      <w:r>
        <w:rPr>
          <w:rFonts w:ascii="Times New Roman" w:cs="Times New Roman" w:eastAsia="Times New Roman" w:hAnsi="Times New Roman"/>
          <w:sz w:val="18"/>
          <w:szCs w:val="18"/>
          <w:color w:val="auto"/>
        </w:rPr>
        <w:t>Form 10-D</w:t>
      </w:r>
      <w:r>
        <w:rPr>
          <w:sz w:val="20"/>
          <w:szCs w:val="20"/>
          <w:color w:val="auto"/>
        </w:rPr>
        <w:tab/>
      </w:r>
      <w:r>
        <w:rPr>
          <w:rFonts w:ascii="Times New Roman" w:cs="Times New Roman" w:eastAsia="Times New Roman" w:hAnsi="Times New Roman"/>
          <w:sz w:val="18"/>
          <w:szCs w:val="18"/>
          <w:color w:val="auto"/>
        </w:rPr>
        <w:t>Form N-SAR</w:t>
      </w:r>
      <w:r>
        <w:rPr>
          <w:sz w:val="20"/>
          <w:szCs w:val="20"/>
          <w:color w:val="auto"/>
        </w:rPr>
        <w:tab/>
      </w:r>
      <w:r>
        <w:rPr>
          <w:rFonts w:ascii="Times New Roman" w:cs="Times New Roman" w:eastAsia="Times New Roman" w:hAnsi="Times New Roman"/>
          <w:sz w:val="17"/>
          <w:szCs w:val="17"/>
          <w:color w:val="auto"/>
        </w:rPr>
        <w:t>Form N-CSR</w:t>
      </w:r>
    </w:p>
    <w:p>
      <w:pPr>
        <w:spacing w:after="0" w:line="34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-5080</wp:posOffset>
            </wp:positionV>
            <wp:extent cx="1494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4155" cy="8890"/>
                    </a:xfrm>
                    <a:prstGeom prst="rect">
                      <a:avLst/>
                    </a:prstGeom>
                    <a:noFill/>
                  </pic:spPr>
                </pic:pic>
              </a:graphicData>
            </a:graphic>
          </wp:anchor>
        </w:drawing>
      </w:r>
    </w:p>
    <w:p>
      <w:pPr>
        <w:spacing w:after="0" w:line="31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Transition Report on Form 10-K</w:t>
      </w:r>
    </w:p>
    <w:p>
      <w:pPr>
        <w:spacing w:after="0" w:line="6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Transition Report on Form 20-F</w:t>
      </w:r>
    </w:p>
    <w:p>
      <w:pPr>
        <w:spacing w:after="0" w:line="6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Transition Report on Form 11-K</w:t>
      </w:r>
    </w:p>
    <w:p>
      <w:pPr>
        <w:spacing w:after="0" w:line="6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Transition Report on Form 10-Q</w:t>
      </w:r>
    </w:p>
    <w:p>
      <w:pPr>
        <w:spacing w:after="0" w:line="6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Transition Report on Form N-SAR</w:t>
      </w:r>
    </w:p>
    <w:p>
      <w:pPr>
        <w:spacing w:after="0" w:line="33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For the Transition Period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057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Read Instructions (on back page) Before Preparing Form. Please Print or Type.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Nothing in this form shall be construed to imply that the Commission has verified any information contained herein.</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Supernus Pharmaceuticals,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if Applicable</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9715 Key West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Rockville, MD 20850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(City, State and Zip Code)</w:t>
      </w:r>
    </w:p>
    <w:p>
      <w:pPr>
        <w:sectPr>
          <w:pgSz w:w="11900" w:h="16838" w:orient="portrait"/>
          <w:cols w:equalWidth="0" w:num="1">
            <w:col w:w="11240"/>
          </w:cols>
          <w:pgMar w:left="320" w:top="1440" w:right="339" w:bottom="1440" w:gutter="0" w:footer="0" w:header="0"/>
        </w:sectPr>
      </w:pPr>
    </w:p>
    <w:bookmarkStart w:id="1" w:name="page2"/>
    <w:bookmarkEnd w:id="1"/>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00" w:lineRule="exact"/>
        <w:rPr>
          <w:sz w:val="20"/>
          <w:szCs w:val="20"/>
          <w:color w:val="auto"/>
        </w:rPr>
      </w:pPr>
    </w:p>
    <w:p>
      <w:pPr>
        <w:spacing w:after="0" w:line="232"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 w:lineRule="exact"/>
        <w:rPr>
          <w:sz w:val="20"/>
          <w:szCs w:val="20"/>
          <w:color w:val="auto"/>
        </w:rPr>
      </w:pPr>
    </w:p>
    <w:p>
      <w:pPr>
        <w:ind w:left="920" w:hanging="377"/>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52" w:lineRule="exact"/>
        <w:rPr>
          <w:rFonts w:ascii="Times New Roman" w:cs="Times New Roman" w:eastAsia="Times New Roman" w:hAnsi="Times New Roman"/>
          <w:sz w:val="18"/>
          <w:szCs w:val="18"/>
          <w:color w:val="auto"/>
        </w:rPr>
      </w:pPr>
    </w:p>
    <w:p>
      <w:pPr>
        <w:ind w:left="920" w:right="80" w:hanging="377"/>
        <w:spacing w:after="0" w:line="22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26" w:lineRule="exact"/>
        <w:rPr>
          <w:rFonts w:ascii="Times New Roman" w:cs="Times New Roman" w:eastAsia="Times New Roman" w:hAnsi="Times New Roman"/>
          <w:sz w:val="18"/>
          <w:szCs w:val="18"/>
          <w:color w:val="auto"/>
        </w:rPr>
      </w:pPr>
    </w:p>
    <w:p>
      <w:pPr>
        <w:ind w:left="920" w:hanging="377"/>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-1053465</wp:posOffset>
            </wp:positionV>
            <wp:extent cx="8890" cy="1071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0718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N-SAR, N-CSR, or the transition report or portion thereof, could not be filed within the prescribed time period.</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Supernus Pharmaceuticals, Inc. (the “Company”) is filing this Notification of Late Filing on Form 12b-25 with respect to its Annual Report on Form 10-K for the year ended December 31, 2022 (the “Form 10-K”). The Company is unable to file its Form 10-K within the prescribed time period without unreasonable effort or expense because it requires additional time to complete its financial statements and assessment of the Company’s internal control over financial reporting. As a result of the foregoing, KPMG LLP, the Company’s independent registered public accounting firm, has not yet completed its audit procedures.</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upon currently available information, the Company expects to report one or more material weaknesses in its internal controls and expects its internal control over financial reporting will be ineffective as of December 31, 2022. The material weaknesses have not resulted in any material misstatements or omissions in previously reported financial statements.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any material changes to the financial information furnished with the Form 8-K filed by the Company with the Securities and Exchange Commission on February 28, 2023. The Company anticipates that the Form 10-K will be filed on or before the fifteenth calendar day following the prescribed due date.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54" w:lineRule="exact"/>
        <w:rPr>
          <w:sz w:val="20"/>
          <w:szCs w:val="20"/>
          <w:color w:val="auto"/>
        </w:rPr>
      </w:pPr>
    </w:p>
    <w:p>
      <w:pPr>
        <w:ind w:left="440" w:hanging="39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Timothy C. Dec</w:t>
            </w:r>
          </w:p>
        </w:tc>
        <w:tc>
          <w:tcPr>
            <w:tcW w:w="32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(301)</w:t>
            </w:r>
          </w:p>
        </w:tc>
        <w:tc>
          <w:tcPr>
            <w:tcW w:w="820" w:type="dxa"/>
            <w:vAlign w:val="bottom"/>
          </w:tcPr>
          <w:p>
            <w:pPr>
              <w:spacing w:after="0"/>
              <w:rPr>
                <w:sz w:val="20"/>
                <w:szCs w:val="20"/>
                <w:color w:val="auto"/>
              </w:rPr>
            </w:pPr>
          </w:p>
        </w:tc>
        <w:tc>
          <w:tcPr>
            <w:tcW w:w="320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838-2500</w:t>
            </w:r>
          </w:p>
        </w:tc>
      </w:tr>
      <w:tr>
        <w:trPr>
          <w:trHeight w:val="228"/>
        </w:trPr>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800" w:type="dxa"/>
            <w:vAlign w:val="bottom"/>
          </w:tcPr>
          <w:p>
            <w:pPr>
              <w:spacing w:after="0"/>
              <w:rPr>
                <w:sz w:val="19"/>
                <w:szCs w:val="19"/>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820" w:type="dxa"/>
            <w:vAlign w:val="bottom"/>
          </w:tcPr>
          <w:p>
            <w:pPr>
              <w:spacing w:after="0"/>
              <w:rPr>
                <w:sz w:val="19"/>
                <w:szCs w:val="19"/>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355" w:lineRule="exact"/>
        <w:rPr>
          <w:sz w:val="20"/>
          <w:szCs w:val="20"/>
          <w:color w:val="auto"/>
        </w:rPr>
      </w:pPr>
    </w:p>
    <w:p>
      <w:pPr>
        <w:jc w:val="both"/>
        <w:ind w:left="440" w:hanging="396"/>
        <w:spacing w:after="0" w:line="266"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No</w:t>
      </w:r>
    </w:p>
    <w:p>
      <w:pPr>
        <w:spacing w:after="0" w:line="175" w:lineRule="exact"/>
        <w:rPr>
          <w:rFonts w:ascii="Times New Roman" w:cs="Times New Roman" w:eastAsia="Times New Roman" w:hAnsi="Times New Roman"/>
          <w:sz w:val="18"/>
          <w:szCs w:val="18"/>
          <w:color w:val="auto"/>
        </w:rPr>
      </w:pPr>
    </w:p>
    <w:p>
      <w:pPr>
        <w:ind w:left="440" w:right="20" w:hanging="396"/>
        <w:spacing w:after="0" w:line="261"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No</w:t>
      </w:r>
    </w:p>
    <w:p>
      <w:pPr>
        <w:sectPr>
          <w:pgSz w:w="11900" w:h="16838" w:orient="portrait"/>
          <w:cols w:equalWidth="0" w:num="1">
            <w:col w:w="11220"/>
          </w:cols>
          <w:pgMar w:left="320" w:top="1440" w:right="359" w:bottom="1440" w:gutter="0" w:footer="0" w:header="0"/>
        </w:sectPr>
      </w:pPr>
    </w:p>
    <w:bookmarkStart w:id="2" w:name="page3"/>
    <w:bookmarkEnd w:id="2"/>
    <w:p>
      <w:pPr>
        <w:spacing w:after="0" w:line="18"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presently expects the result of operations to be included in the Form 10-K will reflect significant changes in operations from the prior year consistent with the comparative selected financial information on results of operations disclosed in the Company’s press release (the “Press Release”) included in its Current Report on Form 8-K furnished with the Securities and Exchange Commission dated February 28, 2023. The Press Release is incorporated herein by reference.</w:t>
      </w:r>
    </w:p>
    <w:p>
      <w:pPr>
        <w:sectPr>
          <w:pgSz w:w="11900" w:h="16838" w:orient="portrait"/>
          <w:cols w:equalWidth="0" w:num="1">
            <w:col w:w="10660"/>
          </w:cols>
          <w:pgMar w:left="760" w:top="1440" w:right="479" w:bottom="1440" w:gutter="0" w:footer="0" w:header="0"/>
        </w:sectPr>
      </w:pPr>
    </w:p>
    <w:bookmarkStart w:id="3" w:name="page4"/>
    <w:bookmarkEnd w:id="3"/>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Supernus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2023</w:t>
            </w: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C. Dec</w:t>
            </w:r>
          </w:p>
        </w:tc>
      </w:tr>
      <w:tr>
        <w:trPr>
          <w:trHeight w:val="218"/>
        </w:trPr>
        <w:tc>
          <w:tcPr>
            <w:tcW w:w="3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C. Dec</w:t>
            </w:r>
          </w:p>
        </w:tc>
      </w:tr>
      <w:tr>
        <w:trPr>
          <w:trHeight w:val="234"/>
        </w:trPr>
        <w:tc>
          <w:tcPr>
            <w:tcW w:w="33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311785</wp:posOffset>
            </wp:positionV>
            <wp:extent cx="7132320"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ATTENTION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2023-03-02T15:44:46Z</dcterms:created>
  <dcterms:modified xsi:type="dcterms:W3CDTF">2023-03-02T15:44:46Z</dcterms:modified>
</cp:coreProperties>
</file>