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001-35518 </w:t>
      </w:r>
    </w:p>
    <w:p>
      <w:pPr>
        <w:pStyle w:val="TextBody"/>
        <w:bidi w:val="0"/>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SUPERNUS PHARMACEUTICALS,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439" w:type="dxa"/>
        <w:jc w:val="center"/>
        <w:tblInd w:w="0" w:type="dxa"/>
        <w:tblLayout w:type="fixed"/>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20-2590184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(State or other jurisdiction of</w:t>
              <w:br/>
              <w:t>incorporation or organization)</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9715 Key West Avenue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Rockville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MD</w:t>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20850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(301) 838-2500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100" w:after="283"/>
        <w:jc w:val="left"/>
        <w:rPr/>
      </w:pPr>
      <w:r>
        <w:rPr>
          <w:color w:val="000000"/>
        </w:rPr>
        <w:t xml:space="preserve">☒ </w:t>
      </w:r>
      <w:r>
        <w:rPr>
          <w:rFonts w:ascii="Times New Roman;sans-serif" w:hAnsi="Times New Roman;sans-serif"/>
          <w:b w:val="false"/>
          <w:color w:val="000000"/>
          <w:sz w:val="20"/>
        </w:rPr>
        <w:t xml:space="preserve">Yes No </w:t>
      </w:r>
      <w:r>
        <w:rPr>
          <w:color w:val="000000"/>
        </w:rPr>
        <w:t>☐</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1034"/>
        <w:gridCol w:w="907"/>
        <w:gridCol w:w="911"/>
        <w:gridCol w:w="109"/>
        <w:gridCol w:w="109"/>
        <w:gridCol w:w="109"/>
        <w:gridCol w:w="599"/>
        <w:gridCol w:w="588"/>
        <w:gridCol w:w="590"/>
        <w:gridCol w:w="109"/>
        <w:gridCol w:w="109"/>
        <w:gridCol w:w="109"/>
        <w:gridCol w:w="425"/>
        <w:gridCol w:w="425"/>
        <w:gridCol w:w="426"/>
        <w:gridCol w:w="109"/>
        <w:gridCol w:w="109"/>
        <w:gridCol w:w="109"/>
        <w:gridCol w:w="971"/>
        <w:gridCol w:w="971"/>
        <w:gridCol w:w="1377"/>
      </w:tblGrid>
      <w:tr>
        <w:trPr/>
        <w:tc>
          <w:tcPr>
            <w:tcW w:w="103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2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at May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54,974,254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 QUARTERLY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tbl>
      <w:tblPr>
        <w:tblW w:w="8790" w:type="dxa"/>
        <w:jc w:val="center"/>
        <w:tblInd w:w="0" w:type="dxa"/>
        <w:tblLayout w:type="fixed"/>
        <w:tblCellMar>
          <w:top w:w="28" w:type="dxa"/>
          <w:left w:w="28" w:type="dxa"/>
          <w:bottom w:w="28" w:type="dxa"/>
          <w:right w:w="28" w:type="dxa"/>
        </w:tblCellMar>
      </w:tblPr>
      <w:tblGrid>
        <w:gridCol w:w="2889"/>
        <w:gridCol w:w="2543"/>
        <w:gridCol w:w="2547"/>
        <w:gridCol w:w="237"/>
        <w:gridCol w:w="237"/>
        <w:gridCol w:w="337"/>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0">
              <w:r>
                <w:rPr>
                  <w:rStyle w:val="InternetLink"/>
                  <w:rFonts w:ascii="Times New Roman;sans-serif" w:hAnsi="Times New Roman;sans-serif"/>
                  <w:b w:val="false"/>
                  <w:color w:val="0000FF"/>
                  <w:sz w:val="20"/>
                  <w:u w:val="single"/>
                </w:rPr>
                <w:t>PART I — FINANCIAL INFORMATION</w:t>
              </w:r>
            </w:hyperlink>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3">
              <w:r>
                <w:rPr>
                  <w:rStyle w:val="InternetLink"/>
                  <w:rFonts w:ascii="Times New Roman;sans-serif" w:hAnsi="Times New Roman;sans-serif"/>
                  <w:b w:val="false"/>
                  <w:color w:val="0000FF"/>
                  <w:sz w:val="20"/>
                  <w:u w:val="single"/>
                </w:rPr>
                <w:t>Item 1.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6">
              <w:r>
                <w:rPr>
                  <w:rStyle w:val="InternetLink"/>
                  <w:rFonts w:ascii="Times New Roman;sans-serif" w:hAnsi="Times New Roman;sans-serif"/>
                  <w:b w:val="false"/>
                  <w:color w:val="0000FF"/>
                  <w:sz w:val="20"/>
                  <w:u w:val="single"/>
                </w:rPr>
                <w:t>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6">
              <w:r>
                <w:rPr>
                  <w:rStyle w:val="InternetLink"/>
                  <w:rFonts w:ascii="Times New Roman;sans-serif" w:hAnsi="Times New Roman;sans-serif"/>
                  <w:b w:val="false"/>
                  <w:strike w:val="false"/>
                  <w:dstrike w:val="false"/>
                  <w:color w:val="1E39C6"/>
                  <w:sz w:val="20"/>
                  <w:u w:val="none"/>
                  <w:effect w:val="non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9">
              <w:r>
                <w:rPr>
                  <w:rStyle w:val="InternetLink"/>
                  <w:rFonts w:ascii="Times New Roman;sans-serif" w:hAnsi="Times New Roman;sans-serif"/>
                  <w:b w:val="false"/>
                  <w:color w:val="0000FF"/>
                  <w:sz w:val="20"/>
                  <w:u w:val="single"/>
                </w:rPr>
                <w:t xml:space="preserve">Condensed Consolidated Statements of Earnings </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9">
              <w:r>
                <w:rPr>
                  <w:rStyle w:val="InternetLink"/>
                  <w:rFonts w:ascii="Times New Roman;sans-serif" w:hAnsi="Times New Roman;sans-serif"/>
                  <w:b w:val="false"/>
                  <w:strike w:val="false"/>
                  <w:dstrike w:val="false"/>
                  <w:color w:val="0000FF"/>
                  <w:sz w:val="20"/>
                  <w:u w:val="none"/>
                  <w:effect w:val="non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22">
              <w:r>
                <w:rPr>
                  <w:rStyle w:val="InternetLink"/>
                  <w:rFonts w:ascii="Times New Roman;sans-serif" w:hAnsi="Times New Roman;sans-serif"/>
                  <w:b w:val="false"/>
                  <w:color w:val="0000FF"/>
                  <w:sz w:val="20"/>
                  <w:u w:val="single"/>
                </w:rPr>
                <w:t xml:space="preserve">Condensed Consolidated Statements of Comprehensive Earnings </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22">
              <w:r>
                <w:rPr>
                  <w:rStyle w:val="InternetLink"/>
                  <w:rFonts w:ascii="Times New Roman;sans-serif" w:hAnsi="Times New Roman;sans-serif"/>
                  <w:b w:val="false"/>
                  <w:strike w:val="false"/>
                  <w:dstrike w:val="false"/>
                  <w:color w:val="0000FF"/>
                  <w:sz w:val="20"/>
                  <w:u w:val="none"/>
                  <w:effect w:val="non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25">
              <w:r>
                <w:rPr>
                  <w:rStyle w:val="InternetLink"/>
                  <w:rFonts w:ascii="Times New Roman;sans-serif" w:hAnsi="Times New Roman;sans-serif"/>
                  <w:b w:val="false"/>
                  <w:color w:val="0000FF"/>
                  <w:sz w:val="20"/>
                  <w:u w:val="single"/>
                </w:rPr>
                <w:t>Condensed Consolidated Statements of Changes in Stockholders'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25">
              <w:r>
                <w:rPr>
                  <w:rStyle w:val="InternetLink"/>
                  <w:rFonts w:ascii="Times New Roman;sans-serif" w:hAnsi="Times New Roman;sans-serif"/>
                  <w:b w:val="false"/>
                  <w:strike w:val="false"/>
                  <w:dstrike w:val="false"/>
                  <w:color w:val="0000FF"/>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28">
              <w:r>
                <w:rPr>
                  <w:rStyle w:val="InternetLink"/>
                  <w:rFonts w:ascii="Times New Roman;sans-serif" w:hAnsi="Times New Roman;sans-serif"/>
                  <w:b w:val="false"/>
                  <w:color w:val="0000FF"/>
                  <w:sz w:val="20"/>
                  <w:u w:val="single"/>
                </w:rPr>
                <w:t>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28">
              <w:r>
                <w:rPr>
                  <w:rStyle w:val="InternetLink"/>
                  <w:rFonts w:ascii="Times New Roman;sans-serif" w:hAnsi="Times New Roman;sans-serif"/>
                  <w:b w:val="false"/>
                  <w:strike w:val="false"/>
                  <w:dstrike w:val="false"/>
                  <w:color w:val="0000FF"/>
                  <w:sz w:val="20"/>
                  <w:u w:val="none"/>
                  <w:effect w:val="non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31">
              <w:r>
                <w:rPr>
                  <w:rStyle w:val="InternetLink"/>
                  <w:rFonts w:ascii="Times New Roman;sans-serif" w:hAnsi="Times New Roman;sans-serif"/>
                  <w:b w:val="false"/>
                  <w:color w:val="0000FF"/>
                  <w:sz w:val="20"/>
                  <w:u w:val="single"/>
                </w:rPr>
                <w:t>Notes to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31">
              <w:r>
                <w:rPr>
                  <w:rStyle w:val="InternetLink"/>
                  <w:rFonts w:ascii="Times New Roman;sans-serif" w:hAnsi="Times New Roman;sans-serif"/>
                  <w:b w:val="false"/>
                  <w:strike w:val="false"/>
                  <w:dstrike w:val="false"/>
                  <w:color w:val="0000FF"/>
                  <w:sz w:val="20"/>
                  <w:u w:val="none"/>
                  <w:effect w:val="non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9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97">
              <w:r>
                <w:rPr>
                  <w:rStyle w:val="InternetLink"/>
                  <w:rFonts w:ascii="Times New Roman;sans-serif" w:hAnsi="Times New Roman;sans-serif"/>
                  <w:b w:val="false"/>
                  <w:strike w:val="false"/>
                  <w:dstrike w:val="false"/>
                  <w:color w:val="0000FF"/>
                  <w:sz w:val="20"/>
                  <w:u w:val="none"/>
                  <w:effect w:val="none"/>
                </w:rPr>
                <w:t>22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15">
              <w:r>
                <w:rPr>
                  <w:rStyle w:val="InternetLink"/>
                  <w:rFonts w:ascii="Times New Roman;sans-serif" w:hAnsi="Times New Roman;sans-serif"/>
                  <w:b w:val="false"/>
                  <w:color w:val="0000FF"/>
                  <w:sz w:val="20"/>
                  <w:u w:val="single"/>
                </w:rPr>
                <w:t>Item 3. 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15">
              <w:r>
                <w:rPr>
                  <w:rStyle w:val="InternetLink"/>
                  <w:rFonts w:ascii="Times New Roman;sans-serif" w:hAnsi="Times New Roman;sans-serif"/>
                  <w:b w:val="false"/>
                  <w:strike w:val="false"/>
                  <w:dstrike w:val="false"/>
                  <w:color w:val="0000FF"/>
                  <w:sz w:val="20"/>
                  <w:u w:val="none"/>
                  <w:effect w:val="none"/>
                </w:rPr>
                <w:t>30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18">
              <w:r>
                <w:rPr>
                  <w:rStyle w:val="InternetLink"/>
                  <w:rFonts w:ascii="Times New Roman;sans-serif" w:hAnsi="Times New Roman;sans-serif"/>
                  <w:b w:val="false"/>
                  <w:color w:val="0000FF"/>
                  <w:sz w:val="20"/>
                  <w:u w:val="single"/>
                </w:rPr>
                <w:t>Item 4. 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18">
              <w:r>
                <w:rPr>
                  <w:rStyle w:val="InternetLink"/>
                  <w:rFonts w:ascii="Times New Roman;sans-serif" w:hAnsi="Times New Roman;sans-serif"/>
                  <w:b w:val="false"/>
                  <w:strike w:val="false"/>
                  <w:dstrike w:val="false"/>
                  <w:color w:val="0000FF"/>
                  <w:sz w:val="20"/>
                  <w:u w:val="none"/>
                  <w:effect w:val="none"/>
                </w:rPr>
                <w:t>30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21">
              <w:r>
                <w:rPr>
                  <w:rStyle w:val="InternetLink"/>
                  <w:rFonts w:ascii="Times New Roman;sans-serif" w:hAnsi="Times New Roman;sans-serif"/>
                  <w:b w:val="false"/>
                  <w:color w:val="0000FF"/>
                  <w:sz w:val="20"/>
                  <w:u w:val="single"/>
                </w:rPr>
                <w:t>PART II — OTHER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24">
              <w:r>
                <w:rPr>
                  <w:rStyle w:val="InternetLink"/>
                  <w:rFonts w:ascii="Times New Roman;sans-serif" w:hAnsi="Times New Roman;sans-serif"/>
                  <w:b w:val="false"/>
                  <w:color w:val="0000FF"/>
                  <w:sz w:val="20"/>
                  <w:u w:val="single"/>
                </w:rPr>
                <w:t>Item 1. 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24">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27">
              <w:r>
                <w:rPr>
                  <w:rStyle w:val="InternetLink"/>
                  <w:rFonts w:ascii="Times New Roman;sans-serif" w:hAnsi="Times New Roman;sans-serif"/>
                  <w:b w:val="false"/>
                  <w:color w:val="0000FF"/>
                  <w:sz w:val="20"/>
                  <w:u w:val="single"/>
                </w:rPr>
                <w:t>Item 1A. 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27">
              <w:r>
                <w:rPr>
                  <w:rStyle w:val="InternetLink"/>
                  <w:rFonts w:ascii="Times New Roman;sans-serif" w:hAnsi="Times New Roman;sans-serif"/>
                  <w:b w:val="false"/>
                  <w:strike w:val="false"/>
                  <w:dstrike w:val="false"/>
                  <w:color w:val="0000FF"/>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30">
              <w:r>
                <w:rPr>
                  <w:rStyle w:val="InternetLink"/>
                  <w:rFonts w:ascii="Times New Roman;sans-serif" w:hAnsi="Times New Roman;sans-serif"/>
                  <w:b w:val="false"/>
                  <w:color w:val="0000FF"/>
                  <w:sz w:val="20"/>
                  <w:u w:val="single"/>
                </w:rPr>
                <w:t>Item 2. 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30">
              <w:r>
                <w:rPr>
                  <w:rStyle w:val="InternetLink"/>
                  <w:rFonts w:ascii="Times New Roman;sans-serif" w:hAnsi="Times New Roman;sans-serif"/>
                  <w:b w:val="false"/>
                  <w:strike w:val="false"/>
                  <w:dstrike w:val="false"/>
                  <w:color w:val="0000FF"/>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33">
              <w:r>
                <w:rPr>
                  <w:rStyle w:val="InternetLink"/>
                  <w:rFonts w:ascii="Times New Roman;sans-serif" w:hAnsi="Times New Roman;sans-serif"/>
                  <w:b w:val="false"/>
                  <w:color w:val="0000FF"/>
                  <w:sz w:val="20"/>
                  <w:u w:val="single"/>
                </w:rPr>
                <w:t>Item 3. 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33">
              <w:r>
                <w:rPr>
                  <w:rStyle w:val="InternetLink"/>
                  <w:rFonts w:ascii="Times New Roman;sans-serif" w:hAnsi="Times New Roman;sans-serif"/>
                  <w:b w:val="false"/>
                  <w:strike w:val="false"/>
                  <w:dstrike w:val="false"/>
                  <w:color w:val="0000FF"/>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36">
              <w:r>
                <w:rPr>
                  <w:rStyle w:val="InternetLink"/>
                  <w:rFonts w:ascii="Times New Roman;sans-serif" w:hAnsi="Times New Roman;sans-serif"/>
                  <w:b w:val="false"/>
                  <w:color w:val="0000FF"/>
                  <w:sz w:val="20"/>
                  <w:u w:val="single"/>
                </w:rPr>
                <w:t>Item 4. 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36">
              <w:r>
                <w:rPr>
                  <w:rStyle w:val="InternetLink"/>
                  <w:rFonts w:ascii="Times New Roman;sans-serif" w:hAnsi="Times New Roman;sans-serif"/>
                  <w:b w:val="false"/>
                  <w:strike w:val="false"/>
                  <w:dstrike w:val="false"/>
                  <w:color w:val="0000FF"/>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39">
              <w:r>
                <w:rPr>
                  <w:rStyle w:val="InternetLink"/>
                  <w:rFonts w:ascii="Times New Roman;sans-serif" w:hAnsi="Times New Roman;sans-serif"/>
                  <w:b w:val="false"/>
                  <w:color w:val="0000FF"/>
                  <w:sz w:val="20"/>
                  <w:u w:val="single"/>
                </w:rPr>
                <w:t>Item 5. 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39">
              <w:r>
                <w:rPr>
                  <w:rStyle w:val="InternetLink"/>
                  <w:rFonts w:ascii="Times New Roman;sans-serif" w:hAnsi="Times New Roman;sans-serif"/>
                  <w:b w:val="false"/>
                  <w:strike w:val="false"/>
                  <w:dstrike w:val="false"/>
                  <w:color w:val="0000FF"/>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42">
              <w:r>
                <w:rPr>
                  <w:rStyle w:val="InternetLink"/>
                  <w:rFonts w:ascii="Times New Roman;sans-serif" w:hAnsi="Times New Roman;sans-serif"/>
                  <w:b w:val="false"/>
                  <w:color w:val="0000FF"/>
                  <w:sz w:val="20"/>
                  <w:u w:val="single"/>
                </w:rPr>
                <w:t>Item 6. 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42">
              <w:r>
                <w:rPr>
                  <w:rStyle w:val="InternetLink"/>
                  <w:rFonts w:ascii="Times New Roman;sans-serif" w:hAnsi="Times New Roman;sans-serif"/>
                  <w:b w:val="false"/>
                  <w:strike w:val="false"/>
                  <w:dstrike w:val="false"/>
                  <w:color w:val="0000FF"/>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b4ae12229ad4d8d9d912a726e2d91f6_145">
              <w:r>
                <w:rPr>
                  <w:rStyle w:val="InternetLink"/>
                  <w:rFonts w:ascii="Times New Roman;sans-serif" w:hAnsi="Times New Roman;sans-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4ae12229ad4d8d9d912a726e2d91f6_145">
              <w:r>
                <w:rPr>
                  <w:rStyle w:val="InternetLink"/>
                  <w:rFonts w:ascii="Times New Roman;sans-serif" w:hAnsi="Times New Roman;sans-serif"/>
                  <w:b w:val="false"/>
                  <w:strike w:val="false"/>
                  <w:dstrike w:val="false"/>
                  <w:color w:val="0000FF"/>
                  <w:sz w:val="20"/>
                  <w:u w:val="none"/>
                  <w:effect w:val="none"/>
                </w:rPr>
                <w:t>36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746"/>
        <w:gridCol w:w="2275"/>
        <w:gridCol w:w="2218"/>
        <w:gridCol w:w="211"/>
        <w:gridCol w:w="976"/>
        <w:gridCol w:w="109"/>
        <w:gridCol w:w="109"/>
        <w:gridCol w:w="109"/>
        <w:gridCol w:w="109"/>
        <w:gridCol w:w="211"/>
        <w:gridCol w:w="976"/>
        <w:gridCol w:w="156"/>
      </w:tblGrid>
      <w:tr>
        <w:trPr/>
        <w:tc>
          <w:tcPr>
            <w:tcW w:w="2746"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15)</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130,000,000 shares authorized; 54,965,316 and 54,723,356 shares issued and outstanding as of March 31, 2024 and December 31,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1,277,673 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5"/>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b4ae12229ad4d8d9d912a726e2d91f6_2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5901" w:type="dxa"/>
        <w:jc w:val="left"/>
        <w:tblInd w:w="0" w:type="dxa"/>
        <w:tblLayout w:type="fixed"/>
        <w:tblCellMar>
          <w:top w:w="28" w:type="dxa"/>
          <w:left w:w="28" w:type="dxa"/>
          <w:bottom w:w="28" w:type="dxa"/>
          <w:right w:w="28" w:type="dxa"/>
        </w:tblCellMar>
      </w:tblPr>
      <w:tblGrid>
        <w:gridCol w:w="1142"/>
        <w:gridCol w:w="1001"/>
        <w:gridCol w:w="1006"/>
        <w:gridCol w:w="219"/>
        <w:gridCol w:w="862"/>
        <w:gridCol w:w="109"/>
        <w:gridCol w:w="109"/>
        <w:gridCol w:w="109"/>
        <w:gridCol w:w="109"/>
        <w:gridCol w:w="219"/>
        <w:gridCol w:w="862"/>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licensing revenues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goods sold</w:t>
            </w:r>
            <w:r>
              <w:rPr>
                <w:rFonts w:ascii="Times New Roman;sans-serif" w:hAnsi="Times New Roman;sans-serif"/>
                <w:b w:val="false"/>
                <w:color w:val="000000"/>
                <w:sz w:val="13"/>
              </w:rPr>
              <w:t>(a)</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earnings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62,454,204 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w:t>
      </w:r>
    </w:p>
    <w:p>
      <w:pPr>
        <w:pStyle w:val="TextBody"/>
        <w:bidi w:val="0"/>
        <w:spacing w:lineRule="auto" w:line="288" w:before="0" w:after="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Excludes amortization of acquired intangible assets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b4ae12229ad4d8d9d912a726e2d91f6_2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Earnings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473" w:type="dxa"/>
        <w:jc w:val="center"/>
        <w:tblInd w:w="0" w:type="dxa"/>
        <w:tblLayout w:type="fixed"/>
        <w:tblCellMar>
          <w:top w:w="28" w:type="dxa"/>
          <w:left w:w="28" w:type="dxa"/>
          <w:bottom w:w="28" w:type="dxa"/>
          <w:right w:w="28" w:type="dxa"/>
        </w:tblCellMar>
      </w:tblPr>
      <w:tblGrid>
        <w:gridCol w:w="1547"/>
        <w:gridCol w:w="1357"/>
        <w:gridCol w:w="1370"/>
        <w:gridCol w:w="211"/>
        <w:gridCol w:w="466"/>
        <w:gridCol w:w="109"/>
        <w:gridCol w:w="109"/>
        <w:gridCol w:w="109"/>
        <w:gridCol w:w="109"/>
        <w:gridCol w:w="211"/>
        <w:gridCol w:w="721"/>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net of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data)</w:t>
      </w:r>
    </w:p>
    <w:tbl>
      <w:tblPr>
        <w:tblW w:w="10205" w:type="dxa"/>
        <w:jc w:val="left"/>
        <w:tblInd w:w="0" w:type="dxa"/>
        <w:tblLayout w:type="fixed"/>
        <w:tblCellMar>
          <w:top w:w="28" w:type="dxa"/>
          <w:left w:w="28" w:type="dxa"/>
          <w:bottom w:w="28" w:type="dxa"/>
          <w:right w:w="28" w:type="dxa"/>
        </w:tblCellMar>
      </w:tblPr>
      <w:tblGrid>
        <w:gridCol w:w="799"/>
        <w:gridCol w:w="357"/>
        <w:gridCol w:w="360"/>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3"/>
        <w:gridCol w:w="919"/>
        <w:gridCol w:w="209"/>
        <w:gridCol w:w="109"/>
        <w:gridCol w:w="109"/>
        <w:gridCol w:w="109"/>
        <w:gridCol w:w="211"/>
        <w:gridCol w:w="826"/>
        <w:gridCol w:w="109"/>
        <w:gridCol w:w="109"/>
        <w:gridCol w:w="109"/>
        <w:gridCol w:w="109"/>
        <w:gridCol w:w="211"/>
        <w:gridCol w:w="826"/>
        <w:gridCol w:w="156"/>
      </w:tblGrid>
      <w:tr>
        <w:trPr/>
        <w:tc>
          <w:tcPr>
            <w:tcW w:w="79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
              </w:rPr>
            </w:pPr>
            <w:r>
              <w:rPr>
                <w:rFonts w:ascii="Times New Roman;sans-serif" w:hAnsi="Times New Roman;sans-serif"/>
                <w:b/>
                <w:color w:val="000000"/>
                <w:sz w:val="2"/>
              </w:rPr>
              <w:t>j</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54,723,356 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54,965,316 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446,960 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929,166 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9"/>
        <w:gridCol w:w="357"/>
        <w:gridCol w:w="360"/>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339"/>
        <w:gridCol w:w="1015"/>
        <w:gridCol w:w="177"/>
        <w:gridCol w:w="109"/>
        <w:gridCol w:w="109"/>
        <w:gridCol w:w="109"/>
        <w:gridCol w:w="211"/>
        <w:gridCol w:w="826"/>
        <w:gridCol w:w="109"/>
        <w:gridCol w:w="109"/>
        <w:gridCol w:w="109"/>
        <w:gridCol w:w="109"/>
        <w:gridCol w:w="211"/>
        <w:gridCol w:w="826"/>
        <w:gridCol w:w="156"/>
      </w:tblGrid>
      <w:tr>
        <w:trPr/>
        <w:tc>
          <w:tcPr>
            <w:tcW w:w="79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54,253,796 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54,470,622 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416,232 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369" w:type="dxa"/>
        <w:jc w:val="center"/>
        <w:tblInd w:w="0" w:type="dxa"/>
        <w:tblLayout w:type="fixed"/>
        <w:tblCellMar>
          <w:top w:w="28" w:type="dxa"/>
          <w:left w:w="28" w:type="dxa"/>
          <w:bottom w:w="28" w:type="dxa"/>
          <w:right w:w="28" w:type="dxa"/>
        </w:tblCellMar>
      </w:tblPr>
      <w:tblGrid>
        <w:gridCol w:w="2461"/>
        <w:gridCol w:w="2167"/>
        <w:gridCol w:w="2182"/>
        <w:gridCol w:w="211"/>
        <w:gridCol w:w="721"/>
        <w:gridCol w:w="109"/>
        <w:gridCol w:w="109"/>
        <w:gridCol w:w="109"/>
        <w:gridCol w:w="109"/>
        <w:gridCol w:w="211"/>
        <w:gridCol w:w="826"/>
        <w:gridCol w:w="154"/>
      </w:tblGrid>
      <w:tr>
        <w:trPr/>
        <w:tc>
          <w:tcPr>
            <w:tcW w:w="246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premium/discount on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Credit Line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Credit Line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taxes paid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operating and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for new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45"/>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    Business Organization</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Supernus Pharmaceuticals, Inc. (the "Company", see Note 2,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The Company has eight commercial products that it markets: Qelbree</w:t>
      </w:r>
      <w:r>
        <w:rPr>
          <w:rFonts w:ascii="Times New Roman;sans-serif" w:hAnsi="Times New Roman;sans-serif"/>
          <w:b w:val="false"/>
          <w:color w:val="000000"/>
          <w:sz w:val="13"/>
        </w:rPr>
        <w:t>®</w:t>
      </w:r>
      <w:r>
        <w:rPr>
          <w:rFonts w:ascii="Times New Roman;sans-serif" w:hAnsi="Times New Roman;sans-serif"/>
          <w:b w:val="false"/>
          <w:color w:val="000000"/>
          <w:sz w:val="20"/>
        </w:rPr>
        <w:t>, GOCOVRI</w:t>
      </w:r>
      <w:r>
        <w:rPr>
          <w:rFonts w:ascii="Times New Roman;sans-serif" w:hAnsi="Times New Roman;sans-serif"/>
          <w:b w:val="false"/>
          <w:color w:val="000000"/>
          <w:sz w:val="13"/>
        </w:rPr>
        <w:t>®</w:t>
      </w:r>
      <w:r>
        <w:rPr>
          <w:rFonts w:ascii="Times New Roman;sans-serif" w:hAnsi="Times New Roman;sans-serif"/>
          <w:b w:val="false"/>
          <w:color w:val="000000"/>
          <w:sz w:val="20"/>
        </w:rPr>
        <w:t>, Oxtellar XR</w:t>
      </w:r>
      <w:r>
        <w:rPr>
          <w:rFonts w:ascii="Times New Roman;sans-serif" w:hAnsi="Times New Roman;sans-serif"/>
          <w:b w:val="false"/>
          <w:color w:val="000000"/>
          <w:sz w:val="13"/>
        </w:rPr>
        <w:t>®</w:t>
      </w:r>
      <w:r>
        <w:rPr>
          <w:rFonts w:ascii="Times New Roman;sans-serif" w:hAnsi="Times New Roman;sans-serif"/>
          <w:b w:val="false"/>
          <w:color w:val="000000"/>
          <w:sz w:val="20"/>
        </w:rPr>
        <w:t>, Trokendi XR</w:t>
      </w:r>
      <w:r>
        <w:rPr>
          <w:rFonts w:ascii="Times New Roman;sans-serif" w:hAnsi="Times New Roman;sans-serif"/>
          <w:b w:val="false"/>
          <w:color w:val="000000"/>
          <w:sz w:val="13"/>
        </w:rPr>
        <w:t>®</w:t>
      </w:r>
      <w:r>
        <w:rPr>
          <w:rFonts w:ascii="Times New Roman;sans-serif" w:hAnsi="Times New Roman;sans-serif"/>
          <w:b w:val="false"/>
          <w:color w:val="000000"/>
          <w:sz w:val="20"/>
        </w:rPr>
        <w:t>, APOKYN</w:t>
      </w:r>
      <w:r>
        <w:rPr>
          <w:rFonts w:ascii="Times New Roman;sans-serif" w:hAnsi="Times New Roman;sans-serif"/>
          <w:b w:val="false"/>
          <w:color w:val="000000"/>
          <w:sz w:val="13"/>
        </w:rPr>
        <w:t>®</w:t>
      </w:r>
      <w:r>
        <w:rPr>
          <w:rFonts w:ascii="Times New Roman;sans-serif" w:hAnsi="Times New Roman;sans-serif"/>
          <w:b w:val="false"/>
          <w:color w:val="000000"/>
          <w:sz w:val="20"/>
        </w:rPr>
        <w:t>, XADAGO</w:t>
      </w:r>
      <w:r>
        <w:rPr>
          <w:rFonts w:ascii="Times New Roman;sans-serif" w:hAnsi="Times New Roman;sans-serif"/>
          <w:b w:val="false"/>
          <w:color w:val="000000"/>
          <w:sz w:val="13"/>
        </w:rPr>
        <w:t>®</w:t>
      </w:r>
      <w:r>
        <w:rPr>
          <w:rFonts w:ascii="Times New Roman;sans-serif" w:hAnsi="Times New Roman;sans-serif"/>
          <w:b w:val="false"/>
          <w:color w:val="000000"/>
          <w:sz w:val="20"/>
        </w:rPr>
        <w:t>, MYOBLOC</w:t>
      </w:r>
      <w:r>
        <w:rPr>
          <w:rFonts w:ascii="Times New Roman;sans-serif" w:hAnsi="Times New Roman;sans-serif"/>
          <w:b w:val="false"/>
          <w:color w:val="000000"/>
          <w:sz w:val="13"/>
        </w:rPr>
        <w:t>®</w:t>
      </w:r>
      <w:r>
        <w:rPr>
          <w:rFonts w:ascii="Times New Roman;sans-serif" w:hAnsi="Times New Roman;sans-serif"/>
          <w:b w:val="false"/>
          <w:color w:val="000000"/>
          <w:sz w:val="20"/>
        </w:rPr>
        <w:t>, and Osmolex ER</w:t>
      </w:r>
      <w:r>
        <w:rPr>
          <w:rFonts w:ascii="Times New Roman;sans-serif" w:hAnsi="Times New Roman;sans-serif"/>
          <w:b w:val="false"/>
          <w:color w:val="000000"/>
          <w:sz w:val="13"/>
        </w:rPr>
        <w:t>®</w:t>
      </w:r>
      <w:r>
        <w:rPr>
          <w:rFonts w:ascii="Times New Roman;sans-serif" w:hAnsi="Times New Roman;sans-serif"/>
          <w:b w:val="false"/>
          <w:color w:val="000000"/>
          <w:sz w:val="20"/>
        </w:rPr>
        <w:t>. In addition, SPN-830 (apomorphine infusion device) is a late-stage drug/device combination product candidate for the continuous treatment of motor fluctuations ("OFF" episodes) in PD patients that are not adequately controlled with oral levodopa and one or more adjunct PD medications.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submitted to the U.S. Food and Drug Administration (FDA) a notification of discontinuance to withdraw Osmolex ER from distribution, stating that manufacturing has been discontinued and distribution of the product will cease by April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2023, filed with the SEC.</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which is primarily located in the U.S., operates in one operating segment.</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prior year amount related to the caption </w:t>
      </w:r>
      <w:r>
        <w:rPr>
          <w:rFonts w:ascii="Times New Roman;sans-serif" w:hAnsi="Times New Roman;sans-serif"/>
          <w:b w:val="false"/>
          <w:i/>
          <w:color w:val="000000"/>
          <w:sz w:val="20"/>
        </w:rPr>
        <w:t>Employee taxes paid related to net share settlement of equity awards</w:t>
      </w:r>
      <w:r>
        <w:rPr>
          <w:color w:val="000000"/>
        </w:rPr>
        <w:t xml:space="preserve"> </w:t>
      </w:r>
      <w:r>
        <w:rPr>
          <w:rFonts w:ascii="Times New Roman;sans-serif" w:hAnsi="Times New Roman;sans-serif"/>
          <w:b w:val="false"/>
          <w:color w:val="000000"/>
          <w:sz w:val="20"/>
        </w:rPr>
        <w:t>in the condensed consolidated statements of cash flows has been reclassified to conform to current year presentation. The reclassification did not affect the other condensed consolidated financial statements.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 to liquidate the entity, if applicable. If the Company is not the primary beneficiary of the VIE, and an ownership interest is maintained in the entity, the interest is accounted for under the equity or cost methods of accounting, as appropriate.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assesses whether it is the primary beneficiary of a VIE as changes to existing relationships or future transactions may affect its conclusions.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Advertising Expense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includes the cost of promotional materials and activities, such as printed materials and digital marketing, marketing programs and speaker programs. The cost of the Company's advertising efforts is expensed as incurred.</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Company incurred approximately $24.3 million and $25.9 million in advertising expense for the three months ended March 31, 2024 and 2023, respectively. These expenses are recorded as a component of </w:t>
      </w: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in the unaudited condensed consolidated statements of earnings.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Restricted Cash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 restricted cash balance of $403.8 million as of March 31, 2023 which was held in an escrow account with Wilmington Trust, Trustee, in connection with the payoff of the 0.625% Convertible Senior Notes Due 2023 (2023 Notes) which occurred on April 1, 2023.</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sheets that sum to the total of the same amounts shown in the condensed consolidated statements of cash flows:</w:t>
      </w:r>
    </w:p>
    <w:tbl>
      <w:tblPr>
        <w:tblW w:w="9333" w:type="dxa"/>
        <w:jc w:val="left"/>
        <w:tblInd w:w="0" w:type="dxa"/>
        <w:tblLayout w:type="fixed"/>
        <w:tblCellMar>
          <w:top w:w="28" w:type="dxa"/>
          <w:left w:w="28" w:type="dxa"/>
          <w:bottom w:w="28" w:type="dxa"/>
          <w:right w:w="28" w:type="dxa"/>
        </w:tblCellMar>
      </w:tblPr>
      <w:tblGrid>
        <w:gridCol w:w="2276"/>
        <w:gridCol w:w="1999"/>
        <w:gridCol w:w="2010"/>
        <w:gridCol w:w="211"/>
        <w:gridCol w:w="826"/>
        <w:gridCol w:w="109"/>
        <w:gridCol w:w="109"/>
        <w:gridCol w:w="109"/>
        <w:gridCol w:w="109"/>
        <w:gridCol w:w="306"/>
        <w:gridCol w:w="1046"/>
        <w:gridCol w:w="223"/>
      </w:tblGrid>
      <w:tr>
        <w:trPr/>
        <w:tc>
          <w:tcPr>
            <w:tcW w:w="2276"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 of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 of period</w:t>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per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and Disclosure Rules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New Accounting Pronouncements Not Yet Adopted</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Accounting Standards Update (ASU) 2023-07, </w:t>
      </w:r>
      <w:r>
        <w:rPr>
          <w:rFonts w:ascii="Times New Roman;sans-serif" w:hAnsi="Times New Roman;sans-serif"/>
          <w:b w:val="false"/>
          <w:i/>
          <w:color w:val="000000"/>
          <w:sz w:val="20"/>
        </w:rPr>
        <w:t>Improvements to Reportable Segment Disclosures (Topic 280)</w:t>
      </w:r>
      <w:r>
        <w:rPr>
          <w:color w:val="000000"/>
        </w:rPr>
        <w:t xml:space="preserve"> </w:t>
      </w:r>
      <w:r>
        <w:rPr>
          <w:rFonts w:ascii="Times New Roman;sans-serif" w:hAnsi="Times New Roman;sans-serif"/>
          <w:b w:val="false"/>
          <w:color w:val="000000"/>
          <w:sz w:val="20"/>
        </w:rPr>
        <w:t>- The new standard, issued in November 2023, improves reportable segment disclosure requirements, primarily through enhanced disclosures about significant segment expenses that are regularly provided to the chief operating decision maker. ASU 2023-07 also clarifies that entities with a single reportable segment are subject to both new and existing reporting requirements under Topic 280. The standard is effective for fiscal years beginning after December 15, 2023, and interim periods within fiscal years beginning after December 15, 2024, on a retrospective basis, with early adoption permitted. The Company plans to adopt the guidance for the fiscal year ending December 31, 2024. We expect ASU 2023-07 to require additional disclosures in the notes to our consolidated financial statements. The Company is currently evaluating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ASU 2023-09, </w:t>
      </w:r>
      <w:r>
        <w:rPr>
          <w:rFonts w:ascii="Times New Roman;sans-serif" w:hAnsi="Times New Roman;sans-serif"/>
          <w:b w:val="false"/>
          <w:i/>
          <w:color w:val="000000"/>
          <w:sz w:val="20"/>
        </w:rPr>
        <w:t>Improvements to Income Tax Disclosures</w:t>
      </w:r>
      <w:r>
        <w:rPr>
          <w:color w:val="000000"/>
        </w:rPr>
        <w:t xml:space="preserve"> </w:t>
      </w:r>
      <w:r>
        <w:rPr>
          <w:rFonts w:ascii="Times New Roman;sans-serif" w:hAnsi="Times New Roman;sans-serif"/>
          <w:b w:val="false"/>
          <w:color w:val="000000"/>
          <w:sz w:val="20"/>
        </w:rPr>
        <w:t xml:space="preserve">(Topic 740) - The new standard, issued in December 2023, requires entities to disclose additional information with respect to the effective tax rate reconciliation and to disclose the disaggregation by jurisdiction of income tax expense and income taxes paid. The standard is effective with annual periods beginning after December 15, 2024, with early adoption permitted. The standard is to be applied on a prospective basis, although optional retrospective application is permitted. The Company plans to adopt the guidance for the fiscal year ending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2025. We expect ASU 2023-09 to require additional disclosures in the notes to our consolidated financial statements. The Company is currently evaluating the effects the adoption of this guidance will have on the consolidated financial statements.</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SEC Final Climate Rule</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In March 2024, the U.S. Securities and Exchange Commission (SEC) adopted the final rule under SEC Release No. 33-11275, </w:t>
      </w:r>
      <w:r>
        <w:rPr>
          <w:rFonts w:ascii="Times New Roman;sans-serif" w:hAnsi="Times New Roman;sans-serif"/>
          <w:b w:val="false"/>
          <w:i/>
          <w:color w:val="000000"/>
          <w:sz w:val="20"/>
        </w:rPr>
        <w:t>The Enhancement and Standardization of Climate-Related Disclosures for Investors</w:t>
      </w:r>
      <w:r>
        <w:rPr>
          <w:color w:val="000000"/>
        </w:rPr>
        <w:t xml:space="preserve"> </w:t>
      </w:r>
      <w:r>
        <w:rPr>
          <w:rFonts w:ascii="Times New Roman;sans-serif" w:hAnsi="Times New Roman;sans-serif"/>
          <w:b w:val="false"/>
          <w:color w:val="000000"/>
          <w:sz w:val="20"/>
        </w:rPr>
        <w:t xml:space="preserve">(Final Rule). This rule will require registrants to disclose certain climate-related information in registration statements and annual reports with staggered compliance dates for large accelerated filers for the fiscal year beginning 2025 through 2033 for the various aspects of the Final Rule. On April 4, 2024, the SEC issued an order staying the Final Rule. The SEC’s administrative stay is expected to remain in place until the completion of litigation filed in various federal courts challenging, among other things, the agency’s authority to adopt the Final Rule. The Company is currently evaluating the final rule to determine its impact on the Company's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3.</w:t>
      </w:r>
      <w:r>
        <w:rPr>
          <w:color w:val="000000"/>
        </w:rPr>
        <w:t xml:space="preserve"> </w:t>
      </w:r>
      <w:r>
        <w:rPr>
          <w:rFonts w:ascii="Times New Roman;sans-serif" w:hAnsi="Times New Roman;sans-serif"/>
          <w:b/>
          <w:color w:val="000000"/>
          <w:sz w:val="20"/>
        </w:rPr>
        <w:t xml:space="preserve">Disaggregated Revenues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disaggregation of revenues by product or source, (dollars in thousands):</w:t>
      </w:r>
    </w:p>
    <w:tbl>
      <w:tblPr>
        <w:tblW w:w="5349" w:type="dxa"/>
        <w:jc w:val="left"/>
        <w:tblInd w:w="0" w:type="dxa"/>
        <w:tblLayout w:type="fixed"/>
        <w:tblCellMar>
          <w:top w:w="28" w:type="dxa"/>
          <w:left w:w="28" w:type="dxa"/>
          <w:bottom w:w="28" w:type="dxa"/>
          <w:right w:w="28" w:type="dxa"/>
        </w:tblCellMar>
      </w:tblPr>
      <w:tblGrid>
        <w:gridCol w:w="973"/>
        <w:gridCol w:w="854"/>
        <w:gridCol w:w="858"/>
        <w:gridCol w:w="211"/>
        <w:gridCol w:w="826"/>
        <w:gridCol w:w="109"/>
        <w:gridCol w:w="109"/>
        <w:gridCol w:w="109"/>
        <w:gridCol w:w="109"/>
        <w:gridCol w:w="211"/>
        <w:gridCol w:w="82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licensing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6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noncash royalty revenue of $2.3 million for the three months ended March 31, 2023. The Company no longer recognizes noncash royalty revenue as ownership of the royalty rights reverted back to the Company during the second quarter of 2023.</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percentage of net product sales to total net product sales:</w:t>
      </w:r>
    </w:p>
    <w:p>
      <w:pPr>
        <w:pStyle w:val="TextBody"/>
        <w:bidi w:val="0"/>
        <w:spacing w:before="0" w:after="0"/>
        <w:ind w:left="0" w:right="0" w:firstLine="720"/>
        <w:jc w:val="left"/>
        <w:rPr/>
      </w:pPr>
      <w:r>
        <w:rPr/>
      </w:r>
    </w:p>
    <w:tbl>
      <w:tblPr>
        <w:tblW w:w="4018" w:type="dxa"/>
        <w:jc w:val="left"/>
        <w:tblInd w:w="0" w:type="dxa"/>
        <w:tblLayout w:type="fixed"/>
        <w:tblCellMar>
          <w:top w:w="28" w:type="dxa"/>
          <w:left w:w="28" w:type="dxa"/>
          <w:bottom w:w="28" w:type="dxa"/>
          <w:right w:w="28" w:type="dxa"/>
        </w:tblCellMar>
      </w:tblPr>
      <w:tblGrid>
        <w:gridCol w:w="427"/>
        <w:gridCol w:w="376"/>
        <w:gridCol w:w="381"/>
        <w:gridCol w:w="300"/>
        <w:gridCol w:w="300"/>
        <w:gridCol w:w="300"/>
        <w:gridCol w:w="300"/>
        <w:gridCol w:w="300"/>
        <w:gridCol w:w="300"/>
        <w:gridCol w:w="300"/>
        <w:gridCol w:w="300"/>
        <w:gridCol w:w="434"/>
      </w:tblGrid>
      <w:tr>
        <w:trPr/>
        <w:tc>
          <w:tcPr>
            <w:tcW w:w="4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Net Product Sales</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three major customers, Cencora, Inc., Cardinal Health, Inc. and McKesson Corporation, individually accounted for more than 20% of our total gross product sales and collectively accounted for more than 70% of our total gross product sales for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4</w:t>
      </w:r>
      <w:r>
        <w:rPr>
          <w:rFonts w:ascii="Times New Roman;sans-serif" w:hAnsi="Times New Roman;sans-serif"/>
          <w:b w:val="false"/>
          <w:color w:val="000000"/>
          <w:sz w:val="20"/>
        </w:rPr>
        <w:t xml:space="preserve">. </w:t>
      </w:r>
      <w:r>
        <w:rPr>
          <w:rFonts w:ascii="Times New Roman;sans-serif" w:hAnsi="Times New Roman;sans-serif"/>
          <w:b/>
          <w:color w:val="000000"/>
          <w:sz w:val="20"/>
        </w:rPr>
        <w:t xml:space="preserve">Investments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Unrestricted available-for-sale marketable securities held by the Company are as follows, (dollars in thousands):</w:t>
      </w:r>
    </w:p>
    <w:tbl>
      <w:tblPr>
        <w:tblW w:w="8560" w:type="dxa"/>
        <w:jc w:val="left"/>
        <w:tblInd w:w="0" w:type="dxa"/>
        <w:tblLayout w:type="fixed"/>
        <w:tblCellMar>
          <w:top w:w="28" w:type="dxa"/>
          <w:left w:w="28" w:type="dxa"/>
          <w:bottom w:w="28" w:type="dxa"/>
          <w:right w:w="28" w:type="dxa"/>
        </w:tblCellMar>
      </w:tblPr>
      <w:tblGrid>
        <w:gridCol w:w="1967"/>
        <w:gridCol w:w="1729"/>
        <w:gridCol w:w="1734"/>
        <w:gridCol w:w="232"/>
        <w:gridCol w:w="908"/>
        <w:gridCol w:w="119"/>
        <w:gridCol w:w="109"/>
        <w:gridCol w:w="109"/>
        <w:gridCol w:w="109"/>
        <w:gridCol w:w="273"/>
        <w:gridCol w:w="1072"/>
        <w:gridCol w:w="199"/>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U.S. government agency and municipal debt securities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gains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the unrestricted available-for-sale marketable securities held by the Company are as follows, (dollars in thousands):</w:t>
      </w:r>
    </w:p>
    <w:tbl>
      <w:tblPr>
        <w:tblW w:w="2631" w:type="dxa"/>
        <w:jc w:val="left"/>
        <w:tblInd w:w="0" w:type="dxa"/>
        <w:tblLayout w:type="fixed"/>
        <w:tblCellMar>
          <w:top w:w="28" w:type="dxa"/>
          <w:left w:w="28" w:type="dxa"/>
          <w:bottom w:w="28" w:type="dxa"/>
          <w:right w:w="28" w:type="dxa"/>
        </w:tblCellMar>
      </w:tblPr>
      <w:tblGrid>
        <w:gridCol w:w="521"/>
        <w:gridCol w:w="458"/>
        <w:gridCol w:w="461"/>
        <w:gridCol w:w="211"/>
        <w:gridCol w:w="826"/>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1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year to 2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was no impairment due to credit loss on any available-for-sale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Fair Value of Financial Measurements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1—Valuations based on unadjusted quoted prices in active markets that are accessible at measurement date for identical assets.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Assets and Liabilities Recorded at Fair Value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are required to be measured at fair value on a recurring basis are as follows (dollars in thousands):</w:t>
      </w:r>
    </w:p>
    <w:tbl>
      <w:tblPr>
        <w:tblW w:w="10205" w:type="dxa"/>
        <w:jc w:val="left"/>
        <w:tblInd w:w="0" w:type="dxa"/>
        <w:tblLayout w:type="fixed"/>
        <w:tblCellMar>
          <w:top w:w="28" w:type="dxa"/>
          <w:left w:w="28" w:type="dxa"/>
          <w:bottom w:w="28" w:type="dxa"/>
          <w:right w:w="28" w:type="dxa"/>
        </w:tblCellMar>
      </w:tblPr>
      <w:tblGrid>
        <w:gridCol w:w="1319"/>
        <w:gridCol w:w="1095"/>
        <w:gridCol w:w="1104"/>
        <w:gridCol w:w="387"/>
        <w:gridCol w:w="1519"/>
        <w:gridCol w:w="200"/>
        <w:gridCol w:w="109"/>
        <w:gridCol w:w="109"/>
        <w:gridCol w:w="109"/>
        <w:gridCol w:w="228"/>
        <w:gridCol w:w="780"/>
        <w:gridCol w:w="117"/>
        <w:gridCol w:w="117"/>
        <w:gridCol w:w="117"/>
        <w:gridCol w:w="117"/>
        <w:gridCol w:w="228"/>
        <w:gridCol w:w="895"/>
        <w:gridCol w:w="117"/>
        <w:gridCol w:w="117"/>
        <w:gridCol w:w="117"/>
        <w:gridCol w:w="117"/>
        <w:gridCol w:w="228"/>
        <w:gridCol w:w="780"/>
        <w:gridCol w:w="179"/>
      </w:tblGrid>
      <w:tr>
        <w:trPr/>
        <w:tc>
          <w:tcPr>
            <w:tcW w:w="131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Measurements as of March 31, 2024 (unaudited) </w:t>
            </w:r>
          </w:p>
        </w:tc>
      </w:tr>
      <w:tr>
        <w:trPr/>
        <w:tc>
          <w:tcPr>
            <w:tcW w:w="3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1</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2</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3</w:t>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U.S. government agency and municipal debt securities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310,010 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52,355 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3"/>
        <w:gridCol w:w="1138"/>
        <w:gridCol w:w="1148"/>
        <w:gridCol w:w="423"/>
        <w:gridCol w:w="1658"/>
        <w:gridCol w:w="218"/>
        <w:gridCol w:w="109"/>
        <w:gridCol w:w="109"/>
        <w:gridCol w:w="109"/>
        <w:gridCol w:w="211"/>
        <w:gridCol w:w="721"/>
        <w:gridCol w:w="109"/>
        <w:gridCol w:w="109"/>
        <w:gridCol w:w="109"/>
        <w:gridCol w:w="109"/>
        <w:gridCol w:w="211"/>
        <w:gridCol w:w="826"/>
        <w:gridCol w:w="109"/>
        <w:gridCol w:w="109"/>
        <w:gridCol w:w="109"/>
        <w:gridCol w:w="109"/>
        <w:gridCol w:w="211"/>
        <w:gridCol w:w="721"/>
        <w:gridCol w:w="157"/>
      </w:tblGrid>
      <w:tr>
        <w:trPr/>
        <w:tc>
          <w:tcPr>
            <w:tcW w:w="136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2023</w:t>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3</w:t>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39,097 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U.S. government agency and municipal debt securities</w:t>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2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2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272,059 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4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2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fair value of restricted marketable securities is recorded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on the condensed consolidated balance sheets. There have been no transfers of assets or liabilities into or out of Level 3 of the fair value hierarchy.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Financial Instruments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financial instruments, including accounts receivable, accounts payable, accrued expenses, and line of credit approximate fair value due to their short-term maturities. </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 Contingent Consideration</w:t>
      </w:r>
    </w:p>
    <w:p>
      <w:pPr>
        <w:pStyle w:val="TextBody"/>
        <w:bidi w:val="0"/>
        <w:spacing w:lineRule="auto" w:line="276"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current and long-term portions related to the contingent consideration for the USWM Acquisition and Adamas Acquisition (as defined below) (dollars in thousands):</w:t>
      </w:r>
    </w:p>
    <w:tbl>
      <w:tblPr>
        <w:tblW w:w="9556" w:type="dxa"/>
        <w:jc w:val="left"/>
        <w:tblInd w:w="0" w:type="dxa"/>
        <w:tblLayout w:type="fixed"/>
        <w:tblCellMar>
          <w:top w:w="28" w:type="dxa"/>
          <w:left w:w="28" w:type="dxa"/>
          <w:bottom w:w="28" w:type="dxa"/>
          <w:right w:w="28" w:type="dxa"/>
        </w:tblCellMar>
      </w:tblPr>
      <w:tblGrid>
        <w:gridCol w:w="2553"/>
        <w:gridCol w:w="2245"/>
        <w:gridCol w:w="2251"/>
        <w:gridCol w:w="211"/>
        <w:gridCol w:w="721"/>
        <w:gridCol w:w="109"/>
        <w:gridCol w:w="109"/>
        <w:gridCol w:w="109"/>
        <w:gridCol w:w="109"/>
        <w:gridCol w:w="221"/>
        <w:gridCol w:w="757"/>
        <w:gridCol w:w="161"/>
      </w:tblGrid>
      <w:tr>
        <w:trPr/>
        <w:tc>
          <w:tcPr>
            <w:tcW w:w="255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under the following captions in the condensed consolidated balance sheets: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long-term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The Company's contingent consideration liabilities are related to the USWM Acquisition in 2020 and the Adamas Acquisition in 2021. The contingent consideration liabilities are measured at fair value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condensed consolidated statement of earnings in </w:t>
      </w:r>
      <w:r>
        <w:rPr>
          <w:rFonts w:ascii="Times New Roman;sans-serif" w:hAnsi="Times New Roman;sans-serif"/>
          <w:b w:val="false"/>
          <w:i/>
          <w:color w:val="000000"/>
          <w:sz w:val="20"/>
        </w:rPr>
        <w:t>Contingent consideration (gain) expense</w:t>
      </w:r>
      <w:r>
        <w:rPr>
          <w:rFonts w:ascii="Times New Roman;sans-serif" w:hAnsi="Times New Roman;sans-serif"/>
          <w:b w:val="false"/>
          <w:color w:val="000000"/>
          <w:sz w:val="20"/>
        </w:rPr>
        <w:t>.</w:t>
      </w:r>
    </w:p>
    <w:p>
      <w:pPr>
        <w:pStyle w:val="TextBody"/>
        <w:bidi w:val="0"/>
        <w:spacing w:lineRule="auto" w:line="288" w:before="200" w:after="200"/>
        <w:jc w:val="left"/>
        <w:rPr/>
      </w:pPr>
      <w:r>
        <w:rPr>
          <w:rFonts w:ascii="Times New Roman;sans-serif" w:hAnsi="Times New Roman;sans-serif"/>
          <w:b w:val="false"/>
          <w:i/>
          <w:color w:val="000000"/>
          <w:sz w:val="20"/>
        </w:rPr>
        <w:t>USWM Contingent Consideration</w:t>
      </w:r>
      <w:r>
        <w:rPr>
          <w:color w:val="000000"/>
        </w:rPr>
        <w:t xml:space="preserve">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As of March 31, 2024, the remaining potential contingent consideration payments are up to $55 million in regulatory and development milestones comprised of (1) $25 million related to the FDA's approval of the SPN-830 NDA and (2) $30 million related to the subsequent commercial product launch.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key assumptions considered in estimating the fair value include the estimated probability and timing of milestone achievement, such as the probability and timing of obtaining regulatory approval, timing of projected revenues, and the discount rate.</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Adamas Contingent Consideration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 The possible outcomes for the contingent consideration range from $0 to $50.9 million on an undiscounted basis.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key assumptions considered in estimating the fair value of the Adamas sales-based milestones include the estimated revenue projections, volatility, estimated discount rates and risk-free interest rate.</w:t>
      </w:r>
    </w:p>
    <w:p>
      <w:pPr>
        <w:pStyle w:val="TextBody"/>
        <w:bidi w:val="0"/>
        <w:spacing w:before="200" w:after="200"/>
        <w:jc w:val="left"/>
        <w:rPr/>
      </w:pPr>
      <w:r>
        <w:rPr/>
      </w:r>
    </w:p>
    <w:p>
      <w:pPr>
        <w:pStyle w:val="TextBody"/>
        <w:bidi w:val="0"/>
        <w:spacing w:before="20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the Fair Value of Contingent Consideration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of the beginning and ending balances related to the contingent consideration for the USWM Acquisition and Adamas Acquisition (dollars in thousands):</w:t>
      </w:r>
    </w:p>
    <w:tbl>
      <w:tblPr>
        <w:tblW w:w="8430" w:type="dxa"/>
        <w:jc w:val="left"/>
        <w:tblInd w:w="0" w:type="dxa"/>
        <w:tblLayout w:type="fixed"/>
        <w:tblCellMar>
          <w:top w:w="28" w:type="dxa"/>
          <w:left w:w="28" w:type="dxa"/>
          <w:bottom w:w="28" w:type="dxa"/>
          <w:right w:w="28" w:type="dxa"/>
        </w:tblCellMar>
      </w:tblPr>
      <w:tblGrid>
        <w:gridCol w:w="1325"/>
        <w:gridCol w:w="1164"/>
        <w:gridCol w:w="1171"/>
        <w:gridCol w:w="301"/>
        <w:gridCol w:w="1029"/>
        <w:gridCol w:w="155"/>
        <w:gridCol w:w="109"/>
        <w:gridCol w:w="109"/>
        <w:gridCol w:w="109"/>
        <w:gridCol w:w="348"/>
        <w:gridCol w:w="1017"/>
        <w:gridCol w:w="180"/>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 (unaudited)</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30" w:type="dxa"/>
        <w:jc w:val="left"/>
        <w:tblInd w:w="0" w:type="dxa"/>
        <w:tblLayout w:type="fixed"/>
        <w:tblCellMar>
          <w:top w:w="28" w:type="dxa"/>
          <w:left w:w="28" w:type="dxa"/>
          <w:bottom w:w="28" w:type="dxa"/>
          <w:right w:w="28" w:type="dxa"/>
        </w:tblCellMar>
      </w:tblPr>
      <w:tblGrid>
        <w:gridCol w:w="1325"/>
        <w:gridCol w:w="1164"/>
        <w:gridCol w:w="1171"/>
        <w:gridCol w:w="301"/>
        <w:gridCol w:w="1029"/>
        <w:gridCol w:w="155"/>
        <w:gridCol w:w="109"/>
        <w:gridCol w:w="109"/>
        <w:gridCol w:w="109"/>
        <w:gridCol w:w="348"/>
        <w:gridCol w:w="1017"/>
        <w:gridCol w:w="180"/>
        <w:gridCol w:w="109"/>
        <w:gridCol w:w="109"/>
        <w:gridCol w:w="109"/>
        <w:gridCol w:w="211"/>
        <w:gridCol w:w="7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Adamas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 (unaudited)</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changes in fair value of the contingent consideration liability for the USWM milestones:</w:t>
      </w:r>
    </w:p>
    <w:p>
      <w:pPr>
        <w:pStyle w:val="TextBody"/>
        <w:bidi w:val="0"/>
        <w:spacing w:lineRule="auto" w:line="276" w:before="200" w:after="200"/>
        <w:ind w:left="0" w:right="0" w:firstLine="360"/>
        <w:jc w:val="left"/>
        <w:rPr/>
      </w:pPr>
      <w:r>
        <w:rPr>
          <w:color w:val="000000"/>
        </w:rPr>
        <w:t>•</w:t>
      </w:r>
      <w:r>
        <w:rPr>
          <w:rFonts w:ascii="Times New Roman;sans-serif" w:hAnsi="Times New Roman;sans-serif"/>
          <w:b w:val="false"/>
          <w:color w:val="000000"/>
          <w:sz w:val="20"/>
        </w:rPr>
        <w:t>The Company recorded a $0.7 million expense due to the change in fair value of contingent consideration liabilities for the USWM milestones for the three months ended March 31, 2024. The change in fair value of contingent consideration for the USWM milestones was primarily due to passage of time.</w:t>
      </w:r>
    </w:p>
    <w:p>
      <w:pPr>
        <w:pStyle w:val="TextBody"/>
        <w:bidi w:val="0"/>
        <w:spacing w:lineRule="auto" w:line="276" w:before="200" w:after="200"/>
        <w:ind w:left="0" w:right="0" w:firstLine="360"/>
        <w:jc w:val="left"/>
        <w:rPr/>
      </w:pPr>
      <w:r>
        <w:rPr>
          <w:color w:val="000000"/>
        </w:rPr>
        <w:t>•</w:t>
      </w:r>
      <w:r>
        <w:rPr>
          <w:rFonts w:ascii="Times New Roman;sans-serif" w:hAnsi="Times New Roman;sans-serif"/>
          <w:b w:val="false"/>
          <w:color w:val="000000"/>
          <w:sz w:val="20"/>
        </w:rPr>
        <w:t>The Company recorded a $1.7 million gain due to the change in the fair value of the contingent consideration liabilities for the USWM milestones for the three months ended March 31, 2023. The change in the fair value of contingent consideration for the USWM milestones was primarily due to the change in timing of the regulatory and developmental milestone achievement and estimated discount rates.</w:t>
      </w:r>
    </w:p>
    <w:p>
      <w:pPr>
        <w:pStyle w:val="TextBody"/>
        <w:bidi w:val="0"/>
        <w:spacing w:lineRule="auto" w:line="276"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changes in fair value of the contingent consideration liabilities for the Adamas CVRs:</w:t>
      </w:r>
    </w:p>
    <w:p>
      <w:pPr>
        <w:pStyle w:val="TextBody"/>
        <w:bidi w:val="0"/>
        <w:spacing w:lineRule="auto" w:line="276" w:before="200" w:after="200"/>
        <w:ind w:left="0" w:right="0" w:firstLine="360"/>
        <w:jc w:val="left"/>
        <w:rPr/>
      </w:pPr>
      <w:r>
        <w:rPr>
          <w:color w:val="000000"/>
        </w:rPr>
        <w:t>•</w:t>
      </w:r>
      <w:r>
        <w:rPr>
          <w:rFonts w:ascii="Times New Roman;sans-serif" w:hAnsi="Times New Roman;sans-serif"/>
          <w:b w:val="false"/>
          <w:color w:val="000000"/>
          <w:sz w:val="20"/>
        </w:rPr>
        <w:t>The Company recorded a $1.8 million gain due to the change in fair value of the contingent consideration liabilities for the Adamas CVRs for the three months ended March 31, 2024. The change in fair value of contingent consideration was primarily due to passage of time.</w:t>
      </w:r>
    </w:p>
    <w:p>
      <w:pPr>
        <w:pStyle w:val="TextBody"/>
        <w:bidi w:val="0"/>
        <w:spacing w:lineRule="auto" w:line="288" w:before="200" w:after="200"/>
        <w:ind w:left="0" w:right="0" w:firstLine="360"/>
        <w:jc w:val="left"/>
        <w:rPr/>
      </w:pPr>
      <w:r>
        <w:rPr>
          <w:color w:val="000000"/>
        </w:rPr>
        <w:t>•</w:t>
      </w:r>
      <w:r>
        <w:rPr>
          <w:rFonts w:ascii="Times New Roman;sans-serif" w:hAnsi="Times New Roman;sans-serif"/>
          <w:b w:val="false"/>
          <w:color w:val="000000"/>
          <w:sz w:val="20"/>
        </w:rPr>
        <w:t>The Company recorded a $0.1 million expense due to the change in fair value of the contingent consideration liabilities for the Adamas CVRs for the three months ended March 31, 2023. The change in fair value was primarily due to the passage of time and estimated discount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Intangibles Assets, Net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gross carrying amounts and related accumulated amortization of intangibles assets (dollars in thousands):</w:t>
      </w:r>
    </w:p>
    <w:tbl>
      <w:tblPr>
        <w:tblW w:w="11150" w:type="dxa"/>
        <w:jc w:val="left"/>
        <w:tblInd w:w="0" w:type="dxa"/>
        <w:tblLayout w:type="fixed"/>
        <w:tblCellMar>
          <w:top w:w="28" w:type="dxa"/>
          <w:left w:w="28" w:type="dxa"/>
          <w:bottom w:w="28" w:type="dxa"/>
          <w:right w:w="28" w:type="dxa"/>
        </w:tblCellMar>
      </w:tblPr>
      <w:tblGrid>
        <w:gridCol w:w="430"/>
        <w:gridCol w:w="377"/>
        <w:gridCol w:w="379"/>
        <w:gridCol w:w="350"/>
        <w:gridCol w:w="350"/>
        <w:gridCol w:w="35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w:t>
              <w:br/>
              <w:t>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developed technology and product rights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patent defense costs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$20.1 million and $20.0 million, for the three month periods ended March 31, 2024 and 2023, respectively.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allows a third party to enter the Oxtellar XR market in September 2024, or sooner under certain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Uncommitted Demand Secured Line of Credit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30, 2023, the Company borrowed $93.0 million under the Credit Line, which bore a variable interest rate. The funds from this borrowing were used to repay outstanding indebtedness under the 2023 Notes. In the second quarter of 2023, the Company repaid the total principal balance of $93.0 million under the Credit Line and the interest incurred on the Credit Line of $0.7 million. As of March 31, 2024, there was no outstanding debt under the Credit 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Share-Based Payments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as follows (dollars in thousands):</w:t>
      </w:r>
    </w:p>
    <w:tbl>
      <w:tblPr>
        <w:tblW w:w="5198" w:type="dxa"/>
        <w:jc w:val="left"/>
        <w:tblInd w:w="0" w:type="dxa"/>
        <w:tblLayout w:type="fixed"/>
        <w:tblCellMar>
          <w:top w:w="28" w:type="dxa"/>
          <w:left w:w="28" w:type="dxa"/>
          <w:bottom w:w="28" w:type="dxa"/>
          <w:right w:w="28" w:type="dxa"/>
        </w:tblCellMar>
      </w:tblPr>
      <w:tblGrid>
        <w:gridCol w:w="1071"/>
        <w:gridCol w:w="939"/>
        <w:gridCol w:w="944"/>
        <w:gridCol w:w="211"/>
        <w:gridCol w:w="616"/>
        <w:gridCol w:w="109"/>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720"/>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 and Stock Appreciation Rights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and stock appreciation rights (SAR) activities:</w:t>
      </w:r>
    </w:p>
    <w:tbl>
      <w:tblPr>
        <w:tblW w:w="7820" w:type="dxa"/>
        <w:jc w:val="left"/>
        <w:tblInd w:w="0" w:type="dxa"/>
        <w:tblLayout w:type="fixed"/>
        <w:tblCellMar>
          <w:top w:w="28" w:type="dxa"/>
          <w:left w:w="28" w:type="dxa"/>
          <w:bottom w:w="28" w:type="dxa"/>
          <w:right w:w="28" w:type="dxa"/>
        </w:tblCellMar>
      </w:tblPr>
      <w:tblGrid>
        <w:gridCol w:w="1265"/>
        <w:gridCol w:w="1113"/>
        <w:gridCol w:w="1116"/>
        <w:gridCol w:w="488"/>
        <w:gridCol w:w="488"/>
        <w:gridCol w:w="296"/>
        <w:gridCol w:w="109"/>
        <w:gridCol w:w="109"/>
        <w:gridCol w:w="109"/>
        <w:gridCol w:w="253"/>
        <w:gridCol w:w="741"/>
        <w:gridCol w:w="132"/>
        <w:gridCol w:w="109"/>
        <w:gridCol w:w="109"/>
        <w:gridCol w:w="109"/>
        <w:gridCol w:w="373"/>
        <w:gridCol w:w="373"/>
        <w:gridCol w:w="528"/>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6,583,822 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1,107,662 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2024 (unaudited)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7,465,418 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(unaudited):</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7,465,418 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Exercisable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4,715,920 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6,583,822 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4,110,537 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activities:</w:t>
      </w:r>
    </w:p>
    <w:tbl>
      <w:tblPr>
        <w:tblW w:w="6668" w:type="dxa"/>
        <w:jc w:val="left"/>
        <w:tblInd w:w="0" w:type="dxa"/>
        <w:tblLayout w:type="fixed"/>
        <w:tblCellMar>
          <w:top w:w="28" w:type="dxa"/>
          <w:left w:w="28" w:type="dxa"/>
          <w:bottom w:w="28" w:type="dxa"/>
          <w:right w:w="28" w:type="dxa"/>
        </w:tblCellMar>
      </w:tblPr>
      <w:tblGrid>
        <w:gridCol w:w="961"/>
        <w:gridCol w:w="846"/>
        <w:gridCol w:w="848"/>
        <w:gridCol w:w="413"/>
        <w:gridCol w:w="413"/>
        <w:gridCol w:w="296"/>
        <w:gridCol w:w="109"/>
        <w:gridCol w:w="109"/>
        <w:gridCol w:w="109"/>
        <w:gridCol w:w="551"/>
        <w:gridCol w:w="1611"/>
        <w:gridCol w:w="402"/>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 Value per Share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193,914 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March 31, 2024</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396,908 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Share Units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 share unit (PSU) activities:</w:t>
      </w:r>
    </w:p>
    <w:tbl>
      <w:tblPr>
        <w:tblW w:w="10205" w:type="dxa"/>
        <w:jc w:val="left"/>
        <w:tblInd w:w="0" w:type="dxa"/>
        <w:tblLayout w:type="fixed"/>
        <w:tblCellMar>
          <w:top w:w="28" w:type="dxa"/>
          <w:left w:w="28" w:type="dxa"/>
          <w:bottom w:w="28" w:type="dxa"/>
          <w:right w:w="28" w:type="dxa"/>
        </w:tblCellMar>
      </w:tblPr>
      <w:tblGrid>
        <w:gridCol w:w="504"/>
        <w:gridCol w:w="444"/>
        <w:gridCol w:w="445"/>
        <w:gridCol w:w="434"/>
        <w:gridCol w:w="401"/>
        <w:gridCol w:w="276"/>
        <w:gridCol w:w="114"/>
        <w:gridCol w:w="114"/>
        <w:gridCol w:w="114"/>
        <w:gridCol w:w="289"/>
        <w:gridCol w:w="847"/>
        <w:gridCol w:w="149"/>
        <w:gridCol w:w="109"/>
        <w:gridCol w:w="109"/>
        <w:gridCol w:w="109"/>
        <w:gridCol w:w="434"/>
        <w:gridCol w:w="319"/>
        <w:gridCol w:w="276"/>
        <w:gridCol w:w="109"/>
        <w:gridCol w:w="109"/>
        <w:gridCol w:w="109"/>
        <w:gridCol w:w="290"/>
        <w:gridCol w:w="847"/>
        <w:gridCol w:w="149"/>
        <w:gridCol w:w="109"/>
        <w:gridCol w:w="109"/>
        <w:gridCol w:w="109"/>
        <w:gridCol w:w="434"/>
        <w:gridCol w:w="401"/>
        <w:gridCol w:w="276"/>
        <w:gridCol w:w="109"/>
        <w:gridCol w:w="109"/>
        <w:gridCol w:w="109"/>
        <w:gridCol w:w="286"/>
        <w:gridCol w:w="836"/>
        <w:gridCol w:w="218"/>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Market-Based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PSUs </w:t>
            </w:r>
          </w:p>
        </w:tc>
      </w:tr>
      <w:tr>
        <w:trPr/>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2023</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251,630 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271,630 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March 31, 2024</w:t>
            </w:r>
          </w:p>
        </w:tc>
        <w:tc>
          <w:tcPr>
            <w:tcW w:w="11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 for the three months ended March 31, 2024 and 2023 (dollars in thousands, except share and per share amounts):</w:t>
      </w:r>
    </w:p>
    <w:tbl>
      <w:tblPr>
        <w:tblW w:w="6577" w:type="dxa"/>
        <w:jc w:val="left"/>
        <w:tblInd w:w="0" w:type="dxa"/>
        <w:tblLayout w:type="fixed"/>
        <w:tblCellMar>
          <w:top w:w="28" w:type="dxa"/>
          <w:left w:w="28" w:type="dxa"/>
          <w:bottom w:w="28" w:type="dxa"/>
          <w:right w:w="28" w:type="dxa"/>
        </w:tblCellMar>
      </w:tblPr>
      <w:tblGrid>
        <w:gridCol w:w="1385"/>
        <w:gridCol w:w="1217"/>
        <w:gridCol w:w="1223"/>
        <w:gridCol w:w="315"/>
        <w:gridCol w:w="766"/>
        <w:gridCol w:w="109"/>
        <w:gridCol w:w="109"/>
        <w:gridCol w:w="109"/>
        <w:gridCol w:w="109"/>
        <w:gridCol w:w="244"/>
        <w:gridCol w:w="837"/>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After-tax interest expense for 2023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dilutive earnings per share</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 and SARs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55,626,663 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62,454,204 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basic</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diluted</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common stock equivalents of outstanding stock-based awards excluded in the calculation of diluted EPS because their inclusion would be anti-dilutive:</w:t>
      </w:r>
    </w:p>
    <w:tbl>
      <w:tblPr>
        <w:tblW w:w="4893" w:type="dxa"/>
        <w:jc w:val="left"/>
        <w:tblInd w:w="0" w:type="dxa"/>
        <w:tblLayout w:type="fixed"/>
        <w:tblCellMar>
          <w:top w:w="28" w:type="dxa"/>
          <w:left w:w="28" w:type="dxa"/>
          <w:bottom w:w="28" w:type="dxa"/>
          <w:right w:w="28" w:type="dxa"/>
        </w:tblCellMar>
      </w:tblPr>
      <w:tblGrid>
        <w:gridCol w:w="831"/>
        <w:gridCol w:w="729"/>
        <w:gridCol w:w="734"/>
        <w:gridCol w:w="413"/>
        <w:gridCol w:w="413"/>
        <w:gridCol w:w="175"/>
        <w:gridCol w:w="175"/>
        <w:gridCol w:w="175"/>
        <w:gridCol w:w="175"/>
        <w:gridCol w:w="413"/>
        <w:gridCol w:w="413"/>
        <w:gridCol w:w="247"/>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 PSUs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Income Tax Expense (Benefit)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Company’s income tax expense (benefit) for the three months ended March 31, 2024 and 2023 (dollars in thousands):</w:t>
      </w:r>
    </w:p>
    <w:tbl>
      <w:tblPr>
        <w:tblW w:w="4952" w:type="dxa"/>
        <w:jc w:val="left"/>
        <w:tblInd w:w="0" w:type="dxa"/>
        <w:tblLayout w:type="fixed"/>
        <w:tblCellMar>
          <w:top w:w="28" w:type="dxa"/>
          <w:left w:w="28" w:type="dxa"/>
          <w:bottom w:w="28" w:type="dxa"/>
          <w:right w:w="28" w:type="dxa"/>
        </w:tblCellMar>
      </w:tblPr>
      <w:tblGrid>
        <w:gridCol w:w="891"/>
        <w:gridCol w:w="781"/>
        <w:gridCol w:w="787"/>
        <w:gridCol w:w="211"/>
        <w:gridCol w:w="466"/>
        <w:gridCol w:w="271"/>
        <w:gridCol w:w="109"/>
        <w:gridCol w:w="109"/>
        <w:gridCol w:w="109"/>
        <w:gridCol w:w="211"/>
        <w:gridCol w:w="691"/>
        <w:gridCol w:w="316"/>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Income tax expense was $0.1 million for the three months ended March 31, 2024, as compared to an income tax benefit of $7.9 million for the three months ended March 31, 2023. The change was primarily due to almost break-even pre-tax income for the three months ended March 31, 2024 and greater full year 2024 forecasted losses as compared to the same period in 2023. The effective tax rate for the three months ended March 31, 2024 was higher compared to the same period in 2023 primarily due to near break-even pre-tax losses forecasted for the full year 2023. The annual forecasted earnings represent the Company's best estimate as of March 31, 2024 and 2023, are subject to change and could have a material impact on the effective tax rate in subsequent periods. Accounting Standard Codification (ASC)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Leases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and lease liabilities as reported on the condensed consolidated balance sheets are as follows (dollars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39"/>
        <w:gridCol w:w="1091"/>
        <w:gridCol w:w="1101"/>
        <w:gridCol w:w="1110"/>
        <w:gridCol w:w="1110"/>
        <w:gridCol w:w="1113"/>
        <w:gridCol w:w="109"/>
        <w:gridCol w:w="109"/>
        <w:gridCol w:w="109"/>
        <w:gridCol w:w="253"/>
        <w:gridCol w:w="868"/>
        <w:gridCol w:w="131"/>
        <w:gridCol w:w="109"/>
        <w:gridCol w:w="109"/>
        <w:gridCol w:w="109"/>
        <w:gridCol w:w="297"/>
        <w:gridCol w:w="1016"/>
        <w:gridCol w:w="222"/>
      </w:tblGrid>
      <w:tr>
        <w:trPr/>
        <w:tc>
          <w:tcPr>
            <w:tcW w:w="123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41,527 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    Composition of Other Balance Sheet Items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details the composition of other balance sheet items (dollars in thousands for amounts in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Accounts Receivables, Net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has reduced accounts receivable by approximately $12.0 million and $10.7 million, respectively for prompt pay discounts and contractual service fees, which were originally recorded as a reduction to revenues and represent estimated amounts not expected to be paid by our customers. The Company's customers are primarily pharmaceutical wholesalers and distributors and specialty pharmacies.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Inventories, Net </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Property and Equipment, Net </w:t>
      </w:r>
    </w:p>
    <w:tbl>
      <w:tblPr>
        <w:tblW w:w="6556"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21"/>
        <w:gridCol w:w="75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 and furniture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on property and equipment was approximately $0.6 million and $0.6 million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Payable and Accrued Liabilities</w:t>
      </w:r>
    </w:p>
    <w:tbl>
      <w:tblPr>
        <w:tblW w:w="6767" w:type="dxa"/>
        <w:jc w:val="left"/>
        <w:tblInd w:w="0" w:type="dxa"/>
        <w:tblLayout w:type="fixed"/>
        <w:tblCellMar>
          <w:top w:w="28" w:type="dxa"/>
          <w:left w:w="28" w:type="dxa"/>
          <w:bottom w:w="28" w:type="dxa"/>
          <w:right w:w="28" w:type="dxa"/>
        </w:tblCellMar>
      </w:tblPr>
      <w:tblGrid>
        <w:gridCol w:w="1543"/>
        <w:gridCol w:w="1356"/>
        <w:gridCol w:w="1361"/>
        <w:gridCol w:w="211"/>
        <w:gridCol w:w="721"/>
        <w:gridCol w:w="109"/>
        <w:gridCol w:w="109"/>
        <w:gridCol w:w="109"/>
        <w:gridCol w:w="109"/>
        <w:gridCol w:w="221"/>
        <w:gridCol w:w="757"/>
        <w:gridCol w:w="161"/>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benefits, &amp; related accruals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&amp;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manufacturing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R&amp;D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liabilities, current portion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royalties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Refer to Note 15, </w:t>
      </w:r>
      <w:r>
        <w:rPr>
          <w:rFonts w:ascii="Times New Roman;sans-serif" w:hAnsi="Times New Roman;sans-serif"/>
          <w:b w:val="false"/>
          <w:i/>
          <w:color w:val="000000"/>
          <w:sz w:val="18"/>
        </w:rPr>
        <w:t>Commitments and Contingencies</w:t>
      </w:r>
      <w:r>
        <w:rPr>
          <w:rFonts w:ascii="Times New Roman;sans-serif" w:hAnsi="Times New Roman;sans-serif"/>
          <w:b w:val="false"/>
          <w:color w:val="000000"/>
          <w:sz w:val="18"/>
        </w:rPr>
        <w:t>.</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 xml:space="preserve">Refer to Note 12, </w:t>
      </w:r>
      <w:r>
        <w:rPr>
          <w:rFonts w:ascii="Times New Roman;sans-serif" w:hAnsi="Times New Roman;sans-serif"/>
          <w:b w:val="false"/>
          <w:i/>
          <w:color w:val="000000"/>
          <w:sz w:val="18"/>
        </w:rPr>
        <w:t>Leases</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Product Returns and Rebates</w:t>
      </w:r>
    </w:p>
    <w:tbl>
      <w:tblPr>
        <w:tblW w:w="4749" w:type="dxa"/>
        <w:jc w:val="left"/>
        <w:tblInd w:w="0" w:type="dxa"/>
        <w:tblLayout w:type="fixed"/>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14.    Interest Expense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details the composition of interest expense (dollars in thousands):</w:t>
      </w:r>
    </w:p>
    <w:tbl>
      <w:tblPr>
        <w:tblW w:w="8183" w:type="dxa"/>
        <w:jc w:val="left"/>
        <w:tblInd w:w="0" w:type="dxa"/>
        <w:tblLayout w:type="fixed"/>
        <w:tblCellMar>
          <w:top w:w="28" w:type="dxa"/>
          <w:left w:w="28" w:type="dxa"/>
          <w:bottom w:w="28" w:type="dxa"/>
          <w:right w:w="28" w:type="dxa"/>
        </w:tblCellMar>
      </w:tblPr>
      <w:tblGrid>
        <w:gridCol w:w="2201"/>
        <w:gridCol w:w="1928"/>
        <w:gridCol w:w="1945"/>
        <w:gridCol w:w="211"/>
        <w:gridCol w:w="406"/>
        <w:gridCol w:w="109"/>
        <w:gridCol w:w="109"/>
        <w:gridCol w:w="109"/>
        <w:gridCol w:w="109"/>
        <w:gridCol w:w="211"/>
        <w:gridCol w:w="691"/>
        <w:gridCol w:w="154"/>
      </w:tblGrid>
      <w:tr>
        <w:trPr/>
        <w:tc>
          <w:tcPr>
            <w:tcW w:w="220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nonrecourse liability related to sale of future royalties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debt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debt is related to amortization of deferred financing costs on the 2023 Notes. The Company fully amortized the deferred financing costs on the 2023 Notes in the first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Licenses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bidi w:val="0"/>
        <w:spacing w:lineRule="auto" w:line="276" w:before="200" w:after="283"/>
        <w:ind w:left="0" w:right="0" w:firstLine="720"/>
        <w:jc w:val="left"/>
        <w:rPr/>
      </w:pPr>
      <w:r>
        <w:rPr>
          <w:rFonts w:ascii="Times New Roman;sans-serif" w:hAnsi="Times New Roman;sans-serif"/>
          <w:b w:val="false"/>
          <w:color w:val="000000"/>
          <w:sz w:val="20"/>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ans-serif" w:hAnsi="Times New Roman;sans-serif"/>
          <w:b w:val="false"/>
          <w:i/>
          <w:color w:val="000000"/>
          <w:sz w:val="20"/>
        </w:rPr>
        <w:t>Cost of goods sold</w:t>
      </w:r>
      <w:r>
        <w:rPr>
          <w:color w:val="000000"/>
        </w:rPr>
        <w:t xml:space="preserve"> </w:t>
      </w:r>
      <w:r>
        <w:rPr>
          <w:rFonts w:ascii="Times New Roman;sans-serif" w:hAnsi="Times New Roman;sans-serif"/>
          <w:b w:val="false"/>
          <w:color w:val="000000"/>
          <w:sz w:val="20"/>
        </w:rPr>
        <w:t xml:space="preserve">in the condensed consolidated statements of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USWM Enterprise Commitments Assumed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USWM Acquisition, the Company assumed the remaining commitments of USWM Enterprises and its subsidiaries, which are discussed below.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assumed the annual minimum purchase requirement of MYOBLOC, amounting to an estimated €3.9 million annually, under the contract manufacturing agreement with Merz for manufacture and supply.</w:t>
      </w:r>
    </w:p>
    <w:p>
      <w:pPr>
        <w:pStyle w:val="TextBody"/>
        <w:bidi w:val="0"/>
        <w:spacing w:lineRule="auto" w:line="26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 CIA through March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Claims and Litigation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NAMENDA XR/Namzaric Qui Tam Litigation </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 xml:space="preserve">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judgement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sans-serif" w:hAnsi="Times New Roman;sans-serif"/>
          <w:b w:val="false"/>
          <w:color w:val="333333"/>
          <w:sz w:val="20"/>
          <w:shd w:fill="FFFFFF" w:val="clear"/>
        </w:rPr>
        <w:t>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plaintiff’s appeal remains pending in the United States Court of Appeals for the Ninth Circuit</w:t>
      </w:r>
      <w:r>
        <w:rPr>
          <w:rFonts w:ascii="Times New Roman;sans-serif" w:hAnsi="Times New Roman;sans-serif"/>
          <w:b w:val="false"/>
          <w:color w:val="000000"/>
          <w:sz w:val="20"/>
        </w:rPr>
        <w:t>.</w:t>
      </w:r>
    </w:p>
    <w:p>
      <w:pPr>
        <w:pStyle w:val="TextBody"/>
        <w:bidi w:val="0"/>
        <w:spacing w:before="20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APOKYN Litigation</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and the lawsuit in its entirety. As of April 12, 2023, briefing on those motions is now complete. Those motions remain pending. On April 10, 2023, the Court issued a scheduling order that provides for a Pretrial Conference on March 7, 2025, and a jury trial beginning on March 24, 2025. Pretrial discovery is ongoing. The Company intends to defend itself vigorously. However, the Company can offer no assurances that it will be successful in a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16.    Subsequent Events </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SPN-830 Regulatory Development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the FDA issued a Complete Response Letter (CRL) regarding the New Drug Application (NDA) for SPN-830. The CRL mentions two areas that require additional review by the FDA or additional information to be provided to the FDA. The first area relates to product quality. Prior to the issuance of the CRL, the Company submitted additional product quality data to the FDA, which it had not yet reviewed at the time of the CRL's issuance. The second relates to the master file for the infusion device, which is proprietary to the device manufacturer. No clinical safety or efficacy issues were identified as a requirement for approval.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analyzing the CRL and determining next steps for the resubmission of the NDA. While it is too early to ascertain the full impact to our financial statements, we may identify indicators of impairment for the related IPR&amp;D asset, which represents an estimate of the fair value of SPN-830, resulting from the receipt of the CRL. Additionally, the Company also expects to assess adjustments to the fair value of the contingent consideration liabilities related to the milestone payments due upon the achievement of certain FDA regulatory approvals and the commercial launch of SPN-830. While we are unable to estimate the anticipated financial impact at this time, any potential adjustments would be recognized and reported within the second quarter of 2024. Any material adjustments to the fair value of the IPR&amp;D asset or the fair value of contingent consideration liabilities could impact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2023 and the related Management’s Discussion and Analysis of Financial Condition and Results of Operations, both of which are contained in our Annual Report on Form 10-K, filed with the Securities and Exchange Commission on February 27, 2024.</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ans-serif" w:hAnsi="Times New Roman;sans-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bidi w:val="0"/>
        <w:spacing w:before="20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portfolio of commercial products and product candidates.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Commercial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Qelbree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GOCOVRI</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APOKYN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(apomorphine hydrochloride injection) is a product indicated for the acute, intermittent treatment of hypomobility, "OFF" episodes ("end-of-dose wearing off" and unpredictable "ON/OFF" episodes) in patients with advanced PD.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XADAGO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(safinamide) is a once-daily product indicated as adjunctive treatment to levodopa/carbidopa in patients with PD experiencing "OFF" episodes.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MYOBLOC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Osmolex ER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(amantadine) extended-release tablets is for the treatment of PD and drug-induced extrapyramidal reactions in adult patients. In December 2023, the Company submitted to the FDA a notification of discontinuance to withdraw Osmolex ER from distribution, stating that manufacturing has been discontinued and distribution of the product will cease by April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the development of innovative product candidates in neurology and psychiatry, including the following:</w:t>
      </w:r>
    </w:p>
    <w:p>
      <w:pPr>
        <w:pStyle w:val="TextBody"/>
        <w:bidi w:val="0"/>
        <w:spacing w:before="200" w:after="200"/>
        <w:jc w:val="left"/>
        <w:rPr/>
      </w:pPr>
      <w:r>
        <w:rPr/>
        <w:drawing>
          <wp:inline distT="0" distB="0" distL="0" distR="0">
            <wp:extent cx="6667500" cy="2543175"/>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6667500" cy="2543175"/>
                    </a:xfrm>
                    <a:prstGeom prst="rect">
                      <a:avLst/>
                    </a:prstGeom>
                  </pic:spPr>
                </pic:pic>
              </a:graphicData>
            </a:graphic>
          </wp:inline>
        </w:drawing>
      </w:r>
    </w:p>
    <w:p>
      <w:pPr>
        <w:pStyle w:val="TextBody"/>
        <w:bidi w:val="0"/>
        <w:spacing w:lineRule="auto" w:line="276" w:before="200" w:after="283"/>
        <w:ind w:left="0" w:right="0" w:hanging="288"/>
        <w:jc w:val="left"/>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 </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In October 2023, we resubmitted the New Drug Application (NDA) for SPN-830 to the FDA. In November 2, 2023, the Company announced that the FDA had acknowledged the resubmission of the NDA and assigned a Prescription Drug User Fee Act (PDUFA) date of April 5, 2024. In April 2024, the FDA issued a Complete Response Letter regarding the NDA for SPN-830. For further discussion, see </w:t>
      </w:r>
      <w:r>
        <w:rPr>
          <w:rFonts w:ascii="Times New Roman;sans-serif" w:hAnsi="Times New Roman;sans-serif"/>
          <w:b w:val="false"/>
          <w:i/>
          <w:color w:val="000000"/>
          <w:sz w:val="20"/>
        </w:rPr>
        <w:t>Operational Highlights</w:t>
      </w:r>
      <w:r>
        <w:rPr>
          <w:color w:val="000000"/>
        </w:rPr>
        <w:t xml:space="preserve"> </w:t>
      </w:r>
      <w:r>
        <w:rPr>
          <w:rFonts w:ascii="Times New Roman;sans-serif" w:hAnsi="Times New Roman;sans-serif"/>
          <w:b w:val="false"/>
          <w:color w:val="000000"/>
          <w:sz w:val="20"/>
        </w:rPr>
        <w:t>section below.</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(NV-5138)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SPN-820 is a first-in-class, orally active small molecule that increases the brain mechanistic target of rapamycin complex 1 (mTORC1) mediated synaptic function intracellularly. SPN-820 does not bind to or modulate any cell surface receptors and therefore is unlikely to have abuse potential given lack of binding to targets implicated in drug abuse. In addition, unlike leucine, it is not incorporated into proteins during protein synthesis, and therefore, it is more available at the target site in the brain than leucine.</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SPN-817 (huperzine 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SPN-817 represents a novel mechanism of action (MOA) for an anticonvulsant. SPN-817 is a novel synthetic form of </w:t>
        <w:b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Operational Highlights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Qelbree Update</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Total IQVIA prescriptions were 176,503 for first quarter 2024, an increase of 31% compared to the prior year period.</w:t>
      </w:r>
    </w:p>
    <w:p>
      <w:pPr>
        <w:pStyle w:val="TextBody"/>
        <w:bidi w:val="0"/>
        <w:spacing w:lineRule="auto" w:line="288" w:before="200" w:after="200"/>
        <w:ind w:left="0" w:right="0" w:hanging="360"/>
        <w:jc w:val="left"/>
        <w:rPr/>
      </w:pPr>
      <w:r>
        <w:rPr>
          <w:color w:val="000000"/>
        </w:rPr>
        <w:t>•</w:t>
      </w:r>
      <w:r>
        <w:rPr>
          <w:rFonts w:ascii="Times New Roman;sans-serif" w:hAnsi="Times New Roman;sans-serif"/>
          <w:b w:val="false"/>
          <w:color w:val="000000"/>
          <w:sz w:val="20"/>
        </w:rPr>
        <w:t xml:space="preserve">Patient enrollment is ongoing in the Phase IV open-label study to assess the efficacy of Qelbree over the course of 14 weeks of treatment in approximately 500 adults with attention deficit hyperactivity disorder (ADHD) and mood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symptoms. The primary outcome measure is change from baseline in the Adult ADHD Investigator Symptom Rating Scale (AISRS).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Product Pipeline Update</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 for treatment of Parkinson's disease (PD)</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In April 2024, the U.S. Food and Drug Administration (FDA) issued a Complete Response Letter (CRL) in response to the Company’s New Drug Application (NDA) for SPN-830. The CRL indicates that the review cycle for the application is complete, but that the application is not ready for approval in its present form.</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 xml:space="preserve">The Company will announce the timing for its resubmission after further discussion with the FDA, which is expected to take place in May 2024. </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 Novel first-in-class molecule that increases mTORC1 mediated synaptic function for depression </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More than half the number of planned patients have been enrolled in the ongoing Phase IIb multi-center randomized double-blind placebo-controlled parallel design study of SPN-820 in adults with treatment-resistant depression. The study is examining efficacy and safety of SPN-820 over a course of five weeks of treatment in approximately 268 patients in up to 50 clinical sites. The primary outcome measure is the change from baseline to end of treatment period on the Montgomery-Asberg Depression Rating Scale (MADRS) Total Score. Topline data from the Phase IIb trial is expected in the first half of 2025.</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 xml:space="preserve">The Company has initiated a Phase II open-label study in approximately 40 subjects with major depressive disorder (MDD). The primary objective of the study is to assess efficacy in MDD, as well as onset of efficacy. </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SPN-817 – Novel first-in-class highly selective AChE inhibitor for epilepsy</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The Company will hold a conference call on Thursday, May 23, 2024 to report on interim data from approximately 40 patients from the open-label Phase IIa clinical study of SPN-817 for treatment-resistant seizures (webcast details forthcoming). The study is examining the safety and tolerability of SPN-817 as adjunctive therapy in adult patients with treatment-resistant seizures, as well as assessing efficacy. Topline results for the full study are expected in the second half of 2024.</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SPN-443 – Novel stimulant for ADHD/CNS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The Company plans to initiate a Phase I single dose study in healthy adults in 2024 following submission of an Investigational New Drug application. The primary objective of the study is to assess safety and tolerability.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the Use of Estimates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A summary of our significant accounting policies is included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of our audited consolidated financial statements included in the Annual Report on Form 10-K for the year ended December 31, 2023. There were no significant changes to the disclosures with respect to our critical accounting policies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2024 and 2023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consist primarily of net product sales of our commercial products in the U.S., supplemented by royalty and licensing revenues from our collaborative licensing arrangements. The following table provides information regarding our revenues during the three months ended March 31, 2024 (dollars in thousands):</w:t>
      </w:r>
    </w:p>
    <w:tbl>
      <w:tblPr>
        <w:tblW w:w="7927" w:type="dxa"/>
        <w:jc w:val="left"/>
        <w:tblInd w:w="0" w:type="dxa"/>
        <w:tblLayout w:type="fixed"/>
        <w:tblCellMar>
          <w:top w:w="28" w:type="dxa"/>
          <w:left w:w="28" w:type="dxa"/>
          <w:bottom w:w="28" w:type="dxa"/>
          <w:right w:w="28" w:type="dxa"/>
        </w:tblCellMar>
      </w:tblPr>
      <w:tblGrid>
        <w:gridCol w:w="973"/>
        <w:gridCol w:w="854"/>
        <w:gridCol w:w="858"/>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6"/>
        <w:gridCol w:w="219"/>
        <w:gridCol w:w="418"/>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licensing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6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Product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$2.1 million and 2% decrease in net product sales for the three months ended March 31, 2024, as compared to the same period in 2023, was primarily due to the $18.8 million decline in net product sales of Trokendi XR due to generic erosion, and a decline in net product sales of Oxtellar XR, partially offset by the $19.3 million increase in net product sales from Qelbree.</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Deductions and Related Accruals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We record accrued product returns and accrued product rebates as current liabilities in</w:t>
      </w:r>
      <w:r>
        <w:rPr>
          <w:color w:val="000000"/>
        </w:rPr>
        <w:t xml:space="preserve"> </w:t>
      </w:r>
      <w:r>
        <w:rPr>
          <w:rFonts w:ascii="Times New Roman;sans-serif" w:hAnsi="Times New Roman;sans-serif"/>
          <w:b w:val="false"/>
          <w:i/>
          <w:color w:val="000000"/>
          <w:sz w:val="20"/>
        </w:rPr>
        <w:t xml:space="preserve">Accrued product returns and rebates, </w:t>
      </w:r>
      <w:r>
        <w:rPr>
          <w:rFonts w:ascii="Times New Roman;sans-serif" w:hAnsi="Times New Roman;sans-serif"/>
          <w:b w:val="false"/>
          <w:color w:val="000000"/>
          <w:sz w:val="20"/>
        </w:rPr>
        <w:t xml:space="preserve">on our condensed consolidated balance sheets. We record sales discounts as a reduction against </w:t>
      </w: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on the unaudited condensed consolidated balance sheets. Both amounts are generally affected by changes in gross product sales, changes in the provision for net product sales deductions, and the timing of payments/credits.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activity with respect to accrued product returns and rebates during the periods indicated (dollars in thousands): </w:t>
      </w:r>
    </w:p>
    <w:tbl>
      <w:tblPr>
        <w:tblW w:w="9204" w:type="dxa"/>
        <w:jc w:val="left"/>
        <w:tblInd w:w="0" w:type="dxa"/>
        <w:tblLayout w:type="fixed"/>
        <w:tblCellMar>
          <w:top w:w="28" w:type="dxa"/>
          <w:left w:w="28" w:type="dxa"/>
          <w:bottom w:w="28" w:type="dxa"/>
          <w:right w:w="28" w:type="dxa"/>
        </w:tblCellMar>
      </w:tblPr>
      <w:tblGrid>
        <w:gridCol w:w="1189"/>
        <w:gridCol w:w="1044"/>
        <w:gridCol w:w="1051"/>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w:t>
              <w:b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relating to 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9204" w:type="dxa"/>
        <w:jc w:val="left"/>
        <w:tblInd w:w="0" w:type="dxa"/>
        <w:tblLayout w:type="fixed"/>
        <w:tblCellMar>
          <w:top w:w="28" w:type="dxa"/>
          <w:left w:w="28" w:type="dxa"/>
          <w:bottom w:w="28" w:type="dxa"/>
          <w:right w:w="28" w:type="dxa"/>
        </w:tblCellMar>
      </w:tblPr>
      <w:tblGrid>
        <w:gridCol w:w="1189"/>
        <w:gridCol w:w="1044"/>
        <w:gridCol w:w="1051"/>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w:t>
              <w:b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relating to 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Product Returns and Rebates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accrued product returns balance increased from $57.3 million as of December 31, 2023 to $59.5 million as of March 31, 2024 principally due to the timing of related return activity and an increase in provision for product returns primarily related to Qelbree.</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accrued product rebates balance increased from $97.0 million as of December 31, 2023 to $107.7 million as of March 31, 2024 due to timing of Medicaid billing from states. </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Product Returns and Rebates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product returns decreased from $5.8 million for the three months ended March 31, 2023 to $4.2 million for the three months ended March 31, 2024. The decrease was primarily attributable to lower sales of Trokendi XR.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product rebates decreased from $104.6 million for the three months ended March 31, 2023 to $101.0 million for three months ended March 31, 2024. The decrease was primarily attributable to lower Trokendi XR sales partially offset by higher Qelbree sales.</w:t>
      </w:r>
    </w:p>
    <w:p>
      <w:pPr>
        <w:pStyle w:val="TextBody"/>
        <w:bidi w:val="0"/>
        <w:spacing w:lineRule="auto" w:line="288" w:before="200" w:after="20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Royalty and Licensing 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licensing revenues were $5.2 million and $13.2 million for the three months ended March 31, 2024 and 2023, respectively. The decrease was primarily due to lower royalties on generic Trokendi XR for the three months ended March 31, 2024 due to the increased number of generic entrants.</w:t>
      </w:r>
    </w:p>
    <w:p>
      <w:pPr>
        <w:pStyle w:val="TextBody"/>
        <w:bidi w:val="0"/>
        <w:spacing w:lineRule="auto" w:line="288" w:before="200" w:after="2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Goods Sold </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was $16.3 million and $23.5 million for the three months ended March 31, 2024 and 2023, respectively. The $7.2 million decrease was primarily driven by manufacturing efficiencies, mainly related to Qelbree.</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 Expenses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were $24.9 million and $21.2 million for the three months ended March 31, 2024 and 2023, respectively. The increase was primarily due to increased clinical program costs on SPN-820 and increased manufacturing costs of our product candidates.</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selling, general and administrative (SG&amp;A) expenses during the periods indicated (dollars in thousands):</w:t>
      </w:r>
    </w:p>
    <w:tbl>
      <w:tblPr>
        <w:tblW w:w="7119" w:type="dxa"/>
        <w:jc w:val="left"/>
        <w:tblInd w:w="0" w:type="dxa"/>
        <w:tblLayout w:type="fixed"/>
        <w:tblCellMar>
          <w:top w:w="28" w:type="dxa"/>
          <w:left w:w="28" w:type="dxa"/>
          <w:bottom w:w="28" w:type="dxa"/>
          <w:right w:w="28" w:type="dxa"/>
        </w:tblCellMar>
      </w:tblPr>
      <w:tblGrid>
        <w:gridCol w:w="873"/>
        <w:gridCol w:w="768"/>
        <w:gridCol w:w="77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06"/>
        <w:gridCol w:w="206"/>
        <w:gridCol w:w="294"/>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Selling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General and administrative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1% to $86.5 million for the three months ended March 31, 2024. </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Amortization of Intangible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$20.1 million and $20.0 million for the three months ended March 31, 2024 and 2023, respectively.</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Contingent Consideration (Gain)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was a gain of $1.1 million and a gain of $1.6 million for the three months ended March 31, 2024 and 2023, respectively. The contingent consideration gain was primarily driven by the passage of time.</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was income of $3.4 million and $3.8 million for the three months ended March 31, 2024 and 2023, respectively. The $0.4 million decrease was due to lower interest income on marketable securities largely driven by an overall lower investment balance, partially offset by the interest expense recognized in three months ended March 31, 2023 related to the 2023 Notes, which were paid off in April 2023.</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Expense (Benefit)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Income tax expense of $0.1 million for the three months ended March 31, 2024, as compared to an income tax (benefit) of $7.9 million for the three months ended March 31, 2023. The change was primarily due to almost break-even pre-tax income for the three months ended March 31, 2024 and greater full year 2024 forecasted losses as compared to the same period in 2023. The effective tax rate was 49.0% for the three months ended March 31, 2024, as compared to (88.0)% for the three months ended March 31, 2023. The effective tax rate for the three months ended March 31, 2024 was higher compared to the same period in 2023 primarily due to near break-even pretax losses forecasted for the full year 2023. The annual forecasted earnings represent the Company's best estimate as of March 31, 2024 and 2023, are subject to change and could have a material impact on the effective tax rate in subsequent periods. ASC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(ASC 740), requires an estimate of the annual effective income tax rate for the full year and apply it to pre-tax income (loss) for each interim period, taking into account year-to-date amounts and projected results for the full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Condition, Liquidity and Capital Resources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Marketable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marketable securities, and long-term marketable securities are comprised of the following (dollars in thousands): </w:t>
      </w:r>
    </w:p>
    <w:tbl>
      <w:tblPr>
        <w:tblW w:w="7825" w:type="dxa"/>
        <w:jc w:val="center"/>
        <w:tblInd w:w="0" w:type="dxa"/>
        <w:tblLayout w:type="fixed"/>
        <w:tblCellMar>
          <w:top w:w="28" w:type="dxa"/>
          <w:left w:w="28" w:type="dxa"/>
          <w:bottom w:w="28" w:type="dxa"/>
          <w:right w:w="28" w:type="dxa"/>
        </w:tblCellMar>
      </w:tblPr>
      <w:tblGrid>
        <w:gridCol w:w="989"/>
        <w:gridCol w:w="868"/>
        <w:gridCol w:w="873"/>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06"/>
        <w:gridCol w:w="206"/>
        <w:gridCol w:w="29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following: continued market and payor pressures for our commercial products; the unfavorable impact of the loss of patent exclusivity for Trokendi XR in January 2023; the potential unfavorable impact of the forthcoming loss of exclusivity of Oxtellar XR and XADAGO; funding for research and development of our product candidates; and the additional funding to launch SPN-830, if approved by the FDA.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balances of cash, cash equivalents, restricted cash, and unrestricted marketable securities, which totaled $309.4 million as of March 31, 2024, along with cash generated from ongoing operations and continued access to debt markets, will be sufficient to satisfy its cash requirements over the next 12 months and beyond.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raising additional capital through: new collaborative arrangements; strategic alliances; additional equity and/or financings from debt or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are comprised of the following (dollars in thousands):</w:t>
      </w:r>
    </w:p>
    <w:tbl>
      <w:tblPr>
        <w:tblW w:w="9057" w:type="dxa"/>
        <w:jc w:val="left"/>
        <w:tblInd w:w="0" w:type="dxa"/>
        <w:tblLayout w:type="fixed"/>
        <w:tblCellMar>
          <w:top w:w="28" w:type="dxa"/>
          <w:left w:w="28" w:type="dxa"/>
          <w:bottom w:w="28" w:type="dxa"/>
          <w:right w:w="28" w:type="dxa"/>
        </w:tblCellMar>
      </w:tblPr>
      <w:tblGrid>
        <w:gridCol w:w="1765"/>
        <w:gridCol w:w="1550"/>
        <w:gridCol w:w="1560"/>
        <w:gridCol w:w="211"/>
        <w:gridCol w:w="796"/>
        <w:gridCol w:w="109"/>
        <w:gridCol w:w="109"/>
        <w:gridCol w:w="109"/>
        <w:gridCol w:w="109"/>
        <w:gridCol w:w="211"/>
        <w:gridCol w:w="826"/>
        <w:gridCol w:w="109"/>
        <w:gridCol w:w="109"/>
        <w:gridCol w:w="109"/>
        <w:gridCol w:w="109"/>
        <w:gridCol w:w="211"/>
        <w:gridCol w:w="901"/>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cash provided by (used in): </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Investing activities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Financing activities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$38.4 million and $49.1 million for the three months ended March 31, 2024, and 2023, respectively. The decrease in cash flows provided by operating activities is primarily due to lower net income for the three months ended March 31, 2024 compared to the same period in prior year and changes in working capital which reflects the timing impacts of cash collections on receivables and settlement of payables.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$51.6 million for the three months ended March 31, 2024 compared to $239.8 million cash provided by investing activities during the same period in 2023. The change was primarily due to higher cash flows from the sales and maturities of marketable securities in 2023. Proceeds from the sales and maturities of marketable securities in 2023 were used to repay the 2023 Notes at maturity date of April 1, 2023.</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Net cash provided by financing activities were $1.6 million for the three months ended March 31, 2024</w:t>
      </w:r>
      <w:r>
        <w:rPr>
          <w:color w:val="000000"/>
          <w:shd w:fill="FFFFFF" w:val="clear"/>
        </w:rPr>
        <w:t xml:space="preserve"> </w:t>
      </w:r>
      <w:r>
        <w:rPr>
          <w:rFonts w:ascii="Times New Roman;sans-serif" w:hAnsi="Times New Roman;sans-serif"/>
          <w:b w:val="false"/>
          <w:color w:val="000000"/>
          <w:sz w:val="20"/>
          <w:shd w:fill="FFFFFF" w:val="clear"/>
        </w:rPr>
        <w:t>compared to $80.2 million used during</w:t>
      </w:r>
      <w:r>
        <w:rPr>
          <w:color w:val="000000"/>
        </w:rPr>
        <w:t xml:space="preserve"> </w:t>
      </w:r>
      <w:r>
        <w:rPr>
          <w:rFonts w:ascii="Times New Roman;sans-serif" w:hAnsi="Times New Roman;sans-serif"/>
          <w:b w:val="false"/>
          <w:color w:val="000000"/>
          <w:sz w:val="20"/>
        </w:rPr>
        <w:t>the same period in 2023. The change was</w:t>
      </w:r>
      <w:r>
        <w:rPr>
          <w:color w:val="000000"/>
          <w:shd w:fill="FFFFFF" w:val="clear"/>
        </w:rPr>
        <w:t xml:space="preserve"> </w:t>
      </w:r>
      <w:r>
        <w:rPr>
          <w:rFonts w:ascii="Times New Roman;sans-serif" w:hAnsi="Times New Roman;sans-serif"/>
          <w:b w:val="false"/>
          <w:color w:val="000000"/>
          <w:sz w:val="20"/>
          <w:shd w:fill="FFFFFF" w:val="clear"/>
        </w:rPr>
        <w:t>primarily due to the net proceeds from the draw on the line of credit in the first quarter of 2023 which was used to repay the 2023 Notes in April 2023.</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Refer to “Part II, Item 7 — Management’s Discussion and Analysis of Liquidity and Capital Resources”, of our Annual Report on Form 10-K for the year ended December 31, 2023, and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in the Notes to the Condensed Consolidated Financial Statements in Part I, Item 1, Unaudited Condensed Consolidated Financial Statements, of this Quarterly Report on Form 10-Q for the discussion of our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new accounting pronouncements, see Note 2 in the Notes to the Condensed Consolidated Financial Statements in Part I, Item 1, Unaudited Condensed Consolidated Financial Statements, of this Quarterly Report on Form 10-Q.</w:t>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long-term marketable securities. As of March 31, 2024, we had cash and cash equivalents, marketable securities, and long-term marketable securities of $309.4 million. </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credit line agreement with UBS (the "Credit Line") which provides a revolving line of credit of up to $150 million and can be drawn at any time. As of March 31, 2024, there was no outstanding debt under the Credit Line. In the future, we may borrow funds under the Credit Line. Variable rate borrowing, which may occur under the Credit Line, exposes us to interest rate risk as increases in interest rates would increase our borrowing costs.</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currency or derivative financial instruments.</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contract with clinical research organizations (CROs) and investigational sites globally. Currently, we have ongoing clinical trials being conducted outside the U.S. We do not hedge our foreign currency exchange rate risk. Transactions denominated in currencies other than the U.S. dollar are recorded based on exchange rates at the time such transactions arise. As of March 31, 2024 and December 31, 2023, substantially all of our liabilities were denominated in the U.S. dollar.</w:t>
      </w:r>
    </w:p>
    <w:p>
      <w:pPr>
        <w:pStyle w:val="TextBody"/>
        <w:bidi w:val="0"/>
        <w:spacing w:lineRule="auto" w:line="288" w:before="2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the cost of services provided by our vendors. We do not believe that inflation and changing prices over the year ended December 31, 2023, and the three months ended March 31, 2024 had a significant impact on our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March 31, 2024, the end of the period covered by this report. Based on that evaluation, under the supervision and with the participation of our management, including our CEO and CFO, we concluded that our disclosure controls and procedures are effective as of March 31, 2024. </w:t>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CEO and CFO, evaluated changes in our internal control over financial reporting that occurred during the quarter ended March 31, 2024.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no changes occurred in our internal control over financial reporting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Oxtellar XR®</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 Supernus Pharmaceuticals, Inc. v. Ajanta Pharma Limited, C.A. No. 22-cv-1431 (GBW) (D. Del.)</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Ajanta Pharma Limited (“Ajanta”) dated September 19, 2022, directed to ten of its Oxtellar XR® Orange Book patents. Supernus’s U.S. Patent Nos. 7,722,898; 7,910,131; 8,617,600; 8,821,930; 9,119,791; 9,351,975; 9,370,525; 9,855,278; 10,220,042; and 11,166,960 generally cover once-a-day oxcarbazepine formulations and methods of treating seizures using those formulations. The FDA Orange Book lists all ten of the Company’s Oxtellar XR® patents as expiring on April 13, 2027. On October 28, 2022, the Company filed a lawsuit against Ajanta alleging infringement of the Company’s ten Oxtellar XR® patents. The Complaint—filed in the U.S. District Court for the District of Delaware—alleges, inter alia,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3, 2023, Ajanta answered the Complaint and denied the substantive allegations of the Complaint, asserting affirmative defenses that include non-infringement and invalidity. Ajanta also asserted Counterclaims seeking declaratory judgments of non-infringement and invalidity. On January 24, 2023, the Company filed its Reply, denying the substantive allegations of Ajanta’s Counterclaims. The Court issued a Scheduling Order on July 13, 2023, that sets a trial date of February 10, 2025. The Company entered into a settlement agreement with Ajanta, and on January 18, 2024, a stipulation of dismissal without prejudice was entered by the U.S. District Court for the District of Delaware. The agreement has been submitted to the applicable governmental agencies.</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Trokendi XR®</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II. Supernus Pharmaceuticals, Inc. v. Ajanta Pharma Limited, et al., C.A. No. 21-cv-6964 (GC)(DEA) (D.N.J.)</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noBreakHyphen/>
        <w:t xml:space="preserve">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Section III, below. The consolidation order extended the 30</w:t>
        <w:noBreakHyphen/>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III. Supernus Pharmaceuticals, Inc. v. Torrent Pharmaceuticals Ltd., et al., C.A. No. 21-cv-14268 (GC)(DEA) (D.N.J.)</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noBreakHyphen/>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II, above. The Court held a bench trial between July 31, 2023, and August 3, 2023. Closing arguments for the trial were held on October 4, 2023. On December 12, 2023, the Court issued an Order enjoining Torrent from launching its generic drug product through January 31, 2024, or until the Court’s trial decision issues, whichever is sooner. On January 30, 2024, the Court issued a Trial Opinion and Order, deciding in Supernus’s favor that the patent claims that Supernus asserted at trial against Torrent are both valid and infringed. The District Court entered a Final Judgment in Supernus’s favor on February 22, 2024.</w:t>
      </w:r>
    </w:p>
    <w:p>
      <w:pPr>
        <w:pStyle w:val="TextBody"/>
        <w:bidi w:val="0"/>
        <w:spacing w:lineRule="auto" w:line="288" w:before="200" w:after="200"/>
        <w:ind w:left="0" w:right="0" w:firstLine="720"/>
        <w:jc w:val="left"/>
        <w:rPr/>
      </w:pPr>
      <w:r>
        <w:rPr>
          <w:rFonts w:ascii="Times New Roman;sans-serif" w:hAnsi="Times New Roman;sans-serif"/>
          <w:b w:val="false"/>
          <w:color w:val="000000"/>
          <w:sz w:val="20"/>
        </w:rPr>
        <w:t xml:space="preserve">On March 4, 2024, Torrent filed a Notice of Appeal of the Final Judgment with the U.S. Court of Appeals for the Federal Circuit. The Federal Circuit docketed the appeal as </w:t>
      </w:r>
      <w:r>
        <w:rPr>
          <w:rFonts w:ascii="Times New Roman;sans-serif" w:hAnsi="Times New Roman;sans-serif"/>
          <w:b w:val="false"/>
          <w:i/>
          <w:color w:val="000000"/>
          <w:sz w:val="20"/>
        </w:rPr>
        <w:t>Supernus Pharmaceuticals, Inc. v. Ajanta Pharma Limited</w:t>
      </w:r>
      <w:r>
        <w:rPr>
          <w:color w:val="000000"/>
        </w:rPr>
        <w:t xml:space="preserve"> </w:t>
      </w:r>
      <w:r>
        <w:rPr>
          <w:rFonts w:ascii="Times New Roman;sans-serif" w:hAnsi="Times New Roman;sans-serif"/>
          <w:b w:val="false"/>
          <w:color w:val="000000"/>
          <w:sz w:val="20"/>
        </w:rPr>
        <w:t>because the lawsuit against Torrent was consolidated with the lawsuit against Ajanta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Section II above). Torrent’s opening brief for the appeal is due by May 28, 2024.</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IV. Supernus Pharmaceuticals, Inc. v. Ascent Pharmaceuticals Inc., et al., C.A. No. 23-cv-4015 (GC)(DEA) (D.N.J.)</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26, 2023, the Company filed a lawsuit against Ascent Pharmaceuticals Inc., Camber Pharmaceuticals, Inc., and Hetero Labs Ltd. (collectively, “Ascent”) alleging infringement of the Company’s Trokendi XR® Orange Book patents. The Complaint—filed in the U.S. District Court for the District of New Jersey—alleges, inter alia, that Ascent infringed the Company’s Trokendi XR® patents by submitting to the FDA an Abbreviated New Drug Application (“ANDA”) seeking to market a generic version of Trokendi XR® prior to the expiration of the Company’s patents. Filing its July 26, 2023, Complaint within 45 days of receiving Ascent’s Paragraph IV certification notice entitles Supernus to an automatic stay preventing the FDA from approving Ascent’s ANDA for 30 months from the date of the Company’s receipt of the Paragraph IV Notice Letter. On September 28, 2023, the Court entered a stipulation of dismissal without prejudice as to only defendants Camber and Hetero, which included stipulations that, among other things: (i) Ascent Pharma will not contest personal jurisdiction or venue in this District for this Action; (ii) Camber and Hetero will be bound by any injunction in this Action to the extent it concerns the Ascent ANDA; and (iii) Ascent Pharma will collect and produce any relevant discovery that is in the possession, custody, or control of Camber and Hetero. On October 11, 2023, Ascent Pharma answered the Complaint and denied the substantive allegations of the Complaint, asserting affirmative defenses that include non-infringement and invalidity. On November 21, 2023, the Court issued a scheduling order that provides for a Pretrial Conference in July 2025 and a bench trial in July/August 2025. The Company entered into a settlement agreement with Ascent Pharmaceuticals Inc., and on May 2, 2024, a stipulation of dismissal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prejudice was entered by the U.S. District Court for the District of New Jersey. The agreement will be submitted to the applicable governmental agencies. </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APOKYN®</w:t>
      </w:r>
    </w:p>
    <w:p>
      <w:pPr>
        <w:pStyle w:val="TextBody"/>
        <w:bidi w:val="0"/>
        <w:spacing w:lineRule="auto" w:line="288" w:before="200" w:after="20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V. Sage Chemical, Inc., et al. v. Supernus Pharmaceuticals, Inc., et al., C.A. No. 22-cv-1302 (CJB) (D. Del.)</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As of April 12, 2023, briefing on those motions is now complete. Those motions remain pending. On April 10, 2023, the Court issued a scheduling order that provides for a Pretrial Conference on March 7, 2025, and a jury trial beginning on March 24, 2025. Pretrial discovery is ongoing as of the date of this filing.</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Adamas Litigation</w:t>
      </w:r>
    </w:p>
    <w:p>
      <w:pPr>
        <w:pStyle w:val="TextBody"/>
        <w:bidi w:val="0"/>
        <w:spacing w:lineRule="auto" w:line="288" w:before="200" w:after="200"/>
        <w:ind w:left="0" w:right="0" w:firstLine="8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ans-serif" w:hAnsi="Times New Roman;sans-serif"/>
          <w:b w:val="false"/>
          <w:color w:val="000000"/>
          <w:sz w:val="20"/>
        </w:rPr>
        <w:t xml:space="preserve">claims which were dismissed without prejudice. On April 19, 2023, the plaintiff appealed the District Court's dismissal of the Federal False Claims Act claim. </w:t>
      </w:r>
      <w:r>
        <w:rPr>
          <w:rFonts w:ascii="Times New Roman;sans-serif" w:hAnsi="Times New Roman;sans-serif"/>
          <w:b w:val="false"/>
          <w:color w:val="333333"/>
          <w:sz w:val="20"/>
          <w:shd w:fill="FFFFFF" w:val="clear"/>
        </w:rPr>
        <w:t>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plaintiff’s appeal remains pending in the United States Court of Appeals for the Ninth Circuit</w:t>
      </w:r>
      <w:r>
        <w:rPr>
          <w:rFonts w:ascii="Times New Roman;sans-serif" w:hAnsi="Times New Roman;sans-serif"/>
          <w:b w:val="false"/>
          <w:color w:val="000000"/>
          <w:sz w:val="20"/>
        </w:rPr>
        <w:t>.</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All claims against Adamas have been dismissed with prejudice, but claims against one of the individual defendants, who may have certain rights to indemnification, remain. On February 27, 2023, plaintiffs advised the Court that plaintiffs would proceed only on the remaining claim against one of the individual defendants. The individual defendant filed an answer denying the claim on April 28, 2023. On September 21, 2023, the parties reached an agreement in principle to settle the Zaidi litigation, subject to court approval. On October 31, 2023, the Court granted the parties' stipulation staying all proceedings and vacating all existing deadlines. On April 2, 2024, the Court preliminary approved the settlement of the case, including a $4.7 million payment from insurers, subject to further consideration at a settlement hearing to be held on August 30, 2024.</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Adamas believes it has strong factual and legal defenses to all actions and intends to defend itself vigorously.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2023 and quarterly report on Form 10-Q for the period ended March 31, 2024. These risks may result in material harm to our business and our financial condition and results of operations. If a material, adverse event was to occur, the market price of our common stock may decline, and you could lose part or all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    Sales of Unregistered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all of the Company's grants of equity awards occurred pursuant to its 2021 Equity Incentive Plan (the "2021 Plan"). Securities issued under the 2021 Plan are registered on the Company's Form S-8 filed on June 25,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     None.</w:t>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(b)    None.</w:t>
      </w:r>
    </w:p>
    <w:p>
      <w:pPr>
        <w:pStyle w:val="TextBody"/>
        <w:bidi w:val="0"/>
        <w:spacing w:lineRule="auto" w:line="288" w:before="2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    Insider Trading Arrangements and Policies.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insider trading arrangements adopted or terminated during the quarter.</w:t>
      </w:r>
    </w:p>
    <w:p>
      <w:pPr>
        <w:pStyle w:val="TextBody"/>
        <w:bidi w:val="0"/>
        <w:spacing w:before="200" w:after="283"/>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200" w:after="283"/>
        <w:ind w:left="0" w:right="0" w:hanging="720"/>
        <w:jc w:val="left"/>
        <w:rPr/>
      </w:pPr>
      <w:r>
        <w:rPr/>
      </w:r>
    </w:p>
    <w:p>
      <w:pPr>
        <w:pStyle w:val="TextBody"/>
        <w:bidi w:val="0"/>
        <w:spacing w:before="20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or furnished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816"/>
        <w:gridCol w:w="2617"/>
        <w:gridCol w:w="373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supn-20240331x10qxex311.htm">
              <w:r>
                <w:rPr>
                  <w:rStyle w:val="InternetLink"/>
                  <w:rFonts w:ascii="Times New Roman;sans-serif" w:hAnsi="Times New Roman;sans-serif"/>
                  <w:b w:val="false"/>
                  <w:color w:val="0000FF"/>
                  <w:sz w:val="20"/>
                  <w:u w:val="single"/>
                </w:rPr>
                <w:t>Certification of Chief Executive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40331x10qxex312.htm">
              <w:r>
                <w:rPr>
                  <w:rStyle w:val="InternetLink"/>
                  <w:rFonts w:ascii="Times New Roman;sans-serif" w:hAnsi="Times New Roman;sans-serif"/>
                  <w:b w:val="false"/>
                  <w:color w:val="0000FF"/>
                  <w:sz w:val="20"/>
                  <w:u w:val="single"/>
                </w:rPr>
                <w:t>Certification of Chief Financial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40331x10q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20240331x10q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March 31, 2024,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the Company’s Quarterly Report on Form 10-Q for the quarter ended March 31, 2024, formatted in Inline XBRL (included with the Exhibit 101 attachments).</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b4ae12229ad4d8d9d912a726e2d91f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703" w:type="dxa"/>
        <w:jc w:val="left"/>
        <w:tblInd w:w="0" w:type="dxa"/>
        <w:tblLayout w:type="fixed"/>
        <w:tblCellMar>
          <w:top w:w="28" w:type="dxa"/>
          <w:left w:w="28" w:type="dxa"/>
          <w:bottom w:w="28" w:type="dxa"/>
          <w:right w:w="28" w:type="dxa"/>
        </w:tblCellMar>
      </w:tblPr>
      <w:tblGrid>
        <w:gridCol w:w="689"/>
        <w:gridCol w:w="606"/>
        <w:gridCol w:w="609"/>
        <w:gridCol w:w="548"/>
        <w:gridCol w:w="548"/>
        <w:gridCol w:w="548"/>
        <w:gridCol w:w="1212"/>
        <w:gridCol w:w="1212"/>
        <w:gridCol w:w="1731"/>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SUPERNUS PHARMACEUTICALS, INC.</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2024</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A. Khattar</w:t>
              <w:br/>
              <w:t>President and Chief Executive Officer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8, 2024</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C. Dec</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C. Dec</w:t>
              <w:br/>
              <w:t>Senior Vice-President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Jack A. Khattar, certify that: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1.</w:t>
      </w:r>
      <w:r>
        <w:rPr>
          <w:rFonts w:ascii="Times New Roman;sans-serif" w:hAnsi="Times New Roman;sans-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9" w:type="dxa"/>
        <w:jc w:val="left"/>
        <w:tblInd w:w="0" w:type="dxa"/>
        <w:tblLayout w:type="fixed"/>
        <w:tblCellMar>
          <w:top w:w="28" w:type="dxa"/>
          <w:left w:w="28" w:type="dxa"/>
          <w:bottom w:w="28" w:type="dxa"/>
          <w:right w:w="28" w:type="dxa"/>
        </w:tblCellMar>
      </w:tblPr>
      <w:tblGrid>
        <w:gridCol w:w="525"/>
        <w:gridCol w:w="463"/>
        <w:gridCol w:w="466"/>
        <w:gridCol w:w="120"/>
        <w:gridCol w:w="120"/>
        <w:gridCol w:w="120"/>
        <w:gridCol w:w="830"/>
        <w:gridCol w:w="830"/>
        <w:gridCol w:w="1175"/>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Jack A. Khattar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Timothy C. Dec, certify that: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1.</w:t>
      </w:r>
      <w:r>
        <w:rPr>
          <w:rFonts w:ascii="Times New Roman;sans-serif" w:hAnsi="Times New Roman;sans-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ans-serif" w:hAnsi="Times New Roman;sans-serif"/>
          <w:b w:val="false"/>
          <w:color w:val="000000"/>
          <w:sz w:val="18"/>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88" w:type="dxa"/>
        <w:jc w:val="left"/>
        <w:tblInd w:w="0" w:type="dxa"/>
        <w:tblLayout w:type="fixed"/>
        <w:tblCellMar>
          <w:top w:w="28" w:type="dxa"/>
          <w:left w:w="28" w:type="dxa"/>
          <w:bottom w:w="28" w:type="dxa"/>
          <w:right w:w="28" w:type="dxa"/>
        </w:tblCellMar>
      </w:tblPr>
      <w:tblGrid>
        <w:gridCol w:w="525"/>
        <w:gridCol w:w="463"/>
        <w:gridCol w:w="466"/>
        <w:gridCol w:w="120"/>
        <w:gridCol w:w="120"/>
        <w:gridCol w:w="120"/>
        <w:gridCol w:w="1070"/>
        <w:gridCol w:w="1070"/>
        <w:gridCol w:w="1534"/>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Timothy C. Dec</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Vice President and Chief Financial Officer</w:t>
            </w:r>
          </w:p>
        </w:tc>
      </w:tr>
    </w:tbl>
    <w:p>
      <w:pPr>
        <w:pStyle w:val="TextBody"/>
        <w:bidi w:val="0"/>
        <w:spacing w:before="200" w:after="283"/>
        <w:ind w:left="0" w:right="0" w:hanging="3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Supernus Pharmaceuticals, Inc. (the “Company”) on Form 10-Q for the period ended March 31, 2024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4649" w:type="dxa"/>
        <w:jc w:val="left"/>
        <w:tblInd w:w="0" w:type="dxa"/>
        <w:tblLayout w:type="fixed"/>
        <w:tblCellMar>
          <w:top w:w="28" w:type="dxa"/>
          <w:left w:w="28" w:type="dxa"/>
          <w:bottom w:w="28" w:type="dxa"/>
          <w:right w:w="28" w:type="dxa"/>
        </w:tblCellMar>
      </w:tblPr>
      <w:tblGrid>
        <w:gridCol w:w="525"/>
        <w:gridCol w:w="463"/>
        <w:gridCol w:w="466"/>
        <w:gridCol w:w="120"/>
        <w:gridCol w:w="120"/>
        <w:gridCol w:w="120"/>
        <w:gridCol w:w="830"/>
        <w:gridCol w:w="830"/>
        <w:gridCol w:w="1175"/>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Jack A. Khattar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Supernus Pharmaceuticals, Inc. (the “Company”) on Form 10-Q for the period ended March 31, 2024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5488" w:type="dxa"/>
        <w:jc w:val="left"/>
        <w:tblInd w:w="0" w:type="dxa"/>
        <w:tblLayout w:type="fixed"/>
        <w:tblCellMar>
          <w:top w:w="28" w:type="dxa"/>
          <w:left w:w="28" w:type="dxa"/>
          <w:bottom w:w="28" w:type="dxa"/>
          <w:right w:w="28" w:type="dxa"/>
        </w:tblCellMar>
      </w:tblPr>
      <w:tblGrid>
        <w:gridCol w:w="525"/>
        <w:gridCol w:w="463"/>
        <w:gridCol w:w="466"/>
        <w:gridCol w:w="120"/>
        <w:gridCol w:w="120"/>
        <w:gridCol w:w="120"/>
        <w:gridCol w:w="1070"/>
        <w:gridCol w:w="1070"/>
        <w:gridCol w:w="1534"/>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8, 2024</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Timothy C. Dec</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br/>
              <w:t>Senior Vice President and Chief Financial Officer</w:t>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17411</Words>
  <Characters>97468</Characters>
  <CharactersWithSpaces>113755</CharactersWithSpaces>
  <Paragraphs>1964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