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8, 2022</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28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spacing w:after="0"/>
              <w:rPr>
                <w:sz w:val="24"/>
                <w:szCs w:val="24"/>
                <w:color w:val="auto"/>
              </w:rPr>
            </w:pPr>
          </w:p>
        </w:tc>
        <w:tc>
          <w:tcPr>
            <w:tcW w:w="25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001-35518</w:t>
            </w:r>
          </w:p>
        </w:tc>
        <w:tc>
          <w:tcPr>
            <w:tcW w:w="2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20-2590184</w:t>
            </w:r>
          </w:p>
        </w:tc>
        <w:tc>
          <w:tcPr>
            <w:tcW w:w="0" w:type="dxa"/>
            <w:vAlign w:val="bottom"/>
          </w:tcPr>
          <w:p>
            <w:pPr>
              <w:spacing w:after="0"/>
              <w:rPr>
                <w:sz w:val="1"/>
                <w:szCs w:val="1"/>
                <w:color w:val="auto"/>
              </w:rPr>
            </w:pPr>
          </w:p>
        </w:tc>
      </w:tr>
      <w:tr>
        <w:trPr>
          <w:trHeight w:val="189"/>
        </w:trPr>
        <w:tc>
          <w:tcPr>
            <w:tcW w:w="3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150"/>
              <w:spacing w:after="0" w:line="189"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9715 Key West Ave</w:t>
            </w:r>
          </w:p>
        </w:tc>
        <w:tc>
          <w:tcPr>
            <w:tcW w:w="15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Rockville</w:t>
            </w:r>
          </w:p>
        </w:tc>
        <w:tc>
          <w:tcPr>
            <w:tcW w:w="25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MD</w:t>
            </w:r>
          </w:p>
        </w:tc>
        <w:tc>
          <w:tcPr>
            <w:tcW w:w="28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3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300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4"/>
        </w:trPr>
        <w:tc>
          <w:tcPr>
            <w:tcW w:w="43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SUPN</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20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4" w:lineRule="exact"/>
        <w:rPr>
          <w:sz w:val="24"/>
          <w:szCs w:val="24"/>
          <w:color w:val="auto"/>
        </w:rPr>
      </w:pPr>
    </w:p>
    <w:p>
      <w:pPr>
        <w:ind w:right="360"/>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65"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86" w:right="49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November 8, 2022, Supernus Pharmaceuticals, Inc. (“Supernus” or the “Company”) issued a press release regarding its financial results for the third quarter ended September 30, 2022. A copy of this press release is furnished as Exhibit 99.1 hereto and is incorporated herein by reference.</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previously announced, Supernus is hosting a conference call at 4:30 p.m. Eastern Time on Tuesday, November 8, 2022, to present the business and financial results. A live webcast is available at </w:t>
      </w:r>
      <w:r>
        <w:rPr>
          <w:rFonts w:ascii="Times New Roman" w:cs="Times New Roman" w:eastAsia="Times New Roman" w:hAnsi="Times New Roman"/>
          <w:sz w:val="18"/>
          <w:szCs w:val="18"/>
          <w:u w:val="single" w:color="auto"/>
          <w:color w:val="0000FF"/>
        </w:rPr>
        <w:t>www.supernus.com</w:t>
      </w:r>
      <w:r>
        <w:rPr>
          <w:rFonts w:ascii="Times New Roman" w:cs="Times New Roman" w:eastAsia="Times New Roman" w:hAnsi="Times New Roman"/>
          <w:sz w:val="18"/>
          <w:szCs w:val="18"/>
          <w:color w:val="auto"/>
        </w:rPr>
        <w:t>. The webcast will be archived on the Company’s website for 60 days following the live call.</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whether made before or after the date of this report, except as shall be expressly set forth by specific reference in such filing.</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do not convey historical information, but relate to predicted or potential future events, such as statements of our plans, strategies and intentions. These statements can often be identified by the use of forward-looking terminology such as “believe,” “expect,” “intend,” “may,” “will,” “should,” or “anticipate” or similar terminology. All statements other than statements of historical facts included in this Current Report on Form 8-K are forward-looking statements. All forward-looking statements speak only as of the date of this Current Report on Form 8-K. Except for Supernus’ ongoing obligations to disclose material information under the federal securities laws, Supernus undertakes no obligation to update or revise any forward-looking statements, whether as a result of new information, future events or otherwise. In addition to the risks and uncertainties of ordinary business operations and conditions in the general economy and the markets in which Supernus competes, the forward-looking statements of Supernus contained in this Current Report on Form 8-K are also subject to various risks and uncertainties, including those set forth in Item 1A, “Risk Factors,” in Supernus’ Annual Report on Form 10-K for the fiscal year ended December 31, 2021 which the Company filed on April 13, 2022, and other risk factors set forth from time to time in the Company’s filings with the Securities and Exchange Commission made pursuant to Section 13 or 15(d) of the Securities Exchange Act of 1934, as amended.</w:t>
      </w:r>
    </w:p>
    <w:p>
      <w:pPr>
        <w:spacing w:after="0" w:line="21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99.1 — </w:t>
      </w:r>
      <w:r>
        <w:rPr>
          <w:rFonts w:ascii="Times New Roman" w:cs="Times New Roman" w:eastAsia="Times New Roman" w:hAnsi="Times New Roman"/>
          <w:sz w:val="18"/>
          <w:szCs w:val="18"/>
          <w:u w:val="single" w:color="auto"/>
          <w:color w:val="0000FF"/>
        </w:rPr>
        <w:t>Press Release Dated November 8, 2022</w:t>
      </w:r>
      <w:r>
        <w:rPr>
          <w:rFonts w:ascii="Times New Roman" w:cs="Times New Roman" w:eastAsia="Times New Roman" w:hAnsi="Times New Roman"/>
          <w:sz w:val="18"/>
          <w:szCs w:val="18"/>
          <w:color w:val="auto"/>
        </w:rPr>
        <w:t xml:space="preserve"> furnished as an Exhibit pursuant to Item 2.02 hereof.</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104 — The cover page from this Current Report on Form 8-K, formatted in Inline XBRL.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52" w:lineRule="exact"/>
        <w:rPr>
          <w:sz w:val="20"/>
          <w:szCs w:val="20"/>
          <w:color w:val="auto"/>
        </w:rPr>
      </w:pPr>
    </w:p>
    <w:p>
      <w:pPr>
        <w:jc w:val="both"/>
        <w:ind w:right="120" w:firstLine="8"/>
        <w:spacing w:after="0" w:line="261" w:lineRule="auto"/>
        <w:tabs>
          <w:tab w:leader="none" w:pos="1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furnished under Item 2.02 and Item 9.01 of this Current Report on Form 8-K, including the exhibits, shall not be deemed "filed" for purposes of Section 18 of the Securities Exchange act of 1934, as amended, or otherwise subject to liabilities under that section, nor shall it be deemed incorporated by reference in any registration statement or other filings of the Company under the Securities act of 1933, as amended, except as shall be set forth by specific reference in such filing.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SUPERNUS PHARMACEUTICALS, INC.</w:t>
            </w:r>
          </w:p>
        </w:tc>
      </w:tr>
      <w:tr>
        <w:trPr>
          <w:trHeight w:val="45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8, 2022</w:t>
            </w:r>
          </w:p>
        </w:tc>
        <w:tc>
          <w:tcPr>
            <w:tcW w:w="7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Timothy Dec</w:t>
            </w:r>
          </w:p>
        </w:tc>
      </w:tr>
      <w:tr>
        <w:trPr>
          <w:trHeight w:val="218"/>
        </w:trPr>
        <w:tc>
          <w:tcPr>
            <w:tcW w:w="3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Timothy Dec</w:t>
            </w:r>
          </w:p>
        </w:tc>
      </w:tr>
      <w:tr>
        <w:trPr>
          <w:trHeight w:val="234"/>
        </w:trPr>
        <w:tc>
          <w:tcPr>
            <w:tcW w:w="3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88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2318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318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Supernus Announces Third Quarter 2022 Financial Results</w:t>
      </w: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2022 total revenues of $177.4 million, a 19% increase compared to third quarter 2021</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full year 2022 operating earnings guidance to $35 million to $45 million, from $20 million to $40 million previously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full year 2022 total revenues guidance to $650 million to $680 million, from $640 million to $680 million previously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 continued its growth trajectory, with 94,328 prescriptions in third quarter 2022, a 50% increase compared to second quarter 2022</w:t>
      </w:r>
    </w:p>
    <w:p>
      <w:pPr>
        <w:spacing w:after="0" w:line="19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2022 Qelbree net product sales of $18.3 million increased 65% compared to second quarter of 2022; First nine months 2022 Qelbree net product sales were $37.7 million</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2022 GOCOVRI® net product sales of $27.9 million increased 16% compared to net product sales reported by Adamas Pharmaceuticals, Inc. (Adamas) in third quarter of 2021; First nine months 2022 GOCOVRI net product sales of $75.2 million increased 22% compared to net product sales reported by Adamas in the first nine months of 2021</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ROCKVILLE, MD, November 8, 2022 </w:t>
      </w:r>
      <w:r>
        <w:rPr>
          <w:rFonts w:ascii="Times New Roman" w:cs="Times New Roman" w:eastAsia="Times New Roman" w:hAnsi="Times New Roman"/>
          <w:sz w:val="18"/>
          <w:szCs w:val="18"/>
          <w:color w:val="auto"/>
        </w:rPr>
        <w:t>– Supernus Pharmaceuticals, Inc. (Nasdaq: SUPN), a biopharmaceutical company focused on developing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commercializing products for the treatment of central nervous system (CNS) diseases, today announced financial results for the third quarter of 2022, and associated Company developments.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Qelbree Launch Update</w:t>
      </w:r>
    </w:p>
    <w:p>
      <w:pPr>
        <w:spacing w:after="0" w:line="189"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IQVIA prescriptions were 94,328 in the third quarter of 2022, an increase of 50% compared to total prescriptions of 62,938 in the second quarter of 2022. In September 2022, the most recent month available, total prescriptions reached 34,633.</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 continues to expand its base of prescribers, with approximately 14,265 prescribers in the third quarter of 2022, up from 9,276 prescribers from the second quarter of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Pipeline Update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SPN-830 (apomorphine infusion device) - Continuous treatment of motor fluctuations (“off” episodes) in Parkinson's disease (PD)</w:t>
      </w:r>
    </w:p>
    <w:p>
      <w:pPr>
        <w:spacing w:after="0" w:line="187" w:lineRule="exact"/>
        <w:rPr>
          <w:sz w:val="20"/>
          <w:szCs w:val="20"/>
          <w:color w:val="auto"/>
        </w:rPr>
      </w:pPr>
    </w:p>
    <w:p>
      <w:pPr>
        <w:jc w:val="both"/>
        <w:ind w:left="660" w:hanging="328"/>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the Company announced the U.S. Food and Drug Administration (FDA) issued a Complete Response Letter (CRL) for the SPN-830 New Drug Application (NDA). The CRL does not request additional efficacy and safety clinical studies, but rather requires additional information and analysis related to the infusion device and drug product across several areas of the NDA, including labeling, product quality and manufacturing, device performance and risk analysis. In addition, the FDA mentions that approval of the NDA requires inspections that could not be completed in a timely manner due to COVID-19 travel restrictions. Supernus will continue to work closely with its partners and the FDA to address all questions, and when possible, provide clarity regarding the potential timing of a resubmission of the NDA. The FDA has made an initial determination that the amendment to the Company’s application in response to the CRL will be subject to a Class 2, or six-month, review timeline.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 Novel first-in-class activator of mTORC1</w:t>
      </w:r>
    </w:p>
    <w:p>
      <w:pPr>
        <w:spacing w:after="0" w:line="187"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II multi-center, randomized double-blind placebo-controlled parallel design study of SPN-820 in adults with treatment-resistant depression is ongoing. The study will examine the efficacy and safety of SPN-820 over a course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ind w:left="660"/>
        <w:spacing w:after="0" w:line="282" w:lineRule="auto"/>
        <w:rPr>
          <w:sz w:val="20"/>
          <w:szCs w:val="20"/>
          <w:color w:val="auto"/>
        </w:rPr>
      </w:pPr>
      <w:r>
        <w:rPr>
          <w:rFonts w:ascii="Times New Roman" w:cs="Times New Roman" w:eastAsia="Times New Roman" w:hAnsi="Times New Roman"/>
          <w:sz w:val="18"/>
          <w:szCs w:val="18"/>
          <w:color w:val="auto"/>
        </w:rPr>
        <w:t>five weeks of treatment in approximately 270 patients. The primary outcome measure is the change from baseline to end of treatment period on the Montgomery-Asberg Depression Rating Scale (MADRS) Total Score, a standard depression rating scale.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 A novel product candidate for the treatment of epilepsy</w:t>
      </w:r>
    </w:p>
    <w:p>
      <w:pPr>
        <w:spacing w:after="0" w:line="18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open-label Phase II clinical study of SPN-817 in patients with treatment-resistant seizures is expected to start in the fourth quarter of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Product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net product sales were $172.7 million, a 19% increase over net product sales of $145.5 million for the same period in 2021. For the nine months ended September 30, 2022, net product sales were $485.6 million, an 18% increase over net product sales of $412.5 million for the same period in 2021. The increases in both periods were primarily due to net product sales of GOCOVRI and growth in net product sales of Qelbree and Oxtellar XR.</w:t>
      </w:r>
    </w:p>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regarding net product sales during the three and nine months ended September 30, 2022 and 2021 (dollars in millions):</w:t>
      </w: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4"/>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4"/>
          </w:tcPr>
          <w:p>
            <w:pPr>
              <w:jc w:val="right"/>
              <w:ind w:right="592"/>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3"/>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Trokendi XR</w:t>
            </w:r>
            <w:r>
              <w:rPr>
                <w:rFonts w:ascii="Times New Roman" w:cs="Times New Roman" w:eastAsia="Times New Roman" w:hAnsi="Times New Roman"/>
                <w:sz w:val="23"/>
                <w:szCs w:val="23"/>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Oxtellar XR</w:t>
            </w:r>
            <w:r>
              <w:rPr>
                <w:rFonts w:ascii="Times New Roman" w:cs="Times New Roman" w:eastAsia="Times New Roman" w:hAnsi="Times New Roman"/>
                <w:sz w:val="23"/>
                <w:szCs w:val="23"/>
                <w:color w:val="auto"/>
                <w:vertAlign w:val="superscript"/>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GOCOVRI</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APOKYN</w:t>
            </w:r>
            <w:r>
              <w:rPr>
                <w:rFonts w:ascii="Times New Roman" w:cs="Times New Roman" w:eastAsia="Times New Roman" w:hAnsi="Times New Roman"/>
                <w:sz w:val="23"/>
                <w:szCs w:val="23"/>
                <w:color w:val="auto"/>
                <w:vertAlign w:val="superscript"/>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18%</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ind w:left="340" w:hanging="170"/>
        <w:spacing w:after="0" w:line="228" w:lineRule="auto"/>
        <w:tabs>
          <w:tab w:leader="none" w:pos="3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acquired Adamas Pharmaceuticals, Inc. in November 2021 (the "Adamas Acquisition").</w:t>
      </w:r>
    </w:p>
    <w:p>
      <w:pPr>
        <w:ind w:left="340" w:hanging="170"/>
        <w:spacing w:after="0" w:line="183" w:lineRule="auto"/>
        <w:tabs>
          <w:tab w:leader="none" w:pos="3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product sales of 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and Osmolex 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 Not meaningful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 (GAAP and non-GAAP)</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operating loss (GAAP) was $1.5 million, as compared to operating earnings (GAAP) of $32.6 million for the same period in 2021. For the nine months ended September 30, 2022 operating earnings (GAAP) were $11.8 million, as compared to $79.9 million for the same period in 2021. The decreases in both periods were primarily due to activities to support the launch of Qelbree to the adult population, the Qelbree direct-to-consumer campaign, which substantially occurred in the third quarter of 2022, and amortization of acquired intangible assets from the Adamas Acquisition.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adjusted operating earnings (non-GAAP) were $25.4 million, compared to $43.3 million in the third quarter of 2021. For the nine months ended September 30, 2022, adjusted operating earnings (non-GAAP) were $91.1 million, compared to $106.0 million for the same period of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Adjustments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itemized reconciliation between operating earnings on a GAAP basis and operating earnings on a non-GAAP basis is as follows (dollars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2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 (loss) - As Reported (GAAP)</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0"/>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 expense (gain)</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5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 - As Adjusted (non-GAAP)</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operating earnings adjusts for non-cash items including amortization of intangible assets, share-based compensation expense, change in fair value of contingent consideration, and depreciation. The increase in amortization of intangible assets for the three and nine months period ended September 30, 2022 was due to the amortization of acquired intangible assets from the Adamas Acquisition in November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(GAAP)</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net earnings (GAAP) and diluted earnings per share (GAAP) were $1.7 million and $0.03, respectively, as compared to $21.6 million, or $0.40 per diluted share, in the same period in 2021.</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net earnings (GAAP) and diluted earnings per share (GAAP) were $35.2 million and $0.62, respectively, as compared to $51.0 million, or $0.94 per diluted share, in the same period in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2022, the Company’s cash, cash equivalents, current and long-term marketable securities are approximately $523.7 million, compared to $458.8 million as of December 31, 2021. This increase was primarily due to cash generated from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2022 Financial Guidance (GAAP)</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full year 2022, the Company is raising the midpoint and narrowing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8"/>
          <w:szCs w:val="18"/>
          <w:color w:val="auto"/>
        </w:rPr>
        <w:t xml:space="preserve"> expected ranges of full year 2022 financial guidance for total revenues and operating earnings (GAAP). The Company’s revised full-year 2022 financial guidance is set forth below (dollars in millions):</w:t>
      </w:r>
    </w:p>
    <w:p>
      <w:pPr>
        <w:spacing w:after="0" w:line="163"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revenues </w:t>
            </w:r>
            <w:r>
              <w:rPr>
                <w:rFonts w:ascii="Times New Roman" w:cs="Times New Roman" w:eastAsia="Times New Roman" w:hAnsi="Times New Roman"/>
                <w:sz w:val="23"/>
                <w:szCs w:val="23"/>
                <w:color w:val="auto"/>
                <w:vertAlign w:val="superscript"/>
              </w:rPr>
              <w:t>(1)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$680</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R&amp;D and SG&amp;A 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$475</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earnings </w:t>
            </w:r>
            <w:r>
              <w:rPr>
                <w:rFonts w:ascii="Times New Roman" w:cs="Times New Roman" w:eastAsia="Times New Roman" w:hAnsi="Times New Roman"/>
                <w:sz w:val="23"/>
                <w:szCs w:val="23"/>
                <w:color w:val="auto"/>
                <w:vertAlign w:val="superscript"/>
              </w:rPr>
              <w:t>(2)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ind w:left="340" w:hanging="170"/>
        <w:spacing w:after="0" w:line="232" w:lineRule="auto"/>
        <w:tabs>
          <w:tab w:leader="none" w:pos="3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product sales and royalty revenue.</w:t>
      </w:r>
    </w:p>
    <w:p>
      <w:pPr>
        <w:spacing w:after="0" w:line="10" w:lineRule="exact"/>
        <w:rPr>
          <w:rFonts w:ascii="Times New Roman" w:cs="Times New Roman" w:eastAsia="Times New Roman" w:hAnsi="Times New Roman"/>
          <w:sz w:val="21"/>
          <w:szCs w:val="21"/>
          <w:color w:val="auto"/>
          <w:vertAlign w:val="superscript"/>
        </w:rPr>
      </w:pPr>
    </w:p>
    <w:p>
      <w:pPr>
        <w:ind w:left="340" w:hanging="170"/>
        <w:spacing w:after="0" w:line="191" w:lineRule="auto"/>
        <w:tabs>
          <w:tab w:leader="none" w:pos="3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of intangible assets and contingent consideration expense (gain).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6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Full Year 2022 Financial Guidance - GAAP to Non-GAAP Adjustments</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An itemized reconciliation between projected operating earnings on a GAAP basis and projected operating earnings on a non-GAAP basis is as follows (dollars in millions):</w:t>
      </w:r>
    </w:p>
    <w:p>
      <w:pPr>
        <w:spacing w:after="0" w:line="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 - GAAP</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w:t>
            </w:r>
          </w:p>
        </w:tc>
      </w:tr>
      <w:tr>
        <w:trPr>
          <w:trHeight w:val="229"/>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$84</w:t>
            </w:r>
          </w:p>
        </w:tc>
      </w:tr>
      <w:tr>
        <w:trPr>
          <w:trHeight w:val="229"/>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w:t>
            </w:r>
          </w:p>
        </w:tc>
      </w:tr>
      <w:tr>
        <w:trPr>
          <w:trHeight w:val="23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w:t>
            </w:r>
          </w:p>
        </w:tc>
      </w:tr>
      <w:tr>
        <w:trPr>
          <w:trHeight w:val="229"/>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 - non-GAAP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$155</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a financial measure, non-GAAP operating earnings, which does not comply with United States generally accepted accounting principles (GAAP). The non-GAAP financial measure should be considered in addition to, not as a substitute for or in isolation from, or superior to measures prepared in accordance with GAAP. Non-GAAP operating earnings adjusts for non-cash share-based compensation expense, depreciation and amortization, and accretion of contingent consideration, and for factors that are unusual, non-recurring or unpredictable, and excludes those costs, expenses, and other specified items presented in the reconciliation tables in this press release. We believe the use of non-GAAP operating earnings is useful supplemental information to investors regarding the Company’s results of operations and assist management, analysts, and investors in evaluating the performance of the business. There are limitations associated with the use of non-GAAP financial measures. Including such measures may not be entirely comparable to similarly titled measures used by other companies, may not reflect all items of income and expense, as applicable, that affect our operations, potential differences among calculation methodologies, may differ from the non-GAAP information used by other companies, including peer companies, and therefore comparability may be limited. We mitigate these limitations by reconciling the non-GAAP financial measure to the most comparable GAAP financial measure. Investors are encouraged to review the reconciliation. The Company’s 2022 financial guidance is also being provided on both a reported and a non-GAAP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will host a conference call and webcast today, November 8, 2022, at 4:30 p.m. Eastern Time to discuss these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webcast will be available in the </w:t>
      </w:r>
      <w:r>
        <w:rPr>
          <w:rFonts w:ascii="Times New Roman" w:cs="Times New Roman" w:eastAsia="Times New Roman" w:hAnsi="Times New Roman"/>
          <w:sz w:val="18"/>
          <w:szCs w:val="18"/>
          <w:color w:val="0000FF"/>
        </w:rPr>
        <w:t>Events &amp; Presentations</w:t>
      </w:r>
      <w:r>
        <w:rPr>
          <w:rFonts w:ascii="Times New Roman" w:cs="Times New Roman" w:eastAsia="Times New Roman" w:hAnsi="Times New Roman"/>
          <w:sz w:val="18"/>
          <w:szCs w:val="18"/>
          <w:color w:val="auto"/>
        </w:rPr>
        <w:t xml:space="preserve"> section of the Company’s Investor Relations website </w:t>
      </w:r>
      <w:r>
        <w:rPr>
          <w:rFonts w:ascii="Times New Roman" w:cs="Times New Roman" w:eastAsia="Times New Roman" w:hAnsi="Times New Roman"/>
          <w:sz w:val="18"/>
          <w:szCs w:val="18"/>
          <w:color w:val="0000FF"/>
        </w:rPr>
        <w:t>www.supernus.com/investors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Participants may also pre-register any time before the call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auto"/>
        </w:rPr>
        <w:t>. Once registration is completed, participants will be provided a dial-in number with a personalized conference code to access the call. Please dial in 15 minutes prior to the start time.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Following the live call, a replay will be available on the Company's Investor Relations website </w:t>
      </w:r>
      <w:r>
        <w:rPr>
          <w:rFonts w:ascii="Times New Roman" w:cs="Times New Roman" w:eastAsia="Times New Roman" w:hAnsi="Times New Roman"/>
          <w:sz w:val="18"/>
          <w:szCs w:val="18"/>
          <w:color w:val="0000FF"/>
        </w:rPr>
        <w:t>www.supernus.com/investors</w:t>
      </w:r>
      <w:r>
        <w:rPr>
          <w:rFonts w:ascii="Times New Roman" w:cs="Times New Roman" w:eastAsia="Times New Roman" w:hAnsi="Times New Roman"/>
          <w:sz w:val="18"/>
          <w:szCs w:val="18"/>
          <w:color w:val="auto"/>
        </w:rPr>
        <w:t>. The webcast will be available on the Company’s website for 60 days following the live call.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Supernus Pharmaceuticals, Inc.</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Supernus Pharmaceuticals is a biopharmaceutical company focused on developing and commercializing products for the treatment of central nervous system (CNS) diseases.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diverse neuroscience portfolio includes approved treatments for epilepsy, migraine, ADHD, hypomobility in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0E32E1"/>
        </w:rPr>
        <w:t>www.supernus.com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the Company’s ability to increase its net revenue; the Company’s ability to commercialize its products including Qelbree;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 candidates; the Company’s ability to increase its manufacturing capabilities for its products and product candidates; the Company’s projected markets and growth in markets; the Company’s product formulations and patient needs and potential funding sources; the Company’s staffing needs; the Company’s ability to increase the number of prescriptions written for each of its products and the products of Adamas; the Company’s ability to increase its net revenue from its products and the products of Adamas;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6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8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203,434</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136,246</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148,932</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85,959</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27,019</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601,590</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784,693</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117,516</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49,232</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1,689,152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117,683</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132,724</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r>
      <w:tr>
        <w:trPr>
          <w:trHeight w:val="230"/>
        </w:trPr>
        <w:tc>
          <w:tcPr>
            <w:tcW w:w="85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Convertible notes, net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20,132</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315,379</w:t>
            </w:r>
          </w:p>
        </w:tc>
      </w:tr>
      <w:tr>
        <w:trPr>
          <w:trHeight w:val="230"/>
        </w:trPr>
        <w:tc>
          <w:tcPr>
            <w:tcW w:w="85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Convertible notes, net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379,252</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35,637</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41,298</w:t>
            </w:r>
          </w:p>
        </w:tc>
      </w:tr>
      <w:tr>
        <w:trPr>
          <w:trHeight w:val="230"/>
        </w:trPr>
        <w:tc>
          <w:tcPr>
            <w:tcW w:w="85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Deferred income tax liabilities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85,355</w:t>
            </w:r>
          </w:p>
        </w:tc>
      </w:tr>
      <w:tr>
        <w:trPr>
          <w:trHeight w:val="230"/>
        </w:trPr>
        <w:tc>
          <w:tcPr>
            <w:tcW w:w="8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873,301</w:t>
            </w:r>
          </w:p>
        </w:tc>
      </w:tr>
      <w:tr>
        <w:trPr>
          <w:trHeight w:val="196"/>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4"/>
        </w:trPr>
        <w:tc>
          <w:tcPr>
            <w:tcW w:w="8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Common stock, $0.001 par value; 130,000,000 shares authorized; 54,053,513 and 53,256,094 shares issued and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September 30, 2022 and December 31, 2021, respectively</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5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Additional paid-in capital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434,337</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earnings (loss), net of tax</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30"/>
        </w:trPr>
        <w:tc>
          <w:tcPr>
            <w:tcW w:w="85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Retained earnings </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379,922</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815,851</w:t>
            </w:r>
          </w:p>
        </w:tc>
      </w:tr>
      <w:tr>
        <w:trPr>
          <w:trHeight w:val="196"/>
        </w:trPr>
        <w:tc>
          <w:tcPr>
            <w:tcW w:w="8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1,689,152</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4" w:lineRule="exact"/>
        <w:rPr>
          <w:sz w:val="20"/>
          <w:szCs w:val="20"/>
          <w:color w:val="auto"/>
        </w:rPr>
      </w:pPr>
    </w:p>
    <w:p>
      <w:pPr>
        <w:ind w:right="80" w:firstLine="8"/>
        <w:spacing w:after="0" w:line="228" w:lineRule="auto"/>
        <w:tabs>
          <w:tab w:leader="none" w:pos="157"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Effective January 1, 2022, the Company adopted the simplified convertible instruments accounting guidance (ASU 2020-06), which impacted the treatment of our Convertible Senior Notes Due 2023. The adoption of ASU 2020-06 increased the carrying amount of the convertible notes, net by $20.6 million, increased retained earnings by $40.6 million, reduced additional paid-in capital by $56.2 million, and decreased deferred tax liabilities by $5.0 million as of January 1, 2022.</w:t>
      </w:r>
    </w:p>
    <w:p>
      <w:pPr>
        <w:sectPr>
          <w:pgSz w:w="11900" w:h="16838" w:orient="portrait"/>
          <w:cols w:equalWidth="0" w:num="1">
            <w:col w:w="11280"/>
          </w:cols>
          <w:pgMar w:left="320" w:top="106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20" w:top="1062" w:right="299" w:bottom="1440" w:gutter="0" w:footer="0" w:header="0"/>
          <w:type w:val="continuous"/>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600" w:type="dxa"/>
            <w:vAlign w:val="bottom"/>
            <w:gridSpan w:val="4"/>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5"/>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7"/>
                <w:szCs w:val="17"/>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145,532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485,647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412,541</w:t>
            </w: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Royalty revenues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r>
      <w:tr>
        <w:trPr>
          <w:trHeight w:val="223"/>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420,725</w:t>
            </w:r>
          </w:p>
        </w:tc>
      </w:tr>
      <w:tr>
        <w:trPr>
          <w:trHeight w:val="250"/>
        </w:trPr>
        <w:tc>
          <w:tcPr>
            <w:tcW w:w="4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58,067</w:t>
            </w: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69,389</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203,024</w:t>
            </w: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w:t>
            </w: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expense (gain)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178,876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340,794</w:t>
            </w:r>
          </w:p>
        </w:tc>
      </w:tr>
      <w:tr>
        <w:trPr>
          <w:trHeight w:val="250"/>
        </w:trPr>
        <w:tc>
          <w:tcPr>
            <w:tcW w:w="4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earnings (loss)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79,931</w:t>
            </w:r>
          </w:p>
        </w:tc>
      </w:tr>
      <w:tr>
        <w:trPr>
          <w:trHeight w:val="250"/>
        </w:trPr>
        <w:tc>
          <w:tcPr>
            <w:tcW w:w="4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w:t>
            </w:r>
          </w:p>
        </w:tc>
      </w:tr>
      <w:tr>
        <w:trPr>
          <w:trHeight w:val="23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50"/>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71,124</w:t>
            </w:r>
          </w:p>
        </w:tc>
      </w:tr>
      <w:tr>
        <w:trPr>
          <w:trHeight w:val="270"/>
        </w:trPr>
        <w:tc>
          <w:tcPr>
            <w:tcW w:w="4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229"/>
        </w:trPr>
        <w:tc>
          <w:tcPr>
            <w:tcW w:w="4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(b)</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70"/>
        </w:trPr>
        <w:tc>
          <w:tcPr>
            <w:tcW w:w="4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53,789,674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53,187,764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53,517,838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53,053,441</w:t>
            </w:r>
          </w:p>
        </w:tc>
      </w:tr>
      <w:tr>
        <w:trPr>
          <w:trHeight w:val="312"/>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55,034,838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54,334,794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61,543,121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54,301,461</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4"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acquired intangible assets</w:t>
      </w:r>
    </w:p>
    <w:p>
      <w:pPr>
        <w:spacing w:after="0" w:line="10" w:lineRule="exact"/>
        <w:rPr>
          <w:rFonts w:ascii="Times New Roman" w:cs="Times New Roman" w:eastAsia="Times New Roman" w:hAnsi="Times New Roman"/>
          <w:sz w:val="20"/>
          <w:szCs w:val="20"/>
          <w:color w:val="auto"/>
          <w:vertAlign w:val="superscript"/>
        </w:rPr>
      </w:pPr>
    </w:p>
    <w:p>
      <w:pPr>
        <w:ind w:firstLine="8"/>
        <w:spacing w:after="0" w:line="266" w:lineRule="auto"/>
        <w:tabs>
          <w:tab w:leader="none" w:pos="149"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a result of the adoption of ASU 2020-06 in January 1, 2022, for the 2022 periods presented, the Company used the if-converted method in calculating diluted earnings per share. The potential dilutive effect of the convertible notes, an increase of 6.8 million in dilutive shares, is included in the computation of diluted earnings (loss) per share if these are determined to be dilutive for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1062"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A. Khattar, President and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C. Dec, Senior Vice President and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(301) 838-2591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Vozzo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(443) 213-0505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(443) 377-4767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peter.vozzo@westwicke.com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139"/>
      </w:cols>
      <w:pgMar w:left="320" w:top="8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2022-11-08T17:49:54Z</dcterms:created>
  <dcterms:modified xsi:type="dcterms:W3CDTF">2022-11-08T17:49:54Z</dcterms:modified>
</cp:coreProperties>
</file>