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001-35518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SUPERNUS PHARMACEUTICALS,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9" w:type="dxa"/>
        <w:jc w:val="center"/>
        <w:tblInd w:w="0" w:type="dxa"/>
        <w:tblLayout w:type="fixed"/>
        <w:tblCellMar>
          <w:top w:w="28" w:type="dxa"/>
          <w:left w:w="28" w:type="dxa"/>
          <w:bottom w:w="28" w:type="dxa"/>
          <w:right w:w="28" w:type="dxa"/>
        </w:tblCellMar>
      </w:tblPr>
      <w:tblGrid>
        <w:gridCol w:w="1193"/>
        <w:gridCol w:w="1047"/>
        <w:gridCol w:w="1059"/>
        <w:gridCol w:w="320"/>
        <w:gridCol w:w="320"/>
        <w:gridCol w:w="321"/>
        <w:gridCol w:w="140"/>
        <w:gridCol w:w="140"/>
        <w:gridCol w:w="141"/>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20-2590184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(State or other jurisdiction of</w:t>
              <w:br/>
              <w:t>incorporation or organization)</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xml:space="preserve">9715 Key West Avenue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Rockville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MD</w:t>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20850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838-2500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00" w:after="283"/>
        <w:ind w:left="0" w:right="0" w:firstLine="36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No </w:t>
      </w:r>
      <w:r>
        <w:rPr>
          <w:color w:val="000000"/>
        </w:rPr>
        <w: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1022"/>
        <w:gridCol w:w="897"/>
        <w:gridCol w:w="901"/>
        <w:gridCol w:w="109"/>
        <w:gridCol w:w="109"/>
        <w:gridCol w:w="109"/>
        <w:gridCol w:w="610"/>
        <w:gridCol w:w="599"/>
        <w:gridCol w:w="601"/>
        <w:gridCol w:w="109"/>
        <w:gridCol w:w="109"/>
        <w:gridCol w:w="109"/>
        <w:gridCol w:w="425"/>
        <w:gridCol w:w="425"/>
        <w:gridCol w:w="426"/>
        <w:gridCol w:w="109"/>
        <w:gridCol w:w="109"/>
        <w:gridCol w:w="109"/>
        <w:gridCol w:w="971"/>
        <w:gridCol w:w="971"/>
        <w:gridCol w:w="1376"/>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at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58,127,013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 QUARTERLY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tbl>
      <w:tblPr>
        <w:tblW w:w="8761" w:type="dxa"/>
        <w:jc w:val="center"/>
        <w:tblInd w:w="0" w:type="dxa"/>
        <w:tblLayout w:type="fixed"/>
        <w:tblCellMar>
          <w:top w:w="28" w:type="dxa"/>
          <w:left w:w="28" w:type="dxa"/>
          <w:bottom w:w="28" w:type="dxa"/>
          <w:right w:w="28" w:type="dxa"/>
        </w:tblCellMar>
      </w:tblPr>
      <w:tblGrid>
        <w:gridCol w:w="2878"/>
        <w:gridCol w:w="2534"/>
        <w:gridCol w:w="2538"/>
        <w:gridCol w:w="237"/>
        <w:gridCol w:w="237"/>
        <w:gridCol w:w="337"/>
      </w:tblGrid>
      <w:tr>
        <w:trPr/>
        <w:tc>
          <w:tcPr>
            <w:tcW w:w="2878"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0">
              <w:r>
                <w:rPr>
                  <w:rStyle w:val="InternetLink"/>
                  <w:rFonts w:ascii="Times New Roman;serif" w:hAnsi="Times New Roman;serif"/>
                  <w:b w:val="false"/>
                  <w:color w:val="0000FF"/>
                  <w:sz w:val="20"/>
                  <w:u w:val="single"/>
                </w:rPr>
                <w:t>PART I — FINANCIAL INFORMATION</w:t>
              </w:r>
            </w:hyperlink>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
              <w:r>
                <w:rPr>
                  <w:rStyle w:val="InternetLink"/>
                  <w:rFonts w:ascii="Times New Roman;serif" w:hAnsi="Times New Roman;serif"/>
                  <w:b w:val="false"/>
                  <w:color w:val="0000FF"/>
                  <w:sz w:val="20"/>
                  <w:u w:val="single"/>
                </w:rPr>
                <w:t>Item 1.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6">
              <w:r>
                <w:rPr>
                  <w:rStyle w:val="InternetLink"/>
                  <w:rFonts w:ascii="Times New Roman;serif" w:hAnsi="Times New Roman;serif"/>
                  <w:b w:val="false"/>
                  <w:color w:val="0000FF"/>
                  <w:sz w:val="20"/>
                  <w:u w:val="single"/>
                </w:rPr>
                <w:t>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6">
              <w:r>
                <w:rPr>
                  <w:rStyle w:val="InternetLink"/>
                  <w:rFonts w:ascii="Times New Roman;serif" w:hAnsi="Times New Roman;serif"/>
                  <w:b w:val="false"/>
                  <w:strike w:val="false"/>
                  <w:dstrike w:val="false"/>
                  <w:color w:val="1E39C6"/>
                  <w:sz w:val="20"/>
                  <w:u w:val="none"/>
                  <w:effect w:val="non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9">
              <w:r>
                <w:rPr>
                  <w:rStyle w:val="InternetLink"/>
                  <w:rFonts w:ascii="Times New Roman;serif" w:hAnsi="Times New Roman;serif"/>
                  <w:b w:val="false"/>
                  <w:color w:val="0000FF"/>
                  <w:sz w:val="20"/>
                  <w:u w:val="single"/>
                </w:rPr>
                <w:t>Condensed Consolidated Statements of Earnings (Loss)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9">
              <w:r>
                <w:rPr>
                  <w:rStyle w:val="InternetLink"/>
                  <w:rFonts w:ascii="Times New Roman;serif" w:hAnsi="Times New Roman;serif"/>
                  <w:b w:val="false"/>
                  <w:strike w:val="false"/>
                  <w:dstrike w:val="false"/>
                  <w:color w:val="0000FF"/>
                  <w:sz w:val="20"/>
                  <w:u w:val="none"/>
                  <w:effect w:val="non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2">
              <w:r>
                <w:rPr>
                  <w:rStyle w:val="InternetLink"/>
                  <w:rFonts w:ascii="Times New Roman;serif" w:hAnsi="Times New Roman;serif"/>
                  <w:b w:val="false"/>
                  <w:color w:val="0000FF"/>
                  <w:sz w:val="20"/>
                  <w:u w:val="single"/>
                </w:rPr>
                <w:t>Condensed Consolidated Statements of Comprehensive Earnings (Loss)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2">
              <w:r>
                <w:rPr>
                  <w:rStyle w:val="InternetLink"/>
                  <w:rFonts w:ascii="Times New Roman;serif" w:hAnsi="Times New Roman;serif"/>
                  <w:b w:val="false"/>
                  <w:strike w:val="false"/>
                  <w:dstrike w:val="false"/>
                  <w:color w:val="0000FF"/>
                  <w:sz w:val="20"/>
                  <w:u w:val="none"/>
                  <w:effect w:val="non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5">
              <w:r>
                <w:rPr>
                  <w:rStyle w:val="InternetLink"/>
                  <w:rFonts w:ascii="Times New Roman;serif" w:hAnsi="Times New Roman;serif"/>
                  <w:b w:val="false"/>
                  <w:color w:val="000080"/>
                  <w:sz w:val="20"/>
                  <w:u w:val="single"/>
                </w:rPr>
                <w:t>Condensed Consolidated Statements of Changes in Stockholders</w:t>
              </w:r>
            </w:hyperlink>
            <w:hyperlink w:anchor="i4aaf8d9fa3224d8a8fc5e962159434e3_25">
              <w:r>
                <w:rPr>
                  <w:rStyle w:val="InternetLink"/>
                  <w:rFonts w:ascii="Times New Roman;serif" w:hAnsi="Times New Roman;serif"/>
                  <w:b w:val="false"/>
                  <w:color w:val="000080"/>
                  <w:sz w:val="20"/>
                  <w:u w:val="single"/>
                </w:rPr>
                <w:t>'</w:t>
              </w:r>
            </w:hyperlink>
            <w:hyperlink w:anchor="i4aaf8d9fa3224d8a8fc5e962159434e3_25">
              <w:r>
                <w:rPr>
                  <w:rStyle w:val="InternetLink"/>
                  <w:rFonts w:ascii="Times New Roman;serif" w:hAnsi="Times New Roman;serif"/>
                  <w:b w:val="false"/>
                  <w:color w:val="000080"/>
                  <w:sz w:val="20"/>
                  <w:u w:val="single"/>
                </w:rPr>
                <w:t xml:space="preserve">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5">
              <w:r>
                <w:rPr>
                  <w:rStyle w:val="InternetLink"/>
                  <w:rFonts w:ascii="Times New Roman;serif" w:hAnsi="Times New Roman;serif"/>
                  <w:b w:val="false"/>
                  <w:strike w:val="false"/>
                  <w:dstrike w:val="false"/>
                  <w:color w:val="0000FF"/>
                  <w:sz w:val="20"/>
                  <w:u w:val="none"/>
                  <w:effect w:val="none"/>
                </w:rPr>
                <w:t>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8">
              <w:r>
                <w:rPr>
                  <w:rStyle w:val="InternetLink"/>
                  <w:rFonts w:ascii="Times New Roman;serif" w:hAnsi="Times New Roman;serif"/>
                  <w:b w:val="false"/>
                  <w:color w:val="0000FF"/>
                  <w:sz w:val="20"/>
                  <w:u w:val="single"/>
                </w:rPr>
                <w:t>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8">
              <w:r>
                <w:rPr>
                  <w:rStyle w:val="InternetLink"/>
                  <w:rFonts w:ascii="Times New Roman;serif" w:hAnsi="Times New Roman;serif"/>
                  <w:b w:val="false"/>
                  <w:strike w:val="false"/>
                  <w:dstrike w:val="false"/>
                  <w:color w:val="0000FF"/>
                  <w:sz w:val="20"/>
                  <w:u w:val="none"/>
                  <w:effect w:val="none"/>
                </w:rPr>
                <w:t>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31">
              <w:r>
                <w:rPr>
                  <w:rStyle w:val="InternetLink"/>
                  <w:rFonts w:ascii="Times New Roman;serif" w:hAnsi="Times New Roman;serif"/>
                  <w:b w:val="false"/>
                  <w:color w:val="0000FF"/>
                  <w:sz w:val="20"/>
                  <w:u w:val="single"/>
                </w:rPr>
                <w:t>Notes to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31">
              <w:r>
                <w:rPr>
                  <w:rStyle w:val="InternetLink"/>
                  <w:rFonts w:ascii="Times New Roman;serif" w:hAnsi="Times New Roman;serif"/>
                  <w:b w:val="false"/>
                  <w:strike w:val="false"/>
                  <w:dstrike w:val="false"/>
                  <w:color w:val="0000FF"/>
                  <w:sz w:val="20"/>
                  <w:u w:val="none"/>
                  <w:effect w:val="none"/>
                </w:rPr>
                <w:t>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94">
              <w:r>
                <w:rPr>
                  <w:rStyle w:val="InternetLink"/>
                  <w:rFonts w:ascii="Times New Roman;serif" w:hAnsi="Times New Roman;serif"/>
                  <w:b w:val="false"/>
                  <w:color w:val="000080"/>
                  <w:sz w:val="20"/>
                  <w:u w:val="single"/>
                </w:rPr>
                <w:t>Item 2. Management</w:t>
              </w:r>
            </w:hyperlink>
            <w:hyperlink w:anchor="i4aaf8d9fa3224d8a8fc5e962159434e3_94">
              <w:r>
                <w:rPr>
                  <w:rStyle w:val="InternetLink"/>
                  <w:rFonts w:ascii="Times New Roman;serif" w:hAnsi="Times New Roman;serif"/>
                  <w:b w:val="false"/>
                  <w:color w:val="000080"/>
                  <w:sz w:val="20"/>
                  <w:u w:val="single"/>
                </w:rPr>
                <w:t>'</w:t>
              </w:r>
            </w:hyperlink>
            <w:hyperlink w:anchor="i4aaf8d9fa3224d8a8fc5e962159434e3_94">
              <w:r>
                <w:rPr>
                  <w:rStyle w:val="InternetLink"/>
                  <w:rFonts w:ascii="Times New Roman;serif" w:hAnsi="Times New Roman;serif"/>
                  <w:b w:val="false"/>
                  <w:color w:val="000080"/>
                  <w:sz w:val="20"/>
                  <w:u w:val="single"/>
                </w:rPr>
                <w: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94">
              <w:r>
                <w:rPr>
                  <w:rStyle w:val="InternetLink"/>
                  <w:rFonts w:ascii="Times New Roman;serif" w:hAnsi="Times New Roman;serif"/>
                  <w:b w:val="false"/>
                  <w:strike w:val="false"/>
                  <w:dstrike w:val="false"/>
                  <w:color w:val="0000FF"/>
                  <w:sz w:val="20"/>
                  <w:u w:val="none"/>
                  <w:effect w:val="none"/>
                </w:rPr>
                <w:t>34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2">
              <w:r>
                <w:rPr>
                  <w:rStyle w:val="InternetLink"/>
                  <w:rFonts w:ascii="Times New Roman;serif" w:hAnsi="Times New Roman;serif"/>
                  <w:b w:val="false"/>
                  <w:color w:val="0000FF"/>
                  <w:sz w:val="20"/>
                  <w:u w:val="single"/>
                </w:rPr>
                <w:t>Item 3. 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2">
              <w:r>
                <w:rPr>
                  <w:rStyle w:val="InternetLink"/>
                  <w:rFonts w:ascii="Times New Roman;serif" w:hAnsi="Times New Roman;serif"/>
                  <w:b w:val="false"/>
                  <w:strike w:val="false"/>
                  <w:dstrike w:val="false"/>
                  <w:color w:val="0000FF"/>
                  <w:sz w:val="20"/>
                  <w:u w:val="none"/>
                  <w:effect w:val="none"/>
                </w:rPr>
                <w:t>44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5">
              <w:r>
                <w:rPr>
                  <w:rStyle w:val="InternetLink"/>
                  <w:rFonts w:ascii="Times New Roman;serif" w:hAnsi="Times New Roman;serif"/>
                  <w:b w:val="false"/>
                  <w:color w:val="0000FF"/>
                  <w:sz w:val="20"/>
                  <w:u w:val="single"/>
                </w:rPr>
                <w:t>Item 4. 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5">
              <w:r>
                <w:rPr>
                  <w:rStyle w:val="InternetLink"/>
                  <w:rFonts w:ascii="Times New Roman;serif" w:hAnsi="Times New Roman;serif"/>
                  <w:b w:val="false"/>
                  <w:strike w:val="false"/>
                  <w:dstrike w:val="false"/>
                  <w:color w:val="0000FF"/>
                  <w:sz w:val="20"/>
                  <w:u w:val="none"/>
                  <w:effect w:val="none"/>
                </w:rPr>
                <w:t>45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8">
              <w:r>
                <w:rPr>
                  <w:rStyle w:val="InternetLink"/>
                  <w:rFonts w:ascii="Times New Roman;serif" w:hAnsi="Times New Roman;serif"/>
                  <w:b w:val="false"/>
                  <w:color w:val="0000FF"/>
                  <w:sz w:val="20"/>
                  <w:u w:val="single"/>
                </w:rPr>
                <w:t>PART II — OTHER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1">
              <w:r>
                <w:rPr>
                  <w:rStyle w:val="InternetLink"/>
                  <w:rFonts w:ascii="Times New Roman;serif" w:hAnsi="Times New Roman;serif"/>
                  <w:b w:val="false"/>
                  <w:color w:val="0000FF"/>
                  <w:sz w:val="20"/>
                  <w:u w:val="single"/>
                </w:rPr>
                <w:t>Item 1. 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1">
              <w:r>
                <w:rPr>
                  <w:rStyle w:val="InternetLink"/>
                  <w:rFonts w:ascii="Times New Roman;serif" w:hAnsi="Times New Roman;serif"/>
                  <w:b w:val="false"/>
                  <w:strike w:val="false"/>
                  <w:dstrike w:val="false"/>
                  <w:color w:val="0000FF"/>
                  <w:sz w:val="20"/>
                  <w:u w:val="none"/>
                  <w:effect w:val="none"/>
                </w:rPr>
                <w:t>45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4">
              <w:r>
                <w:rPr>
                  <w:rStyle w:val="InternetLink"/>
                  <w:rFonts w:ascii="Times New Roman;serif" w:hAnsi="Times New Roman;serif"/>
                  <w:b w:val="false"/>
                  <w:color w:val="0000FF"/>
                  <w:sz w:val="20"/>
                  <w:u w:val="single"/>
                </w:rPr>
                <w:t>Item 1A. 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4">
              <w:r>
                <w:rPr>
                  <w:rStyle w:val="InternetLink"/>
                  <w:rFonts w:ascii="Times New Roman;serif" w:hAnsi="Times New Roman;serif"/>
                  <w:b w:val="false"/>
                  <w:strike w:val="false"/>
                  <w:dstrike w:val="false"/>
                  <w:color w:val="0000FF"/>
                  <w:sz w:val="20"/>
                  <w:u w:val="none"/>
                  <w:effect w:val="none"/>
                </w:rPr>
                <w:t>52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7">
              <w:r>
                <w:rPr>
                  <w:rStyle w:val="InternetLink"/>
                  <w:rFonts w:ascii="Times New Roman;serif" w:hAnsi="Times New Roman;serif"/>
                  <w:b w:val="false"/>
                  <w:color w:val="0000FF"/>
                  <w:sz w:val="20"/>
                  <w:u w:val="single"/>
                </w:rPr>
                <w:t>Item 2. 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7">
              <w:r>
                <w:rPr>
                  <w:rStyle w:val="InternetLink"/>
                  <w:rFonts w:ascii="Times New Roman;serif" w:hAnsi="Times New Roman;serif"/>
                  <w:b w:val="false"/>
                  <w:strike w:val="false"/>
                  <w:dstrike w:val="false"/>
                  <w:color w:val="0000FF"/>
                  <w:sz w:val="20"/>
                  <w:u w:val="none"/>
                  <w:effect w:val="none"/>
                </w:rPr>
                <w:t>52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0">
              <w:r>
                <w:rPr>
                  <w:rStyle w:val="InternetLink"/>
                  <w:rFonts w:ascii="Times New Roman;serif" w:hAnsi="Times New Roman;serif"/>
                  <w:b w:val="false"/>
                  <w:color w:val="0000FF"/>
                  <w:sz w:val="20"/>
                  <w:u w:val="single"/>
                </w:rPr>
                <w:t>Item 3. 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0">
              <w:r>
                <w:rPr>
                  <w:rStyle w:val="InternetLink"/>
                  <w:rFonts w:ascii="Times New Roman;serif" w:hAnsi="Times New Roman;serif"/>
                  <w:b w:val="false"/>
                  <w:strike w:val="false"/>
                  <w:dstrike w:val="false"/>
                  <w:color w:val="0000FF"/>
                  <w:sz w:val="20"/>
                  <w:u w:val="none"/>
                  <w:effect w:val="none"/>
                </w:rPr>
                <w:t>52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3">
              <w:r>
                <w:rPr>
                  <w:rStyle w:val="InternetLink"/>
                  <w:rFonts w:ascii="Times New Roman;serif" w:hAnsi="Times New Roman;serif"/>
                  <w:b w:val="false"/>
                  <w:color w:val="0000FF"/>
                  <w:sz w:val="20"/>
                  <w:u w:val="single"/>
                </w:rPr>
                <w:t>Item 4. 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3">
              <w:r>
                <w:rPr>
                  <w:rStyle w:val="InternetLink"/>
                  <w:rFonts w:ascii="Times New Roman;serif" w:hAnsi="Times New Roman;serif"/>
                  <w:b w:val="false"/>
                  <w:strike w:val="false"/>
                  <w:dstrike w:val="false"/>
                  <w:color w:val="0000FF"/>
                  <w:sz w:val="20"/>
                  <w:u w:val="none"/>
                  <w:effect w:val="none"/>
                </w:rPr>
                <w:t>52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6">
              <w:r>
                <w:rPr>
                  <w:rStyle w:val="InternetLink"/>
                  <w:rFonts w:ascii="Times New Roman;serif" w:hAnsi="Times New Roman;serif"/>
                  <w:b w:val="false"/>
                  <w:color w:val="0000FF"/>
                  <w:sz w:val="20"/>
                  <w:u w:val="single"/>
                </w:rPr>
                <w:t>Item 5. 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6">
              <w:r>
                <w:rPr>
                  <w:rStyle w:val="InternetLink"/>
                  <w:rFonts w:ascii="Times New Roman;serif" w:hAnsi="Times New Roman;serif"/>
                  <w:b w:val="false"/>
                  <w:strike w:val="false"/>
                  <w:dstrike w:val="false"/>
                  <w:color w:val="0000FF"/>
                  <w:sz w:val="20"/>
                  <w:u w:val="none"/>
                  <w:effect w:val="none"/>
                </w:rPr>
                <w:t>52</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2">
              <w:r>
                <w:rPr>
                  <w:rStyle w:val="InternetLink"/>
                  <w:rFonts w:ascii="Times New Roman;serif" w:hAnsi="Times New Roman;serif"/>
                  <w:b w:val="false"/>
                  <w:color w:val="0000FF"/>
                  <w:sz w:val="20"/>
                  <w:u w:val="single"/>
                </w:rPr>
                <w:t>Item 6. 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2">
              <w:r>
                <w:rPr>
                  <w:rStyle w:val="InternetLink"/>
                  <w:rFonts w:ascii="Times New Roman;serif" w:hAnsi="Times New Roman;serif"/>
                  <w:b w:val="false"/>
                  <w:strike w:val="false"/>
                  <w:dstrike w:val="false"/>
                  <w:color w:val="0000FF"/>
                  <w:sz w:val="20"/>
                  <w:u w:val="none"/>
                  <w:effect w:val="none"/>
                </w:rPr>
                <w:t>53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5">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5">
              <w:r>
                <w:rPr>
                  <w:rStyle w:val="InternetLink"/>
                  <w:rFonts w:ascii="Times New Roman;serif" w:hAnsi="Times New Roman;serif"/>
                  <w:b w:val="false"/>
                  <w:strike w:val="false"/>
                  <w:dstrike w:val="false"/>
                  <w:color w:val="0000FF"/>
                  <w:sz w:val="20"/>
                  <w:u w:val="none"/>
                  <w:effect w:val="none"/>
                </w:rPr>
                <w:t>54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745"/>
        <w:gridCol w:w="2276"/>
        <w:gridCol w:w="2219"/>
        <w:gridCol w:w="211"/>
        <w:gridCol w:w="976"/>
        <w:gridCol w:w="109"/>
        <w:gridCol w:w="109"/>
        <w:gridCol w:w="109"/>
        <w:gridCol w:w="109"/>
        <w:gridCol w:w="211"/>
        <w:gridCol w:w="976"/>
        <w:gridCol w:w="155"/>
      </w:tblGrid>
      <w:tr>
        <w:trPr/>
        <w:tc>
          <w:tcPr>
            <w:tcW w:w="2745"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644,182 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338,171 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130,000,000 shares authorized; 58,164,352 and 57,457,462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5"/>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Earnings (Loss)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tbl>
      <w:tblPr>
        <w:tblW w:w="9071" w:type="dxa"/>
        <w:jc w:val="left"/>
        <w:tblInd w:w="0" w:type="dxa"/>
        <w:tblLayout w:type="fixed"/>
        <w:tblCellMar>
          <w:top w:w="28" w:type="dxa"/>
          <w:left w:w="28" w:type="dxa"/>
          <w:bottom w:w="28" w:type="dxa"/>
          <w:right w:w="28" w:type="dxa"/>
        </w:tblCellMar>
      </w:tblPr>
      <w:tblGrid>
        <w:gridCol w:w="1191"/>
        <w:gridCol w:w="1043"/>
        <w:gridCol w:w="1051"/>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55,945,434 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56,688,754 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Excludes amortization of intangible assets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095" w:type="dxa"/>
        <w:jc w:val="center"/>
        <w:tblInd w:w="0" w:type="dxa"/>
        <w:tblLayout w:type="fixed"/>
        <w:tblCellMar>
          <w:top w:w="28" w:type="dxa"/>
          <w:left w:w="28" w:type="dxa"/>
          <w:bottom w:w="28" w:type="dxa"/>
          <w:right w:w="28" w:type="dxa"/>
        </w:tblCellMar>
      </w:tblPr>
      <w:tblGrid>
        <w:gridCol w:w="1724"/>
        <w:gridCol w:w="1512"/>
        <w:gridCol w:w="1519"/>
        <w:gridCol w:w="211"/>
        <w:gridCol w:w="796"/>
        <w:gridCol w:w="109"/>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48"/>
        <w:gridCol w:w="305"/>
        <w:gridCol w:w="308"/>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4"/>
        <w:gridCol w:w="922"/>
        <w:gridCol w:w="209"/>
        <w:gridCol w:w="109"/>
        <w:gridCol w:w="109"/>
        <w:gridCol w:w="109"/>
        <w:gridCol w:w="211"/>
        <w:gridCol w:w="826"/>
        <w:gridCol w:w="109"/>
        <w:gridCol w:w="109"/>
        <w:gridCol w:w="109"/>
        <w:gridCol w:w="109"/>
        <w:gridCol w:w="211"/>
        <w:gridCol w:w="976"/>
        <w:gridCol w:w="157"/>
      </w:tblGrid>
      <w:tr>
        <w:trPr/>
        <w:tc>
          <w:tcPr>
            <w:tcW w:w="7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
              </w:rPr>
            </w:pPr>
            <w:r>
              <w:rPr>
                <w:rFonts w:ascii="Times New Roman;serif" w:hAnsi="Times New Roman;serif"/>
                <w:b/>
                <w:color w:val="000000"/>
                <w:sz w:val="2"/>
              </w:rPr>
              <w:t>j</w:t>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xml:space="preserve">Comprehensive Earnings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57,457,462 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58,039,721 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561,419 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1,076,805 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58,164,352 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574,094 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1,031,226 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48"/>
        <w:gridCol w:w="305"/>
        <w:gridCol w:w="308"/>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4"/>
        <w:gridCol w:w="922"/>
        <w:gridCol w:w="209"/>
        <w:gridCol w:w="109"/>
        <w:gridCol w:w="109"/>
        <w:gridCol w:w="109"/>
        <w:gridCol w:w="211"/>
        <w:gridCol w:w="826"/>
        <w:gridCol w:w="109"/>
        <w:gridCol w:w="109"/>
        <w:gridCol w:w="109"/>
        <w:gridCol w:w="109"/>
        <w:gridCol w:w="211"/>
        <w:gridCol w:w="976"/>
        <w:gridCol w:w="157"/>
      </w:tblGrid>
      <w:tr>
        <w:trPr/>
        <w:tc>
          <w:tcPr>
            <w:tcW w:w="7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xml:space="preserve">Comprehensive Earnings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55,743,095 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479,440 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1,035,733 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55,989,248 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486,209 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1,030,705 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56,119,360 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496,946 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1,063,900 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93"/>
        <w:gridCol w:w="2365"/>
        <w:gridCol w:w="2381"/>
        <w:gridCol w:w="211"/>
        <w:gridCol w:w="826"/>
        <w:gridCol w:w="109"/>
        <w:gridCol w:w="109"/>
        <w:gridCol w:w="109"/>
        <w:gridCol w:w="109"/>
        <w:gridCol w:w="211"/>
        <w:gridCol w:w="826"/>
        <w:gridCol w:w="156"/>
      </w:tblGrid>
      <w:tr>
        <w:trPr/>
        <w:tc>
          <w:tcPr>
            <w:tcW w:w="2793"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premium/discount on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from sale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valuation write-down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cash, cash equivalents, and restricted cash reported in the condensed consolidated balance sheets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cash, cash equivalents, and restricted cash shown in the statement of cash flows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center"/>
        <w:rPr/>
      </w:pPr>
      <w:r>
        <w:rPr/>
      </w:r>
    </w:p>
    <w:p>
      <w:pPr>
        <w:pStyle w:val="TextBody"/>
        <w:bidi w:val="0"/>
        <w:spacing w:before="0" w:after="0"/>
        <w:jc w:val="center"/>
        <w:rPr/>
      </w:pPr>
      <w:r>
        <w:rPr/>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    Business Organization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Supernus Pharmaceuticals, Inc. (the Company, see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 xml:space="preserve">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The Company is developing a broad range of novel product candidates for CNS disorders.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has nine commercial products that it markets in the United States (U.S.): Qelbree</w:t>
      </w:r>
      <w:r>
        <w:rPr>
          <w:rFonts w:ascii="Times New Roman;serif" w:hAnsi="Times New Roman;serif"/>
          <w:b w:val="false"/>
          <w:color w:val="000000"/>
          <w:sz w:val="13"/>
        </w:rPr>
        <w:t>®</w:t>
      </w:r>
      <w:r>
        <w:rPr>
          <w:rFonts w:ascii="Times New Roman;serif" w:hAnsi="Times New Roman;serif"/>
          <w:b w:val="false"/>
          <w:color w:val="000000"/>
          <w:sz w:val="20"/>
        </w:rPr>
        <w:t>, GOCOVRI</w:t>
      </w:r>
      <w:r>
        <w:rPr>
          <w:rFonts w:ascii="Times New Roman;serif" w:hAnsi="Times New Roman;serif"/>
          <w:b w:val="false"/>
          <w:color w:val="000000"/>
          <w:sz w:val="13"/>
        </w:rPr>
        <w:t>®</w:t>
      </w:r>
      <w:r>
        <w:rPr>
          <w:rFonts w:ascii="Times New Roman;serif" w:hAnsi="Times New Roman;serif"/>
          <w:b w:val="false"/>
          <w:color w:val="000000"/>
          <w:sz w:val="20"/>
        </w:rPr>
        <w:t>, Oxtellar XR</w:t>
      </w:r>
      <w:r>
        <w:rPr>
          <w:rFonts w:ascii="Times New Roman;serif" w:hAnsi="Times New Roman;serif"/>
          <w:b w:val="false"/>
          <w:color w:val="000000"/>
          <w:sz w:val="13"/>
        </w:rPr>
        <w:t>®</w:t>
      </w:r>
      <w:r>
        <w:rPr>
          <w:rFonts w:ascii="Times New Roman;serif" w:hAnsi="Times New Roman;serif"/>
          <w:b w:val="false"/>
          <w:color w:val="000000"/>
          <w:sz w:val="20"/>
        </w:rPr>
        <w:t>, Trokendi XR</w:t>
      </w:r>
      <w:r>
        <w:rPr>
          <w:rFonts w:ascii="Times New Roman;serif" w:hAnsi="Times New Roman;serif"/>
          <w:b w:val="false"/>
          <w:color w:val="000000"/>
          <w:sz w:val="13"/>
        </w:rPr>
        <w:t>®</w:t>
      </w:r>
      <w:r>
        <w:rPr>
          <w:rFonts w:ascii="Times New Roman;serif" w:hAnsi="Times New Roman;serif"/>
          <w:b w:val="false"/>
          <w:color w:val="000000"/>
          <w:sz w:val="20"/>
        </w:rPr>
        <w:t>, APOKYN</w:t>
      </w:r>
      <w:r>
        <w:rPr>
          <w:rFonts w:ascii="Times New Roman;serif" w:hAnsi="Times New Roman;serif"/>
          <w:b w:val="false"/>
          <w:color w:val="000000"/>
          <w:sz w:val="13"/>
        </w:rPr>
        <w:t>®</w:t>
      </w:r>
      <w:r>
        <w:rPr>
          <w:rFonts w:ascii="Times New Roman;serif" w:hAnsi="Times New Roman;serif"/>
          <w:b w:val="false"/>
          <w:color w:val="000000"/>
          <w:sz w:val="20"/>
        </w:rPr>
        <w:t>, XADAGO</w:t>
      </w:r>
      <w:r>
        <w:rPr>
          <w:rFonts w:ascii="Times New Roman;serif" w:hAnsi="Times New Roman;serif"/>
          <w:b w:val="false"/>
          <w:color w:val="000000"/>
          <w:sz w:val="13"/>
        </w:rPr>
        <w:t>®</w:t>
      </w:r>
      <w:r>
        <w:rPr>
          <w:rFonts w:ascii="Times New Roman;serif" w:hAnsi="Times New Roman;serif"/>
          <w:b w:val="false"/>
          <w:color w:val="000000"/>
          <w:sz w:val="20"/>
        </w:rPr>
        <w:t>, MYOBLOC</w:t>
      </w:r>
      <w:r>
        <w:rPr>
          <w:rFonts w:ascii="Times New Roman;serif" w:hAnsi="Times New Roman;serif"/>
          <w:b w:val="false"/>
          <w:color w:val="000000"/>
          <w:sz w:val="13"/>
        </w:rPr>
        <w:t>®</w:t>
      </w:r>
      <w:r>
        <w:rPr>
          <w:rFonts w:ascii="Times New Roman;serif" w:hAnsi="Times New Roman;serif"/>
          <w:b w:val="false"/>
          <w:color w:val="000000"/>
          <w:sz w:val="20"/>
        </w:rPr>
        <w:t>, ONAPGO</w:t>
      </w:r>
      <w:r>
        <w:rPr>
          <w:rFonts w:ascii="Times New Roman;serif" w:hAnsi="Times New Roman;serif"/>
          <w:b w:val="false"/>
          <w:color w:val="000000"/>
          <w:sz w:val="13"/>
        </w:rPr>
        <w:t xml:space="preserve">TM </w:t>
      </w:r>
      <w:r>
        <w:rPr>
          <w:rFonts w:ascii="Times New Roman;serif" w:hAnsi="Times New Roman;serif"/>
          <w:b w:val="false"/>
          <w:color w:val="000000"/>
          <w:sz w:val="20"/>
        </w:rPr>
        <w:t>(formerly known as SPN-830), and ZURZUVAE</w:t>
      </w:r>
      <w:r>
        <w:rPr>
          <w:rFonts w:ascii="Times New Roman;serif" w:hAnsi="Times New Roman;serif"/>
          <w:b w:val="false"/>
          <w:color w:val="000000"/>
          <w:sz w:val="13"/>
        </w:rPr>
        <w:t xml:space="preserve">® </w:t>
      </w:r>
      <w:r>
        <w:rPr>
          <w:rFonts w:ascii="Times New Roman;serif" w:hAnsi="Times New Roman;serif"/>
          <w:b w:val="false"/>
          <w:color w:val="000000"/>
          <w:sz w:val="20"/>
        </w:rPr>
        <w:t>(acquired through the acquisition of Sage Therapeutics, Inc.). The Company does not directly market its products outside the U.S.</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Merger of Equals with Indivior Pharmaceuticals, Inc.</w:t>
      </w:r>
    </w:p>
    <w:p>
      <w:pPr>
        <w:pStyle w:val="TextBody"/>
        <w:bidi w:val="0"/>
        <w:spacing w:lineRule="auto" w:line="288" w:before="200" w:after="200"/>
        <w:ind w:left="0" w:right="0" w:firstLine="720"/>
        <w:jc w:val="left"/>
        <w:rPr/>
      </w:pPr>
      <w:r>
        <w:rPr>
          <w:rFonts w:ascii="Times New Roman;serif" w:hAnsi="Times New Roman;serif"/>
          <w:b w:val="false"/>
          <w:color w:val="000000"/>
          <w:sz w:val="20"/>
        </w:rPr>
        <w:t>Refer to Note 18</w:t>
      </w:r>
      <w:r>
        <w:rPr>
          <w:rFonts w:ascii="Times New Roman;serif" w:hAnsi="Times New Roman;serif"/>
          <w:b w:val="false"/>
          <w:i/>
          <w:color w:val="000000"/>
          <w:sz w:val="20"/>
        </w:rPr>
        <w:t>,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2025, filed with the SEC.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which is primarily located in the U.S., operates in one operating segment.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prior year amounts related to the captions</w:t>
      </w:r>
      <w:r>
        <w:rPr>
          <w:color w:val="000000"/>
        </w:rPr>
        <w:t xml:space="preserve"> </w:t>
      </w:r>
      <w:r>
        <w:rPr>
          <w:rFonts w:ascii="Times New Roman;serif" w:hAnsi="Times New Roman;serif"/>
          <w:b w:val="false"/>
          <w:i/>
          <w:color w:val="000000"/>
          <w:sz w:val="20"/>
        </w:rPr>
        <w:t>Noncash lease expense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Realized loss (gains) from sales of marketable securities </w:t>
      </w:r>
      <w:r>
        <w:rPr>
          <w:rFonts w:ascii="Times New Roman;serif" w:hAnsi="Times New Roman;serif"/>
          <w:b w:val="false"/>
          <w:color w:val="000000"/>
          <w:sz w:val="20"/>
        </w:rPr>
        <w:t xml:space="preserve">have been reclassified from the caption </w:t>
      </w:r>
      <w:r>
        <w:rPr>
          <w:rFonts w:ascii="Times New Roman;serif" w:hAnsi="Times New Roman;serif"/>
          <w:b w:val="false"/>
          <w:i/>
          <w:color w:val="000000"/>
          <w:sz w:val="20"/>
        </w:rPr>
        <w:t xml:space="preserve">Other noncash adjustments, net </w:t>
      </w:r>
      <w:r>
        <w:rPr>
          <w:rFonts w:ascii="Times New Roman;serif" w:hAnsi="Times New Roman;serif"/>
          <w:b w:val="false"/>
          <w:color w:val="000000"/>
          <w:sz w:val="20"/>
        </w:rPr>
        <w:t>in the condensed consolidated statements of cash flows to conform to current year presentation. The reclassifications did not affect the other condensed consolidated financial statements.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Company is not the primary beneficiary of the VIE, and an ownership interest is maintained in the entity, the interest is accounted for under the equity or cost methods of accounting, as appropriate.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continuously assesses whether it is the primary beneficiary of a VIE as changes to existing relationships or future transactions may affect its conclusions.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Company determines revenue recognition for its contractual arrangements with customers based on the following five steps in accordance with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(1) identify each contract with a customer; (2) identify the performance obligations in the contract; (3) determine the transaction price; (4) allocate the transaction price to the performance obligations in the contract; and (5) recognize revenue when (or as) the Company satisfies the relevant performance obligation. The Company only applies the five-step model to contracts when it is probable that the Company will collect the consideration it is entitled to in exchange for the goods or services it transfers to the customer. The Company recognizes revenue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Collaborative Arrangements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collaboration agreement with Biogen (Biogen Collaboration Agreement) for the co-commercialization of ZURZUVAE in the U.S. ZURZUVAE is approved for the treatment of PPD in the U.S. ZURZUVAE is not approved for the treatment of Major Depressive Disorder (MDD) in the U.S.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has a collaboration agreement with Shionogi &amp; Co., Ltd. (Shionogi) (Shionogi Collaboration Agreement) whereby the Company is entitled to receive royalties and milestone payments upon achievement of certain milestones related to the sale of zuranolone for the treatment of MDD in Japan, Taiwan and South Korea (the Shionogi Territory).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contract inception, the Company analyzes its collaboration arrangements to assess whether they are within the scope of Accounting Standards Codification Topic 808, </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 xml:space="preserve">(ASC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Accounting Standards Codification Topic 606, </w:t>
      </w:r>
      <w:r>
        <w:rPr>
          <w:rFonts w:ascii="Times New Roman;serif" w:hAnsi="Times New Roman;serif"/>
          <w:b w:val="false"/>
          <w:i/>
          <w:color w:val="000000"/>
          <w:sz w:val="20"/>
        </w:rPr>
        <w:t>Revenue from Contract with Customers</w:t>
      </w:r>
      <w:r>
        <w:rPr>
          <w:rFonts w:ascii="Times New Roman;serif" w:hAnsi="Times New Roman;serif"/>
          <w:b w:val="false"/>
          <w:color w:val="000000"/>
          <w:sz w:val="20"/>
        </w:rPr>
        <w:t xml:space="preserve">,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For those elements of the arrangement that are accounted for pursuant to ASC 606, the Company performs the five-step model under ASC 606 as noted above to determine the appropriate amount of revenue to be recognized as it fulfills its obligations under each of its agreements and presents the arrangement as </w:t>
      </w:r>
      <w:r>
        <w:rPr>
          <w:rFonts w:ascii="Times New Roman;serif" w:hAnsi="Times New Roman;serif"/>
          <w:b w:val="false"/>
          <w:i/>
          <w:color w:val="000000"/>
          <w:sz w:val="20"/>
        </w:rPr>
        <w:t>Royalty, licensing and other revenue</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Collaboration revenue (ZURZUVAE)</w:t>
      </w:r>
      <w:r>
        <w:rPr>
          <w:color w:val="000000"/>
        </w:rPr>
        <w:t xml:space="preserve"> </w:t>
      </w:r>
      <w:r>
        <w:rPr>
          <w:rFonts w:ascii="Times New Roman;serif" w:hAnsi="Times New Roman;serif"/>
          <w:b w:val="false"/>
          <w:color w:val="000000"/>
          <w:sz w:val="20"/>
        </w:rPr>
        <w:t xml:space="preserve">in the condensed consolidated statements of earnings (loss).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For those elements of the arrangement that are accounted for pursuant to ASC 808, the Company evaluates the income statement classification for presentation of amounts due from or owed to other participants associated with multiple activities in a collaboration arrangement based on the nature of each separate activity. Payments or reimbursements that are the result of a collaborative relationship instead of a vendor-customer relationship are recorded as an increase to </w:t>
      </w:r>
      <w:r>
        <w:rPr>
          <w:rFonts w:ascii="Times New Roman;serif" w:hAnsi="Times New Roman;serif"/>
          <w:b w:val="false"/>
          <w:i/>
          <w:color w:val="000000"/>
          <w:sz w:val="20"/>
        </w:rPr>
        <w:t>Collaboration revenue (ZURZUVAE)</w:t>
      </w:r>
      <w:r>
        <w:rPr>
          <w:rFonts w:ascii="Times New Roman;serif" w:hAnsi="Times New Roman;serif"/>
          <w:b w:val="false"/>
          <w:color w:val="000000"/>
          <w:sz w:val="20"/>
        </w:rPr>
        <w:t>, an increase to or reduction of</w:t>
      </w:r>
      <w:r>
        <w:rPr>
          <w:color w:val="000000"/>
        </w:rPr>
        <w:t xml:space="preserve"> </w:t>
      </w:r>
      <w:r>
        <w:rPr>
          <w:rFonts w:ascii="Times New Roman;serif" w:hAnsi="Times New Roman;serif"/>
          <w:b w:val="false"/>
          <w:i/>
          <w:color w:val="000000"/>
          <w:sz w:val="20"/>
        </w:rPr>
        <w:t>Cost of revenues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or </w:t>
      </w:r>
      <w:r>
        <w:rPr>
          <w:rFonts w:ascii="Times New Roman;serif" w:hAnsi="Times New Roman;serif"/>
          <w:b w:val="false"/>
          <w:i/>
          <w:color w:val="000000"/>
          <w:sz w:val="20"/>
        </w:rPr>
        <w:t>Selling, general and administrative expense</w:t>
      </w:r>
      <w:r>
        <w:rPr>
          <w:rFonts w:ascii="Times New Roman;serif" w:hAnsi="Times New Roman;serif"/>
          <w:b w:val="false"/>
          <w:color w:val="000000"/>
          <w:sz w:val="20"/>
        </w:rPr>
        <w:t xml:space="preserve">, depending on the nature of the activity.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applies ASC 808 and ASC 606 to the following collaboration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Biogen</w:t>
      </w:r>
      <w:r>
        <w:rPr>
          <w:color w:val="000000"/>
        </w:rPr>
        <w:t xml:space="preserve"> </w:t>
      </w:r>
      <w:r>
        <w:rPr>
          <w:rFonts w:ascii="Times New Roman;serif" w:hAnsi="Times New Roman;serif"/>
          <w:b w:val="false"/>
          <w:color w:val="000000"/>
          <w:sz w:val="20"/>
        </w:rPr>
        <w:t>- The Company has a collaboration agreement with Biogen for the co-commercialization of ZURZUVAE in the U.S. Revenues from the Biogen Collaboration Agreement include the Company’s share of ZURZUVAE revenues as that element of the agreement is accounted for under ASC Topic 808. The Company reports as C</w:t>
      </w:r>
      <w:r>
        <w:rPr>
          <w:rFonts w:ascii="Times New Roman;serif" w:hAnsi="Times New Roman;serif"/>
          <w:b w:val="false"/>
          <w:i/>
          <w:color w:val="000000"/>
          <w:sz w:val="20"/>
        </w:rPr>
        <w:t>ollaboration revenue (ZURZUVAE)</w:t>
      </w:r>
      <w:r>
        <w:rPr>
          <w:color w:val="000000"/>
        </w:rPr>
        <w:t xml:space="preserve"> </w:t>
      </w:r>
      <w:r>
        <w:rPr>
          <w:rFonts w:ascii="Times New Roman;serif" w:hAnsi="Times New Roman;serif"/>
          <w:b w:val="false"/>
          <w:color w:val="000000"/>
          <w:sz w:val="20"/>
        </w:rPr>
        <w:t>its share of ZURZUVAE revenues, which is 50% of total net revenue recorded by Biogen for ZURZUVAE in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identified the following promises in the Biogen Collaboration Agreement that were evaluated under the scope of ASC 606: delivery of (i) a co-exclusive license for SAGE-217 products in the U.S.; (ii) an exclusive license for SAGE-217 products outside of the United States other than Japan, the Republic of Korea, and Taiwan (Biogen Territory); (iii) commercial manufacturing supply of active pharmaceutical ingredient (API) and bulk drug product for SAGE-217 products in the Biogen Territory, and (iv) commercial manufacturing supply of API and bulk drug product for SAGE-217 in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evaluated whether certain options outlined within the Biogen Collaboration Agreement represented material rights that would give rise to a performance obligation and concluded that none of the options convey a material right to Biogen and therefore are not considered separate performance obligations within the Biogen Collaboration Agreement.</w:t>
      </w:r>
    </w:p>
    <w:p>
      <w:pPr>
        <w:pStyle w:val="TextBody"/>
        <w:bidi w:val="0"/>
        <w:spacing w:lineRule="auto" w:line="288" w:before="200" w:after="283"/>
        <w:jc w:val="left"/>
        <w:rPr/>
      </w:pPr>
      <w:r>
        <w:rPr>
          <w:rFonts w:ascii="Times New Roman;serif" w:hAnsi="Times New Roman;serif"/>
          <w:b w:val="false"/>
          <w:color w:val="000000"/>
          <w:sz w:val="20"/>
        </w:rPr>
        <w:t xml:space="preserve">The Company assessed the above promises at contract inception and determined that the co-exclusive license for SAGE-217 products in the U.S. is reflective of a vendor-customer relationship and therefore represent performance obligations within the scope of ASC 606. The co-exclusive license for SAGE-217 products in the U.S. is considered functional intellectual property and distinct from other promises under the contract. The exclusive license for SAGE-217 products in the Biogen Territory is considered a functional license that is distinct in the context of the Biogen Collaboration Agreement as Biogen can benefit from the license on its own or together with other readily available resources. As the co-exclusive license in the U.S. and the exclusive license in the Biogen Territory are delivered at the same time, they are considered one performance obligation at contract inception. The commercial manufacturing supply of API and bulk drug product for SAGE-217 products for the Biogen Territory, as well as in the U.S., are considered distinct in the context of the Biogen Collaboration Agreement as Biogen can benefit from the manufacturing services together with the licenses transferred by the Company at the inception of the Biogen Collaboration Agreement. Therefore, each represents a separate performance obligation within a contract with a customer under the scope of ASC 606 at contract inception. Accordingly, the transactions are recorded in </w:t>
      </w:r>
      <w:r>
        <w:rPr>
          <w:rFonts w:ascii="Times New Roman;serif" w:hAnsi="Times New Roman;serif"/>
          <w:b w:val="false"/>
          <w:i/>
          <w:color w:val="000000"/>
          <w:sz w:val="20"/>
        </w:rPr>
        <w:t>Royalty, licensing, and other revenues</w:t>
      </w:r>
      <w:r>
        <w:rPr>
          <w:rFonts w:ascii="Times New Roman;serif" w:hAnsi="Times New Roman;serif"/>
          <w:b w:val="false"/>
          <w:color w:val="000000"/>
          <w:sz w:val="20"/>
        </w:rPr>
        <w: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Shionogi</w:t>
      </w:r>
      <w:r>
        <w:rPr>
          <w:color w:val="000000"/>
        </w:rPr>
        <w:t xml:space="preserve"> </w:t>
      </w:r>
      <w:r>
        <w:rPr>
          <w:rFonts w:ascii="Times New Roman;serif" w:hAnsi="Times New Roman;serif"/>
          <w:b w:val="false"/>
          <w:color w:val="000000"/>
          <w:sz w:val="20"/>
        </w:rPr>
        <w:t xml:space="preserve">- The Company also has a collaboration agreement with Shionogi whereby the Company is entitled to receive royalties and milestone payments upon achievement of certain milestones. The Shionogi Collaboration Agreement also includes arrangement for the supply of drug product for Shionogi’s clinical trials. The Company concluded that Shionogi meets the definition of a customer because the Company is delivering intellectual property and know-how rights for the zuranolone program in support of territories in which the parties are not jointly sharing the risks and rewards. In addition, the Company determined that the Shionogi Collaboration Agreement met the requirements to be accounted for as a contract, including that it is probable that the Company will collect the consideration to which the Company is entitled in exchange for the goods or services that will be delivered to Shionogi. The Company assessed the promises at contract inception and determined that the license to zuranolone and supply of products to Shionogi are reflective of a vendor-customer relationship and therefore represent performance obligations within the scope of ASC 606.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determined that the performance obligations in the Shionogi Collaboration Agreement included the license to zuranolone and the supply of certain materials during the clinical development phase, which includes the supply of API. The performance obligation related to the license to zuranolone was determined to be distinct from other performance obligations and therefore was a separate performance obligation for which control was transferred upon signing, and is recorded in </w:t>
      </w:r>
      <w:r>
        <w:rPr>
          <w:rFonts w:ascii="Times New Roman;serif" w:hAnsi="Times New Roman;serif"/>
          <w:b w:val="false"/>
          <w:i/>
          <w:color w:val="000000"/>
          <w:sz w:val="20"/>
        </w:rPr>
        <w:t>Royalty, licensing, and other revenues</w:t>
      </w:r>
      <w:r>
        <w:rPr>
          <w:rFonts w:ascii="Times New Roman;serif" w:hAnsi="Times New Roman;serif"/>
          <w:b w:val="false"/>
          <w:color w:val="000000"/>
          <w:sz w:val="20"/>
        </w:rPr>
        <w:t xml:space="preserve">. The obligation to provide certain clinical materials, including API for use during the development period, was determined to be a separate performance obligation, and is recorded in </w:t>
      </w:r>
      <w:r>
        <w:rPr>
          <w:rFonts w:ascii="Times New Roman;serif" w:hAnsi="Times New Roman;serif"/>
          <w:b w:val="false"/>
          <w:i/>
          <w:color w:val="000000"/>
          <w:sz w:val="20"/>
        </w:rPr>
        <w:t>Royalty, licensing, and other revenues</w:t>
      </w:r>
      <w:r>
        <w:rPr>
          <w:rFonts w:ascii="Times New Roman;serif" w:hAnsi="Times New Roman;serif"/>
          <w:b w:val="false"/>
          <w:color w:val="000000"/>
          <w:sz w:val="20"/>
        </w:rPr>
        <w:t xml:space="preserve">.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additional information on the collaboration agreements with Biogen and Shionogi, as well as the Company's other collaboration arrangements, refer to Note 15, </w:t>
      </w:r>
      <w:r>
        <w:rPr>
          <w:rFonts w:ascii="Times New Roman;serif" w:hAnsi="Times New Roman;serif"/>
          <w:b w:val="false"/>
          <w:i/>
          <w:color w:val="000000"/>
          <w:sz w:val="20"/>
        </w:rPr>
        <w:t>Collaboration Agreements</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Advertising Expense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expense includes the cost of promotional materials and activities, such as printed materials and digital marketing, marketing programs and speaker programs. The cost of the Company's advertising efforts is expensed as incurred.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In addition, under the collaboration agreement with Biogen, the Company and Biogen equally share in the costs of development and commercialization of ZURZUVAE. Commercial activities under the collaboration agreement may include advertising expenses. The Company's proportionate share of the costs of commercial activities under the collaboration agreement is recorded as a component of </w:t>
      </w: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in the unaudited condensed consolidated statement of earnings (loss). Refer to Note 15, </w:t>
      </w:r>
      <w:r>
        <w:rPr>
          <w:rFonts w:ascii="Times New Roman;serif" w:hAnsi="Times New Roman;serif"/>
          <w:b w:val="false"/>
          <w:i/>
          <w:color w:val="000000"/>
          <w:sz w:val="20"/>
        </w:rPr>
        <w:t>Collaboration Agreements</w:t>
      </w:r>
      <w:r>
        <w:rPr>
          <w:rFonts w:ascii="Times New Roman;serif" w:hAnsi="Times New Roman;serif"/>
          <w:b w:val="false"/>
          <w:color w:val="000000"/>
          <w:sz w:val="20"/>
        </w:rPr>
        <w:t xml:space="preserve">.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incurred $27.7 million and $55.1 million in advertising expense for the three and six months ended June 30, 2026 and $25.3 million and $51.4 million in advertising expense for the three and six months ended June 30, 2025, respectively. These expenses are recorded as a component of </w:t>
      </w: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in the unaudited condensed consolidated statement of earnings (loss).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Insurance Recoveries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policies with third-party insurers that provide for the recovery of certain costs incurred by the Company. The Company records its rights to insurance recoveries as a receivable when the respective costs are reimbursable under applicable insurance policies, it is probable that such costs will be reimbursed, and reimbursement can be reasonably estimated. As such, the Company estimates the percentage of costs that will be reimbursed by the insurance provider to determine the proper amount to record for the insurance receivable.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Insurance recoveries recognized are recorded as a reduction to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xml:space="preserve">. The Company had $2.4 million and $3.9 million of insurance recoveries during the three and six months ended June 30, 2026, respectively, and $1.0 million and $5.4 million of insurance recoveries during the three and six months ended June 30, 2025, respectively. Insurance receivable was $4.3 million and $1.8 million as of June 30, 2026 and December 31, 2025, respectively.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New Accounting Pronouncements Not Yet Adopted</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2024-03, </w:t>
      </w:r>
      <w:r>
        <w:rPr>
          <w:rFonts w:ascii="Times New Roman;serif" w:hAnsi="Times New Roman;serif"/>
          <w:b w:val="false"/>
          <w:i/>
          <w:color w:val="151515"/>
          <w:sz w:val="20"/>
        </w:rPr>
        <w:t>Disaggregation of Income Statement Expenses (Topic 220)</w:t>
      </w:r>
      <w:r>
        <w:rPr>
          <w:color w:val="151515"/>
        </w:rPr>
        <w:t xml:space="preserve"> </w:t>
      </w:r>
      <w:r>
        <w:rPr>
          <w:rFonts w:ascii="Times New Roman;serif" w:hAnsi="Times New Roman;serif"/>
          <w:b w:val="false"/>
          <w:color w:val="151515"/>
          <w:sz w:val="20"/>
        </w:rPr>
        <w:t xml:space="preserve">- The new standard, issued in November 2024, requires additional disclosure in tabular format, about the nature of specific types of expense captions presented on the face of the income statement as well as disclosures about selling expenses. The new standard does not change the requirements for the presentation of expenses on the face of the income statement. </w:t>
      </w:r>
      <w:r>
        <w:rPr>
          <w:rFonts w:ascii="Times New Roman;serif" w:hAnsi="Times New Roman;serif"/>
          <w:b w:val="false"/>
          <w:color w:val="000000"/>
          <w:sz w:val="20"/>
        </w:rPr>
        <w:t>The standard is effective with annual periods beginning after December 15, 2026. Early adoption and retrospective application are permitted. The Company plans to adopt the guidance for the fiscal year ending December 31, 2027. We expect ASU 2024-03 to require additional disclosures in the notes to our consolidated financial statements. The Company is currently evaluating the effects the adoption of this guidance will have on the consolidated financial statements.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(ASU 2025-06) </w:t>
      </w:r>
      <w:r>
        <w:rPr>
          <w:rFonts w:ascii="Times New Roman;serif" w:hAnsi="Times New Roman;serif"/>
          <w:b w:val="false"/>
          <w:color w:val="000000"/>
          <w:sz w:val="20"/>
        </w:rPr>
        <w:t>- The new standard, issued in September 2025,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The Company plans to adopt the guidance for the fiscal year ending December 31, 2028. The Company is currently evaluating the timing and method of its adoption of ASU 2025-06 and the effects the adoption of this guidance will have on the consolidated financial statements.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2025-11, </w:t>
      </w:r>
      <w:r>
        <w:rPr>
          <w:rFonts w:ascii="Times New Roman;serif" w:hAnsi="Times New Roman;serif"/>
          <w:b w:val="false"/>
          <w:i/>
          <w:color w:val="000000"/>
          <w:sz w:val="20"/>
        </w:rPr>
        <w:t>Interim Reporting - Narrow-Scope Improvements (Topic 270)</w:t>
      </w:r>
      <w:r>
        <w:rPr>
          <w:color w:val="000000"/>
        </w:rPr>
        <w:t xml:space="preserve"> </w:t>
      </w:r>
      <w:r>
        <w:rPr>
          <w:rFonts w:ascii="Times New Roman;serif" w:hAnsi="Times New Roman;serif"/>
          <w:b w:val="false"/>
          <w:color w:val="000000"/>
          <w:sz w:val="20"/>
        </w:rPr>
        <w:t>- The new standard, issued in December 2025, clarifies the interim reporting requirements by improving navigability of Topic 270 and more clearly specifies what disclosures are required in an interim reporting period. It is not intended to significantly change interim reporting or expand or reduce interim disclosure requirements. The standard is effective for interim reporting periods in fiscal years beginning after December 15, 2027. Early adoption is permitted. The Company plans to adopt the guidance for the fiscal year ending December 31, 2028. The Company is currently evaluating the effects the adoption of this guidance will have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3</w:t>
      </w:r>
      <w:r>
        <w:rPr>
          <w:rFonts w:ascii="Times New Roman;serif" w:hAnsi="Times New Roman;serif"/>
          <w:b w:val="false"/>
          <w:color w:val="000000"/>
          <w:sz w:val="20"/>
        </w:rPr>
        <w:t xml:space="preserve">. </w:t>
      </w:r>
      <w:r>
        <w:rPr>
          <w:rFonts w:ascii="Times New Roman;serif" w:hAnsi="Times New Roman;serif"/>
          <w:b/>
          <w:color w:val="000000"/>
          <w:sz w:val="20"/>
        </w:rPr>
        <w:t xml:space="preserve">Sage Acquisition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2025 (the Sage Closing Date), the Company completed its acquisition of all the outstanding equity of Sage Therapeutics, Inc. (Sage) pursuant to the Sage Merger Agreement dated June 13, 2025 (the Sage Acquisition). Under the terms of the Sage Merger Agreement, the Company commenced a tender offer to acquire all outstanding shares of Sage, par value $0.0001 per share (the Shares and each, a Share), at an offer price of (i) $8.50 per share in cash, less any applicable withholding taxes and without interest (the Cash Amount; an aggregate of approximately $561 million), plus (ii) one contingent value right per Share (the "CVR"; an aggregate of approximately $234 million, subject to the achievement of specific contingencies), which represents the right to receive up to $3.50, which is governed by the terms of a contingent value rights agreement entered into between the Company and CVR Agent (the Sage CVR Agreement), in cash, less any applicable withholding taxes and without interest. The transaction provides Supernus with the right to develop and market ZURZUVAE® (zuranolone) capsules, the first and only U.S. Food and Drug Administration (FDA)-approved oral medicine indicated for the treatment of adults with postpartum depression and a late-stage product candidate.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Contingent payments of up to $234 million are due to the sellers upon the achievement of certain milestones related to the development and commercial sale of ZURZUVAE. The possible outcomes for the contingent consideration range from $0 to $234 million on an undiscounted basis as of the Sage Closing Date. See Note 7, </w:t>
      </w:r>
      <w:r>
        <w:rPr>
          <w:rFonts w:ascii="Times New Roman;serif" w:hAnsi="Times New Roman;serif"/>
          <w:b w:val="false"/>
          <w:i/>
          <w:color w:val="000000"/>
          <w:sz w:val="20"/>
        </w:rPr>
        <w:t xml:space="preserve">Contingent Consideration, </w:t>
      </w:r>
      <w:r>
        <w:rPr>
          <w:rFonts w:ascii="Times New Roman;serif" w:hAnsi="Times New Roman;serif"/>
          <w:b w:val="false"/>
          <w:color w:val="000000"/>
          <w:sz w:val="20"/>
        </w:rPr>
        <w:t xml:space="preserve">for further discussion.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acquisition is being accounted for as a business combination under the acquisition method of accounting,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The excess of the purchase price over the fair value of the net assets acquired was recorded as goodwill. The estimated fair values of the assets acquired and liabilities assumed, including goodwill, have been included in the Company's condensed consolidated financial statements since the Sage Closing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accounting for this acquisition is preliminary and fair value estimates for the assets acquired and liabilities assumed and the Company's estimates and assumptions are subject to change as the Company obtains additional information for its estimates during the measurement period. During the measurement period, if the Company obtains new information regarding facts and circumstances that existed as of the Sage Closing Date that, if known, would have resulted in revised estimated values of those assets or liabilities, the Company will accordingly revise its estimates of fair values and purchase price allocation. The effect of measurement period adjustments on the estimated fair value elements will be reflected as if the adjustments had been made as of the Sage Closing Date. The impact of all changes that do not qualify as measurement period adjustments will be included in current period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finalize its purchase price allocation within one year of the Sage Closing Date. In addition, the Company continues to analyze and assess relevant information necessary to determine, recognize, and record at fair value the assets acquired and liabilities assumed in the following areas: intangible assets and tax assets and liabilities. The activities the Company is currently undertaking, include but are not limited to the following: review of contracts, review of tax positions and other tax-related matters. Further, the Company is in the process of obtaining input from third party valuation firms with respect to the fair value of the acquired intangible assets and other information necessary to record and measure the assets acquired and liabilities assumed. Accordingly, the preliminary recognition and measurement of assets acquired and liabilities assumed as of the Sage Closing Date are subject to 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preliminary purchase price allocation table presents the Company' preliminary estimates of the fair value of assets acquired and liabilities assumed as of the Sage Closing Date (unaudited, dollars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7"/>
        <w:gridCol w:w="1401"/>
        <w:gridCol w:w="1408"/>
        <w:gridCol w:w="297"/>
        <w:gridCol w:w="1168"/>
        <w:gridCol w:w="153"/>
        <w:gridCol w:w="109"/>
        <w:gridCol w:w="109"/>
        <w:gridCol w:w="109"/>
        <w:gridCol w:w="665"/>
        <w:gridCol w:w="1281"/>
        <w:gridCol w:w="345"/>
        <w:gridCol w:w="109"/>
        <w:gridCol w:w="109"/>
        <w:gridCol w:w="109"/>
        <w:gridCol w:w="211"/>
        <w:gridCol w:w="826"/>
        <w:gridCol w:w="159"/>
      </w:tblGrid>
      <w:tr>
        <w:trPr/>
        <w:tc>
          <w:tcPr>
            <w:tcW w:w="163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 Initially Reported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Measurement Period Adjustments </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w:t>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243,197 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243,197 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Inventories, net </w:t>
            </w:r>
            <w:r>
              <w:rPr>
                <w:rFonts w:ascii="Times New Roman;serif" w:hAnsi="Times New Roman;serif"/>
                <w:b w:val="false"/>
                <w:color w:val="000000"/>
                <w:sz w:val="13"/>
              </w:rPr>
              <w:t>(c)</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(c)</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asset </w:t>
            </w:r>
            <w:r>
              <w:rPr>
                <w:rFonts w:ascii="Times New Roman;serif" w:hAnsi="Times New Roman;serif"/>
                <w:b w:val="false"/>
                <w:color w:val="000000"/>
                <w:sz w:val="13"/>
              </w:rPr>
              <w:t>(d)</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Intangible assets </w:t>
            </w:r>
            <w:r>
              <w:rPr>
                <w:rFonts w:ascii="Times New Roman;serif" w:hAnsi="Times New Roman;serif"/>
                <w:b w:val="false"/>
                <w:color w:val="000000"/>
                <w:sz w:val="13"/>
              </w:rPr>
              <w:t>(e)</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income tax assets, net </w:t>
            </w:r>
            <w:r>
              <w:rPr>
                <w:rFonts w:ascii="Times New Roman;serif" w:hAnsi="Times New Roman;serif"/>
                <w:b w:val="false"/>
                <w:color w:val="000000"/>
                <w:sz w:val="13"/>
              </w:rPr>
              <w:t>(f)</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acquired</w:t>
            </w:r>
          </w:p>
        </w:tc>
        <w:tc>
          <w:tcPr>
            <w:tcW w:w="14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603,739 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23,618 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627,357 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accrued liabilities </w:t>
            </w:r>
          </w:p>
        </w:tc>
        <w:tc>
          <w:tcPr>
            <w:tcW w:w="14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44,232 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liabilities </w:t>
            </w:r>
            <w:r>
              <w:rPr>
                <w:rFonts w:ascii="Times New Roman;serif" w:hAnsi="Times New Roman;serif"/>
                <w:b w:val="false"/>
                <w:color w:val="000000"/>
                <w:sz w:val="13"/>
              </w:rPr>
              <w:t>(g)</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liabilities assumed</w:t>
            </w:r>
          </w:p>
        </w:tc>
        <w:tc>
          <w:tcPr>
            <w:tcW w:w="14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14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547,127 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546,776 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Sage's common stock</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cash settlement of Sage's equity awards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(a) Amounts were initially reported within the Company's Quarterly Report on Form 10-Q for the quarter ended September 30, 2025, filed with the SEC on November 6, 2025.</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(b) Measurement period adjustments reflect changes based on information related to the facts and circumstances that existed as of the acquisition date.</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(c) Measurement period adjustment related to the refinement of the acquired inventory population.</w:t>
      </w:r>
    </w:p>
    <w:p>
      <w:pPr>
        <w:pStyle w:val="TextBody"/>
        <w:bidi w:val="0"/>
        <w:spacing w:lineRule="auto" w:line="288" w:before="0" w:after="0"/>
        <w:ind w:left="0" w:right="0" w:hanging="270"/>
        <w:jc w:val="left"/>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3"/>
        </w:rPr>
        <w:t>Refinement of the estimate of fair value of the right of use (ROU) asset associated with the acquired Sage headquarters lease. Refer to Note 13, Leases</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 xml:space="preserve">(e) Measurement period adjustments to intangible assets are primarily due to update in inputs and assumptions based on information related to the facts and circumstances that existed as of the acquisition date. </w:t>
      </w:r>
    </w:p>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(f) Represents the preliminary income tax impact of the transaction.</w:t>
      </w:r>
    </w:p>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(g) Measurement period adjustment related to the Company's accounting policy related to the collaboration arrangement with Biogen.</w:t>
      </w:r>
    </w:p>
    <w:p>
      <w:pPr>
        <w:pStyle w:val="TextBody"/>
        <w:bidi w:val="0"/>
        <w:spacing w:before="0" w:after="0"/>
        <w:ind w:left="0" w:right="0" w:hanging="270"/>
        <w:jc w:val="left"/>
        <w:rPr/>
      </w:pPr>
      <w:r>
        <w:rPr/>
      </w:r>
    </w:p>
    <w:p>
      <w:pPr>
        <w:pStyle w:val="TextBody"/>
        <w:bidi w:val="0"/>
        <w:spacing w:lineRule="auto" w:line="288" w:before="200" w:after="283"/>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 xml:space="preserve">Acquired Inventory </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inventory was estimated using the comparative sales method, which estimated the expected selling price of the product, reduced by all costs expected to be incurred to complete or to dispose of the inventory, as well as a profit on the sale. </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Acquired Lease</w:t>
      </w:r>
    </w:p>
    <w:p>
      <w:pPr>
        <w:pStyle w:val="TextBody"/>
        <w:bidi w:val="0"/>
        <w:spacing w:lineRule="auto" w:line="268" w:before="200" w:after="283"/>
        <w:ind w:left="0" w:right="0" w:firstLine="720"/>
        <w:jc w:val="left"/>
        <w:rPr/>
      </w:pPr>
      <w:r>
        <w:rPr>
          <w:rFonts w:ascii="Times New Roman;serif" w:hAnsi="Times New Roman;serif"/>
          <w:b w:val="false"/>
          <w:color w:val="000000"/>
          <w:sz w:val="20"/>
        </w:rPr>
        <w:t xml:space="preserve">As part of the Sage Acquisition, the Company acquired a lease for commercial real estate. The Company recognized a right-of-use asset and operating lease liability at the acquisition date. The amounts recognized reflect the present value of remaining lease payments, discounted at the Company's incremental borrowing rate. The fair value of the lease ROU asset was measured at an amount equal to the lease liability and evaluated for favorable or unfavorable lease terms when compared with market terms. Refer to Note 13, </w:t>
      </w:r>
      <w:r>
        <w:rPr>
          <w:rFonts w:ascii="Times New Roman;serif" w:hAnsi="Times New Roman;serif"/>
          <w:b w:val="false"/>
          <w:i/>
          <w:color w:val="000000"/>
          <w:sz w:val="20"/>
        </w:rPr>
        <w:t xml:space="preserve">Leases, </w:t>
      </w:r>
      <w:r>
        <w:rPr>
          <w:rFonts w:ascii="Times New Roman;serif" w:hAnsi="Times New Roman;serif"/>
          <w:b w:val="false"/>
          <w:color w:val="000000"/>
          <w:sz w:val="20"/>
        </w:rPr>
        <w:t>for further discussion of the acquired lease asset and assumed lease liability.</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Acquired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acquired intangible asset includes the acquired developed technology and product rights. The Company estimated the fair value of the acquired intangible asset as of the Sage Closing Date using the income approach. The fair value measurements of the acquired intangible asset was estimated based on significant unobservable inputs and therefore, represent a Level 3 fair value measurement. Some of the more significant inputs and assumptions used in the intangible assets valuation include: the estimated future cash flows from product sales, probability of achieving regulatory approval in certain territories, the timing and projection of costs and expenses, and discount rates.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purchase price allocation, and the average remaining useful lives for identifiable intangible assets (unaudited, dollars in thousands): </w:t>
      </w:r>
    </w:p>
    <w:tbl>
      <w:tblPr>
        <w:tblW w:w="7578" w:type="dxa"/>
        <w:jc w:val="center"/>
        <w:tblInd w:w="0" w:type="dxa"/>
        <w:tblLayout w:type="fixed"/>
        <w:tblCellMar>
          <w:top w:w="28" w:type="dxa"/>
          <w:left w:w="28" w:type="dxa"/>
          <w:bottom w:w="28" w:type="dxa"/>
          <w:right w:w="28" w:type="dxa"/>
        </w:tblCellMar>
      </w:tblPr>
      <w:tblGrid>
        <w:gridCol w:w="1550"/>
        <w:gridCol w:w="1358"/>
        <w:gridCol w:w="1367"/>
        <w:gridCol w:w="211"/>
        <w:gridCol w:w="826"/>
        <w:gridCol w:w="109"/>
        <w:gridCol w:w="109"/>
        <w:gridCol w:w="109"/>
        <w:gridCol w:w="109"/>
        <w:gridCol w:w="536"/>
        <w:gridCol w:w="536"/>
        <w:gridCol w:w="758"/>
      </w:tblGrid>
      <w:tr>
        <w:trPr/>
        <w:tc>
          <w:tcPr>
            <w:tcW w:w="15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Useful Lives </w:t>
              <w:br/>
              <w:t>(in years)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technology and product rights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are amortized over their estimated useful lives on a straight-line basis. The Company recognized $0.3 million of amortization expense in the six months ended June 30, 2026 which would have been recognized in the year ended December 31, 2025 if the adjustment to provisional amounts were recognized as of the Sage Closing Date.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200" w:after="283"/>
        <w:ind w:left="0" w:right="0" w:firstLine="720"/>
        <w:jc w:val="left"/>
        <w:rPr/>
      </w:pPr>
      <w:r>
        <w:rPr>
          <w:rFonts w:ascii="Times New Roman;serif" w:hAnsi="Times New Roman;serif"/>
          <w:b w:val="false"/>
          <w:color w:val="000000"/>
          <w:sz w:val="20"/>
        </w:rPr>
        <w:t>Goodwill was calculated as the excess of the consideration paid consequent to completing the acquisition, compared to the net assets recognized. Goodwill represents the future economic benefits from the other acquired assets, and which could not be individually identified and separately valued. Goodwill is primarily attributable to the additional acquired growth platforms and an expanded revenue base. Goodwill is not deductible for tax purposes</w:t>
      </w:r>
      <w:r>
        <w:rPr>
          <w:rFonts w:ascii="Times New Roman;serif" w:hAnsi="Times New Roman;serif"/>
          <w:b w:val="false"/>
          <w:i/>
          <w:color w:val="000000"/>
          <w:sz w:val="20"/>
        </w:rPr>
        <w:t xml:space="preserv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Revenues and Net Earnings of Sage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operations of Sage and its subsidiaries have been included in the Company's condensed consolidated statements of earnings (loss) for the period subsequent to the Sage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 xml:space="preserve">Disaggregated Revenues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total revenues (dollars in thousands):</w:t>
      </w:r>
    </w:p>
    <w:tbl>
      <w:tblPr>
        <w:tblW w:w="9360" w:type="dxa"/>
        <w:jc w:val="left"/>
        <w:tblInd w:w="0" w:type="dxa"/>
        <w:tblLayout w:type="fixed"/>
        <w:tblCellMar>
          <w:top w:w="28" w:type="dxa"/>
          <w:left w:w="28" w:type="dxa"/>
          <w:bottom w:w="28" w:type="dxa"/>
          <w:right w:w="28" w:type="dxa"/>
        </w:tblCellMar>
      </w:tblPr>
      <w:tblGrid>
        <w:gridCol w:w="1201"/>
        <w:gridCol w:w="1054"/>
        <w:gridCol w:w="105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Collaboration revenue (ZURZUVAE)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68" w:before="0" w:after="0"/>
        <w:jc w:val="left"/>
        <w:rPr/>
      </w:pPr>
      <w:r>
        <w:rPr>
          <w:rFonts w:ascii="Times New Roman;serif" w:hAnsi="Times New Roman;serif"/>
          <w:b w:val="false"/>
          <w:color w:val="000000"/>
          <w:sz w:val="12"/>
        </w:rPr>
        <w:t xml:space="preserve">(b) </w:t>
      </w:r>
      <w:r>
        <w:rPr>
          <w:rFonts w:ascii="Times New Roman;serif" w:hAnsi="Times New Roman;serif"/>
          <w:b w:val="false"/>
          <w:color w:val="000000"/>
          <w:sz w:val="18"/>
        </w:rPr>
        <w:t xml:space="preserve">Includes the Company's proportionate share of net sales of ZURZUVAE.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$20.0 million of licensing revenue in the six months ended June 30, 2026 related to the achievement of a commercial milestone under the Company's collaboration agreement with Shionogi.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Adjustments related to prior year sales for the six months ended June 30, 2026 were approximately 1% of net product sales. Adjustments related to prior year sales for the six months ended June 30, 2025 were approximately 4% of net product sales. In 2025, the Company had favorable actual returns experience and as a result, the Company changed its estimated provision for product returns based on the most recent experience. Adjustments related to prior year sales for the six months ended June 30, 2025 were primarily attributable to Qelbree.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manufacturing facilities for the commercial production of any of our commercial products. We currently depend on third-party clinical manufacturing organizations (CMOs), who offer a comprehensive range of contract manufacturing and packaging services, in various countries for the supply of active product ingredients (API), and finished goods for our commercial products. For most of our commercial products, we rely on single source suppliers to produce and package final dosage forms for our products and raw materials, including API.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4, 2025, the Company announced that due to stronger than expected demand for ONAPGO, supplier constraints were impacting the Company's ability to fully meet this demand. ONAPGO is manufactured in Europe, supplied to us by our ONAPGO licensing partner, and packaged in the U.S. by a third-party CMO. The Company relies on single source suppliers to produce and package final dosage forms for ONAPGO. In February 2026, the Company announced that it has made progress in securing additional product supply of ONAPGO from the current supplier and, as a result, has resumed new patient initiation. In addition, the Company is working with a second supplier that is expected to begin supplying ONAPGO in 2027, provided regulatory approval is obtained. Any changes in any of the suppliers would require regulatory approval which could cause a further delay in manufacturing and a possible loss of sales, which could affect future operating results adversely.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5</w:t>
      </w:r>
      <w:r>
        <w:rPr>
          <w:rFonts w:ascii="Times New Roman;serif" w:hAnsi="Times New Roman;serif"/>
          <w:b w:val="false"/>
          <w:color w:val="000000"/>
          <w:sz w:val="20"/>
        </w:rPr>
        <w:t xml:space="preserve">. </w:t>
      </w:r>
      <w:r>
        <w:rPr>
          <w:rFonts w:ascii="Times New Roman;serif" w:hAnsi="Times New Roman;serif"/>
          <w:b/>
          <w:color w:val="000000"/>
          <w:sz w:val="20"/>
        </w:rPr>
        <w:t xml:space="preserve">Investments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Unrestricted available-for-sale marketable securities held by the Company are as follows (dollars in thousands):</w:t>
      </w:r>
    </w:p>
    <w:tbl>
      <w:tblPr>
        <w:tblW w:w="8447" w:type="dxa"/>
        <w:jc w:val="left"/>
        <w:tblInd w:w="0" w:type="dxa"/>
        <w:tblLayout w:type="fixed"/>
        <w:tblCellMar>
          <w:top w:w="28" w:type="dxa"/>
          <w:left w:w="28" w:type="dxa"/>
          <w:bottom w:w="28" w:type="dxa"/>
          <w:right w:w="28" w:type="dxa"/>
        </w:tblCellMar>
      </w:tblPr>
      <w:tblGrid>
        <w:gridCol w:w="1967"/>
        <w:gridCol w:w="1729"/>
        <w:gridCol w:w="1734"/>
        <w:gridCol w:w="211"/>
        <w:gridCol w:w="826"/>
        <w:gridCol w:w="109"/>
        <w:gridCol w:w="109"/>
        <w:gridCol w:w="109"/>
        <w:gridCol w:w="109"/>
        <w:gridCol w:w="273"/>
        <w:gridCol w:w="1072"/>
        <w:gridCol w:w="199"/>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U.S. government agency and municipal debt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all of the Company's unrestricted available-for-sale marketable securities have contractual maturities of one year or less.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was no impairment due to credit loss on any available-for-sale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6.    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the fair value of assets and liabilities using a three level measurement hierarchy that prioritizes the inputs used to measure fair value. Fair value hierarchy consists of the following three levels: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1—Valuations based on unadjusted quoted prices in active markets that are accessible at measurement date for identical assets.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 and Liabilities Recorded at Fair Value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required to be measured at fair value on a recurring basis are as follows (dollars in thousands):</w:t>
      </w:r>
    </w:p>
    <w:tbl>
      <w:tblPr>
        <w:tblW w:w="8640"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66"/>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Measurements as of June 30, 2026 (unaudited) </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95"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financial instruments, including accounts receivable, accounts payable, and accrued expenses approximate fair value due to their short-term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7. Contingent Consideration</w:t>
      </w:r>
    </w:p>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contingent consideration liabilities (dollars in thousands):</w:t>
      </w:r>
    </w:p>
    <w:tbl>
      <w:tblPr>
        <w:tblW w:w="10046" w:type="dxa"/>
        <w:jc w:val="left"/>
        <w:tblInd w:w="0" w:type="dxa"/>
        <w:tblLayout w:type="fixed"/>
        <w:tblCellMar>
          <w:top w:w="28" w:type="dxa"/>
          <w:left w:w="28" w:type="dxa"/>
          <w:bottom w:w="28" w:type="dxa"/>
          <w:right w:w="28" w:type="dxa"/>
        </w:tblCellMar>
      </w:tblPr>
      <w:tblGrid>
        <w:gridCol w:w="2553"/>
        <w:gridCol w:w="2245"/>
        <w:gridCol w:w="2251"/>
        <w:gridCol w:w="302"/>
        <w:gridCol w:w="667"/>
        <w:gridCol w:w="156"/>
        <w:gridCol w:w="109"/>
        <w:gridCol w:w="109"/>
        <w:gridCol w:w="109"/>
        <w:gridCol w:w="300"/>
        <w:gridCol w:w="1026"/>
        <w:gridCol w:w="219"/>
      </w:tblGrid>
      <w:tr>
        <w:trPr/>
        <w:tc>
          <w:tcPr>
            <w:tcW w:w="255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under the following captions in the condensed consolidated balance sheets:</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contingent consideration liabilities as of June 30, 2026 and December 31, 2025 are related to the Sage Acquisition in 2025.</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Sage Contingent Consideration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the Sage Acquisition Date, the contingent consideration liabilities are measured using either a market participant approach with both implied fair value from the stock price combined with a Monte Carlo simulation or income approach. At June 30, 2026, the contingent consideration are measured using the income approach. The Company classifies contingent consideration liabilities as Level 3 fair value measurements in the period where significant unobservable inputs were used to estimate fair value. These reflect the inputs and assumptions the Company believes would be made by market participants. Changes in any of those inputs together or in isolation may result in significantly lower or higher fair value measurement. The key assumptions considered include the estimated amount and timing of projected revenues, volatility, probability of milestone achievement, estimated discount rates, and risk-free interest rate. The change in fair value is reported on the condensed consolidated statement of earnings (loss) in </w:t>
      </w:r>
      <w:r>
        <w:rPr>
          <w:rFonts w:ascii="Times New Roman;serif" w:hAnsi="Times New Roman;serif"/>
          <w:b w:val="false"/>
          <w:i/>
          <w:color w:val="000000"/>
          <w:sz w:val="20"/>
        </w:rPr>
        <w:t>Contingent consideration loss</w:t>
      </w:r>
      <w:r>
        <w:rPr>
          <w:rFonts w:ascii="Times New Roman;serif" w:hAnsi="Times New Roman;serif"/>
          <w:b w:val="false"/>
          <w:color w:val="000000"/>
          <w:sz w:val="20"/>
        </w:rPr>
        <w: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2025, the Company completed the Sage Acquisition. The Sage Acquisition included payment of one contingent value right (Sage CVR) which represents the right to receive up to $3.50, which is governed by the terms of a contingent value rights agreement entered into between the Company and CVR Agent (Sage CVR Agreement), in cash, less any applicable withholding taxes and without interest.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Sage CVR Agreement, (1) $1.00 per share would be payable if in any calendar year between closing and end of 2027, annual net sales (as defined in the Sage CVR Agreement) of ZURZUVAE allocable to Supernus or any of its affiliates reach $250 million or more in the U.S., (2) $1.00 per share would be payable if in any calendar year between closing and end of 2028, annual net sales (as defined in the Sage CVR Agreement) of ZURZUVAE allocable to Supernus or any of its affiliates reach $300 million or more in the U.S., (3) $1.00 per share would be payable if in any calendar year between closing and end of 2030, annual net sales (as defined in the Sage CVR Agreement) of ZURZUVAE allocable to Supernus or any of its affiliates reach $375 million or more in the U.S., and (4) $0.50 per share would be payable upon the first commercial sale in Japan to a third-party customer after regulatory approval for ZURZUVAE for the treatment of MDD in Japan by June 30, 2026. The maximum amount payable with respect to a CVR issued in respect to each Share is $3.50, an aggregate of approximately $234 million.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ZURZUVAE received regulatory approval for the treatment of MDD in Japan in December 2025. In March 2026, Shionogi announced the successful commercial launch of a product containing zuranolone for the treatment of MDD in Japan. As such, the CVR became due and payable and the Company accreted the liability to the full milestone payout amount of $33.4 million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as of March 31, 2026. The Company paid the milestone amount of $33.4 million in June 2026 and thus, derecognized the liability. The possible outcomes for the remaining unmet milestones range from $0 to $201 million on an undiscounted basis as of June 30, 2026.</w:t>
      </w:r>
    </w:p>
    <w:p>
      <w:pPr>
        <w:pStyle w:val="TextBody"/>
        <w:bidi w:val="0"/>
        <w:spacing w:lineRule="auto" w:line="288" w:before="200" w:after="200"/>
        <w:jc w:val="left"/>
        <w:rPr/>
      </w:pPr>
      <w:r>
        <w:rPr>
          <w:rFonts w:ascii="Times New Roman;serif" w:hAnsi="Times New Roman;serif"/>
          <w:b w:val="false"/>
          <w:i/>
          <w:color w:val="000000"/>
          <w:sz w:val="20"/>
        </w:rPr>
        <w:t>USWM Contingent Consideration</w:t>
      </w:r>
      <w:r>
        <w:rPr>
          <w:color w:val="000000"/>
        </w:rPr>
        <w:t xml:space="preserv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At December 31, 2024, there were two remaining outstanding milestones, one related to the approval of ONAPGO and the other related to the commercial launch of ONAPGO. Both milestones were met in 2025 and the liability was accreted to the milestone amounts due resulting in the recognition of $7.7 million change in fair value of contingent consideration. In February 2025, the Company paid the $25 million milestone related to the FDA's approval of ONAPGO in February 2025. ONAPGO was launched in April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pPr>
      <w:r>
        <w:rPr>
          <w:rFonts w:ascii="Times New Roman;serif" w:hAnsi="Times New Roman;serif"/>
          <w:b w:val="false"/>
          <w:color w:val="000000"/>
          <w:sz w:val="20"/>
        </w:rPr>
        <w:t xml:space="preserve">and the $30 million milestone payment related to the commercial launch of ONAPGO, subject to certain holdbacks as permitted under the Sale and Purchase Agreement Relating to USWM Enterprises, LLC, dated April 28, 2020, by and between US WorldMeds Partners, LLC and Supernus Pharmaceuticals, Inc., (USWM Sale and Purchase Agreement) became due and payable. Of the $30 million, the Company paid $2.3 million in the second quarter of 2025 and the remaining amount held was reclassified to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in the condensed consolidated balance sheet as the milestone had been met but payment remains subject to certain holdbacks permitted under the USWM Sale and Purchase Agreement. The outstanding liability as of June 30, 2026 was $31.4 million, which includes the principal amount held back and related accrued interest and legal expenses. Following a proceeding in the Superior Court of the State of Delaware, during the second quarter of 2026, the Company was ordered to pay USWM the held back principal, as well as accrued interest and legal expenses.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Change in the Fair Value of Contingent Consideration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the beginning and ending balances related to the contingent consideration liability for the USWM Acquisition and Sage Acquisition (dollars in thousands):</w:t>
      </w:r>
    </w:p>
    <w:tbl>
      <w:tblPr>
        <w:tblW w:w="8232" w:type="dxa"/>
        <w:jc w:val="left"/>
        <w:tblInd w:w="0" w:type="dxa"/>
        <w:tblLayout w:type="fixed"/>
        <w:tblCellMar>
          <w:top w:w="28" w:type="dxa"/>
          <w:left w:w="28" w:type="dxa"/>
          <w:bottom w:w="28" w:type="dxa"/>
          <w:right w:w="28" w:type="dxa"/>
        </w:tblCellMar>
      </w:tblPr>
      <w:tblGrid>
        <w:gridCol w:w="1341"/>
        <w:gridCol w:w="1179"/>
        <w:gridCol w:w="1184"/>
        <w:gridCol w:w="431"/>
        <w:gridCol w:w="830"/>
        <w:gridCol w:w="223"/>
        <w:gridCol w:w="109"/>
        <w:gridCol w:w="109"/>
        <w:gridCol w:w="109"/>
        <w:gridCol w:w="264"/>
        <w:gridCol w:w="904"/>
        <w:gridCol w:w="136"/>
        <w:gridCol w:w="109"/>
        <w:gridCol w:w="109"/>
        <w:gridCol w:w="109"/>
        <w:gridCol w:w="211"/>
        <w:gridCol w:w="721"/>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Sage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recognized in earnings </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Milestone payments </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 (unaudited)</w:t>
            </w:r>
          </w:p>
        </w:tc>
        <w:tc>
          <w:tcPr>
            <w:tcW w:w="4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48" w:type="dxa"/>
        <w:jc w:val="left"/>
        <w:tblInd w:w="0" w:type="dxa"/>
        <w:tblLayout w:type="fixed"/>
        <w:tblCellMar>
          <w:top w:w="28" w:type="dxa"/>
          <w:left w:w="28" w:type="dxa"/>
          <w:bottom w:w="28" w:type="dxa"/>
          <w:right w:w="28" w:type="dxa"/>
        </w:tblCellMar>
      </w:tblPr>
      <w:tblGrid>
        <w:gridCol w:w="1347"/>
        <w:gridCol w:w="1184"/>
        <w:gridCol w:w="1188"/>
        <w:gridCol w:w="301"/>
        <w:gridCol w:w="1029"/>
        <w:gridCol w:w="155"/>
        <w:gridCol w:w="109"/>
        <w:gridCol w:w="109"/>
        <w:gridCol w:w="109"/>
        <w:gridCol w:w="379"/>
        <w:gridCol w:w="729"/>
        <w:gridCol w:w="196"/>
        <w:gridCol w:w="109"/>
        <w:gridCol w:w="109"/>
        <w:gridCol w:w="109"/>
        <w:gridCol w:w="211"/>
        <w:gridCol w:w="721"/>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Sage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Milestone payments </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Reclassification to </w:t>
            </w:r>
            <w:r>
              <w:rPr>
                <w:rFonts w:ascii="Times New Roman;serif" w:hAnsi="Times New Roman;serif"/>
                <w:b w:val="false"/>
                <w:i/>
                <w:color w:val="000000"/>
                <w:sz w:val="20"/>
              </w:rPr>
              <w:t>Other Current Liabilities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 (unaudited)</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fair value of the contingent consideration liability for the USWM milestones:</w:t>
      </w:r>
    </w:p>
    <w:p>
      <w:pPr>
        <w:pStyle w:val="TextBody"/>
        <w:bidi w:val="0"/>
        <w:spacing w:lineRule="auto" w:line="276" w:before="200" w:after="200"/>
        <w:ind w:left="0" w:right="0" w:firstLine="360"/>
        <w:jc w:val="left"/>
        <w:rPr/>
      </w:pPr>
      <w:r>
        <w:rPr>
          <w:color w:val="000000"/>
        </w:rPr>
        <w:t>•</w:t>
      </w:r>
      <w:r>
        <w:rPr>
          <w:rFonts w:ascii="Times New Roman;serif" w:hAnsi="Times New Roman;serif"/>
          <w:b w:val="false"/>
          <w:color w:val="000000"/>
          <w:sz w:val="20"/>
        </w:rPr>
        <w:t xml:space="preserve">No expense was recorded during the three and six months ended June 30, 2026. No expense was recorded during the three months ended June 30, 2025. The Company recorded a $7.7 million expense due to the change in fair value of contingent consideration liabilities for the USWM milestones for the six months ended June 30, 2025. The change in fair value of contingent consideration was primarily due to accretion to the full milestone payment amount with the achievement of the milestones.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the fair value of contingent consideration liability for the Sage CVRs:</w:t>
      </w:r>
    </w:p>
    <w:p>
      <w:pPr>
        <w:pStyle w:val="TextBody"/>
        <w:bidi w:val="0"/>
        <w:spacing w:lineRule="auto" w:line="288" w:before="200" w:after="200"/>
        <w:ind w:left="0" w:right="0" w:firstLine="360"/>
        <w:jc w:val="left"/>
        <w:rPr/>
      </w:pPr>
      <w:r>
        <w:rPr>
          <w:color w:val="000000"/>
        </w:rPr>
        <w:t>•</w:t>
      </w:r>
      <w:r>
        <w:rPr>
          <w:rFonts w:ascii="Times New Roman;serif" w:hAnsi="Times New Roman;serif"/>
          <w:b w:val="false"/>
          <w:color w:val="000000"/>
          <w:sz w:val="20"/>
        </w:rPr>
        <w:t xml:space="preserve">No change in fair value was recorded during the three months ended June 30, 2026. $2.4 million change in fair value was recorded during the six months ended June 30, 2026 due to the achievement for the milestone related to the first commercial sale in Japan to a third-party customer after regulatory approval for ZURZUVAE for the treatment of major depressive disorder (MDD) in Japan by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    Goodwill and Intangible Assets, Net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gross carrying amounts of goodwill (dollars in thousands)</w:t>
      </w:r>
    </w:p>
    <w:tbl>
      <w:tblPr>
        <w:tblW w:w="6279" w:type="dxa"/>
        <w:jc w:val="left"/>
        <w:tblInd w:w="0" w:type="dxa"/>
        <w:tblLayout w:type="fixed"/>
        <w:tblCellMar>
          <w:top w:w="28" w:type="dxa"/>
          <w:left w:w="28" w:type="dxa"/>
          <w:bottom w:w="28" w:type="dxa"/>
          <w:right w:w="28" w:type="dxa"/>
        </w:tblCellMar>
      </w:tblPr>
      <w:tblGrid>
        <w:gridCol w:w="1310"/>
        <w:gridCol w:w="1149"/>
        <w:gridCol w:w="1156"/>
        <w:gridCol w:w="211"/>
        <w:gridCol w:w="826"/>
        <w:gridCol w:w="109"/>
        <w:gridCol w:w="109"/>
        <w:gridCol w:w="109"/>
        <w:gridCol w:w="109"/>
        <w:gridCol w:w="211"/>
        <w:gridCol w:w="82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activity from Sage Acquisition </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Refer to Note 3, </w:t>
      </w:r>
      <w:r>
        <w:rPr>
          <w:rFonts w:ascii="Times New Roman;serif" w:hAnsi="Times New Roman;serif"/>
          <w:b w:val="false"/>
          <w:i/>
          <w:color w:val="000000"/>
          <w:sz w:val="20"/>
        </w:rPr>
        <w:t>Sage Acquisition</w:t>
      </w:r>
      <w:r>
        <w:rPr>
          <w:color w:val="000000"/>
        </w:rPr>
        <w:t xml:space="preserve"> </w:t>
      </w:r>
      <w:r>
        <w:rPr>
          <w:rFonts w:ascii="Times New Roman;serif" w:hAnsi="Times New Roman;serif"/>
          <w:b w:val="false"/>
          <w:color w:val="000000"/>
          <w:sz w:val="20"/>
        </w:rPr>
        <w:t>for further detail.</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gross carrying amounts and related accumulated amortization of intangible assets subject to amortization (dollars in thousands):</w:t>
      </w:r>
    </w:p>
    <w:tbl>
      <w:tblPr>
        <w:tblW w:w="11015" w:type="dxa"/>
        <w:jc w:val="left"/>
        <w:tblInd w:w="0" w:type="dxa"/>
        <w:tblLayout w:type="fixed"/>
        <w:tblCellMar>
          <w:top w:w="28" w:type="dxa"/>
          <w:left w:w="28" w:type="dxa"/>
          <w:bottom w:w="28" w:type="dxa"/>
          <w:right w:w="28" w:type="dxa"/>
        </w:tblCellMar>
      </w:tblPr>
      <w:tblGrid>
        <w:gridCol w:w="381"/>
        <w:gridCol w:w="334"/>
        <w:gridCol w:w="336"/>
        <w:gridCol w:w="350"/>
        <w:gridCol w:w="350"/>
        <w:gridCol w:w="351"/>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w:t>
              <w:br/>
              <w:t>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technology and product rights</w:t>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$25.3 million and $51.0 million for the three and six months ended June 30, 2026, respectively, and $20.8 million and $40.6 million for the three and six months ended June 30, 2025, respectively.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FDA approved ONAPGO and as such, the research and development efforts for the Company's acquired in-process research and development asset is considered complete. As of the FDA approval date, the ONAPGO intangible asset is a definite-life intangible asset subject to amortization and has a useful life of 10 years.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In July 2025, the Company acquired 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(zuranolone), the first and only FDA-approved oral medicine indicated for the treatment of PPD in adults. The ZURZUVAE intangible asset is a definite-lived intangible asset subject to amortization and has a useful life of 8 years.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patents covering Trokendi XR and Oxtellar XR will expire no earlier than 2027. The Company entered into settlement agreements that allowed third parties to enter the Trokendi XR market on January 1, 2023. The Company entered into settlement and license agreements that allowed a third party to enter the Oxtellar XR market in September 2024.</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settlement and license agreements that allows third parties to enter the XADAGO market in December 2027, or sooner under certain conditions.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settlement agreements with third parties permitting the sale of a generic version of GOCOVRI beginning in June 2029, or sooner under certain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In the second quarter of 2026, the Company recognized impairment charges of $54.9 million related to its acquired intangible asset, APOKYN. The primary factors that led to the impairment determination were the performance of the commercial product and the change in the Company's future outlook of the brand as part of the Company's long-term planning process. The Company recognized as impairment loss the difference between the estimated fair value and carrying value of the intangible asset. The Company used the discounted cash flow income approach to estimate the fair values of the intangible assets. The primary inputs and assumptions used in the model included timing and projections of estimated future revenues and cash flows, and discount rate. The fair value measurement is classified as Level 3 within the fair value hierarchy as defined in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xml:space="preserve">, due to the unobservable inputs used. The impairment loss is reported as </w:t>
      </w:r>
      <w:r>
        <w:rPr>
          <w:rFonts w:ascii="Times New Roman;serif" w:hAnsi="Times New Roman;serif"/>
          <w:b w:val="false"/>
          <w:i/>
          <w:color w:val="000000"/>
          <w:sz w:val="20"/>
        </w:rPr>
        <w:t>Intangible asset impairment charges</w:t>
      </w:r>
      <w:r>
        <w:rPr>
          <w:color w:val="000000"/>
        </w:rPr>
        <w:t xml:space="preserve"> </w:t>
      </w:r>
      <w:r>
        <w:rPr>
          <w:rFonts w:ascii="Times New Roman;serif" w:hAnsi="Times New Roman;serif"/>
          <w:b w:val="false"/>
          <w:color w:val="000000"/>
          <w:sz w:val="20"/>
        </w:rPr>
        <w:t>in the condensed consolidated statements of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Uncommitted Demand Secured Line of Credit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8, 2023, the Company entered into a credit line agreement with UBS (the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there was no outstanding debt under the Credit 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Share-Based Payments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Equity Incentive Plan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adopted the Supernus Pharmaceuticals, Inc. 2021 Equity Incentive Plan (2021 Plan) which was approved by the stockholders in June 2021. The 2021 Plan is the successor to, and replaced the 2012 Equity Incentive Plan, as amended (the 2012 Plan). The 2021 Plan is administered by the Company's Board of Directors and the Company's Compensation Committee of the Board. The 2021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In June 2026, the Company's shareholders approved, and the Company has adopted, the Amended and Restated 2021 Equity Incentive Plan (the Amended 2021 Plan) to increase the number of shares of the Company's common stock available for issuance under the 2021 Plan by 4,000,000 shares. The maximum number of shares that can be issued under the Amended 2021 Plan is 19,012,893 shares of the Company's common stock which includes the (i) 4,000,000 shares added pursuant to the adoption of the Amended 2021 Plan, (ii) the number of shares that remain available to be issued or transferred pursuant to awards under the 2021 Equity Incentive Plan as of the adoption date of the Amended 2021 Plan, and (iii) the number of shares that have already been issued or transferred pursuant to awards under the 2021 Plan prior to the approval by the Company’s stockholders of the Amended 2021 Plan. </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is as follows (dollars in thousands):</w:t>
      </w:r>
    </w:p>
    <w:tbl>
      <w:tblPr>
        <w:tblW w:w="7934" w:type="dxa"/>
        <w:jc w:val="left"/>
        <w:tblInd w:w="0" w:type="dxa"/>
        <w:tblLayout w:type="fixed"/>
        <w:tblCellMar>
          <w:top w:w="28" w:type="dxa"/>
          <w:left w:w="28" w:type="dxa"/>
          <w:bottom w:w="28" w:type="dxa"/>
          <w:right w:w="28" w:type="dxa"/>
        </w:tblCellMar>
      </w:tblPr>
      <w:tblGrid>
        <w:gridCol w:w="1071"/>
        <w:gridCol w:w="939"/>
        <w:gridCol w:w="94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$12.3 million of unrecognized compensation expense related to CVRs granted to holders of the accelerated Sage equity awards as of June 30, 2026. This unrecognized compensation expense will be recognized if and when the milestones associated with the CVRs become probable of achievement.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 Options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activities:</w:t>
      </w:r>
    </w:p>
    <w:tbl>
      <w:tblPr>
        <w:tblW w:w="7671" w:type="dxa"/>
        <w:jc w:val="left"/>
        <w:tblInd w:w="0" w:type="dxa"/>
        <w:tblLayout w:type="fixed"/>
        <w:tblCellMar>
          <w:top w:w="28" w:type="dxa"/>
          <w:left w:w="28" w:type="dxa"/>
          <w:bottom w:w="28" w:type="dxa"/>
          <w:right w:w="28" w:type="dxa"/>
        </w:tblCellMar>
      </w:tblPr>
      <w:tblGrid>
        <w:gridCol w:w="1211"/>
        <w:gridCol w:w="1066"/>
        <w:gridCol w:w="1068"/>
        <w:gridCol w:w="488"/>
        <w:gridCol w:w="488"/>
        <w:gridCol w:w="296"/>
        <w:gridCol w:w="109"/>
        <w:gridCol w:w="109"/>
        <w:gridCol w:w="109"/>
        <w:gridCol w:w="253"/>
        <w:gridCol w:w="741"/>
        <w:gridCol w:w="132"/>
        <w:gridCol w:w="109"/>
        <w:gridCol w:w="109"/>
        <w:gridCol w:w="109"/>
        <w:gridCol w:w="373"/>
        <w:gridCol w:w="373"/>
        <w:gridCol w:w="528"/>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6,343,009 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933,392 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(524,249)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 (unaudited)</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6,653,212 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(unaudited):</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6,653,212 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4,075,789 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6,343,009 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3,636,073 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bl>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(RSU) activities:</w:t>
      </w:r>
    </w:p>
    <w:tbl>
      <w:tblPr>
        <w:tblW w:w="7297" w:type="dxa"/>
        <w:jc w:val="left"/>
        <w:tblInd w:w="0" w:type="dxa"/>
        <w:tblLayout w:type="fixed"/>
        <w:tblCellMar>
          <w:top w:w="28" w:type="dxa"/>
          <w:left w:w="28" w:type="dxa"/>
          <w:bottom w:w="28" w:type="dxa"/>
          <w:right w:w="28" w:type="dxa"/>
        </w:tblCellMar>
      </w:tblPr>
      <w:tblGrid>
        <w:gridCol w:w="1162"/>
        <w:gridCol w:w="1023"/>
        <w:gridCol w:w="1025"/>
        <w:gridCol w:w="449"/>
        <w:gridCol w:w="451"/>
        <w:gridCol w:w="296"/>
        <w:gridCol w:w="109"/>
        <w:gridCol w:w="109"/>
        <w:gridCol w:w="109"/>
        <w:gridCol w:w="551"/>
        <w:gridCol w:w="1611"/>
        <w:gridCol w:w="402"/>
      </w:tblGrid>
      <w:tr>
        <w:trPr/>
        <w:tc>
          <w:tcPr>
            <w:tcW w:w="1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 per Share</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396,693 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June 30, 2026 (unaudited)</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345,292 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Performance Share Units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share unit (PSU) activities:</w:t>
      </w:r>
    </w:p>
    <w:tbl>
      <w:tblPr>
        <w:tblW w:w="7405" w:type="dxa"/>
        <w:jc w:val="left"/>
        <w:tblInd w:w="0" w:type="dxa"/>
        <w:tblLayout w:type="fixed"/>
        <w:tblCellMar>
          <w:top w:w="28" w:type="dxa"/>
          <w:left w:w="28" w:type="dxa"/>
          <w:bottom w:w="28" w:type="dxa"/>
          <w:right w:w="28" w:type="dxa"/>
        </w:tblCellMar>
      </w:tblPr>
      <w:tblGrid>
        <w:gridCol w:w="1162"/>
        <w:gridCol w:w="1023"/>
        <w:gridCol w:w="1025"/>
        <w:gridCol w:w="434"/>
        <w:gridCol w:w="434"/>
        <w:gridCol w:w="436"/>
        <w:gridCol w:w="109"/>
        <w:gridCol w:w="109"/>
        <w:gridCol w:w="109"/>
        <w:gridCol w:w="551"/>
        <w:gridCol w:w="1611"/>
        <w:gridCol w:w="402"/>
      </w:tblGrid>
      <w:tr>
        <w:trPr/>
        <w:tc>
          <w:tcPr>
            <w:tcW w:w="1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2025</w:t>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390,496 </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June 30, 2026 (unaudited)</w:t>
            </w:r>
          </w:p>
        </w:tc>
        <w:tc>
          <w:tcPr>
            <w:tcW w:w="130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Earnings (Loss) per Share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three and six months ended June 30, 2026 and 2025 (dollars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09"/>
        <w:gridCol w:w="1400"/>
        <w:gridCol w:w="1409"/>
        <w:gridCol w:w="240"/>
        <w:gridCol w:w="841"/>
        <w:gridCol w:w="109"/>
        <w:gridCol w:w="109"/>
        <w:gridCol w:w="109"/>
        <w:gridCol w:w="109"/>
        <w:gridCol w:w="244"/>
        <w:gridCol w:w="837"/>
        <w:gridCol w:w="109"/>
        <w:gridCol w:w="109"/>
        <w:gridCol w:w="109"/>
        <w:gridCol w:w="109"/>
        <w:gridCol w:w="240"/>
        <w:gridCol w:w="841"/>
        <w:gridCol w:w="109"/>
        <w:gridCol w:w="109"/>
        <w:gridCol w:w="109"/>
        <w:gridCol w:w="109"/>
        <w:gridCol w:w="244"/>
        <w:gridCol w:w="837"/>
        <w:gridCol w:w="155"/>
      </w:tblGrid>
      <w:tr>
        <w:trPr/>
        <w:tc>
          <w:tcPr>
            <w:tcW w:w="160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dilutive earnings (loss) per share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55,945,434 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58,070,378 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57,860,131 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56,688,754 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common stock equivalents of outstanding stock-based awards excluded in the calculation of diluted earnings (loss) per share, because their inclusion would be anti-dilutive:</w:t>
      </w:r>
    </w:p>
    <w:tbl>
      <w:tblPr>
        <w:tblW w:w="8327" w:type="dxa"/>
        <w:jc w:val="left"/>
        <w:tblInd w:w="0" w:type="dxa"/>
        <w:tblLayout w:type="fixed"/>
        <w:tblCellMar>
          <w:top w:w="28" w:type="dxa"/>
          <w:left w:w="28" w:type="dxa"/>
          <w:bottom w:w="28" w:type="dxa"/>
          <w:right w:w="28" w:type="dxa"/>
        </w:tblCellMar>
      </w:tblPr>
      <w:tblGrid>
        <w:gridCol w:w="965"/>
        <w:gridCol w:w="849"/>
        <w:gridCol w:w="856"/>
        <w:gridCol w:w="488"/>
        <w:gridCol w:w="488"/>
        <w:gridCol w:w="178"/>
        <w:gridCol w:w="178"/>
        <w:gridCol w:w="178"/>
        <w:gridCol w:w="178"/>
        <w:gridCol w:w="413"/>
        <w:gridCol w:w="413"/>
        <w:gridCol w:w="178"/>
        <w:gridCol w:w="109"/>
        <w:gridCol w:w="109"/>
        <w:gridCol w:w="109"/>
        <w:gridCol w:w="488"/>
        <w:gridCol w:w="488"/>
        <w:gridCol w:w="156"/>
        <w:gridCol w:w="154"/>
        <w:gridCol w:w="154"/>
        <w:gridCol w:w="154"/>
        <w:gridCol w:w="413"/>
        <w:gridCol w:w="413"/>
        <w:gridCol w:w="218"/>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7,267,920 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588,422 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836,462 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12.    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Company's income tax expense (benefit) for the three and six months ended June 30, 2026 and 2025 (dollars in thousands):</w:t>
      </w:r>
    </w:p>
    <w:tbl>
      <w:tblPr>
        <w:tblW w:w="7727" w:type="dxa"/>
        <w:jc w:val="left"/>
        <w:tblInd w:w="0" w:type="dxa"/>
        <w:tblLayout w:type="fixed"/>
        <w:tblCellMar>
          <w:top w:w="28" w:type="dxa"/>
          <w:left w:w="28" w:type="dxa"/>
          <w:bottom w:w="28" w:type="dxa"/>
          <w:right w:w="28" w:type="dxa"/>
        </w:tblCellMar>
      </w:tblPr>
      <w:tblGrid>
        <w:gridCol w:w="891"/>
        <w:gridCol w:w="781"/>
        <w:gridCol w:w="787"/>
        <w:gridCol w:w="211"/>
        <w:gridCol w:w="466"/>
        <w:gridCol w:w="271"/>
        <w:gridCol w:w="109"/>
        <w:gridCol w:w="109"/>
        <w:gridCol w:w="109"/>
        <w:gridCol w:w="211"/>
        <w:gridCol w:w="691"/>
        <w:gridCol w:w="271"/>
        <w:gridCol w:w="109"/>
        <w:gridCol w:w="109"/>
        <w:gridCol w:w="109"/>
        <w:gridCol w:w="211"/>
        <w:gridCol w:w="691"/>
        <w:gridCol w:w="271"/>
        <w:gridCol w:w="109"/>
        <w:gridCol w:w="109"/>
        <w:gridCol w:w="109"/>
        <w:gridCol w:w="211"/>
        <w:gridCol w:w="466"/>
        <w:gridCol w:w="316"/>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was an expense of $0.7 million ((1.3)% effective tax rate) and a benefit of $2.9 million (4.6% effective tax rate) for the three and six months ended June 30, 2026, as compared to an income tax benefit of $5.8 million ((35.0)% effective tax rate) and income tax expense of $0.2 million (1.5% effective tax rate) for the three and six months ended June 30, 2025. The change in income tax expense (benefit) and effective income tax rate was primarily due to a forecasted full year pre-tax loss for the six months ended June 30, 2026, as compared to forecasted full year income for the same period in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 for the three and six months ended June 30, 2026 varies from the statutory federal tax rate in the United States (U.S. federal tax rate) of 21% primarily due to the effects of non-deductible executive compensation, non-deductible payments related to contingent consideration, and state taxes. The Company's effective income tax rate for the three and six months ended June 30, 2025 vary from the statutory U.S. federal tax rate primarily due to the impact of recurring permanent differences on a forecasted near break-even loss.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June 30, 2026 and 2025, are subject to change and could have a material impact on the effective tax rate in subsequent periods.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As of June 30, 2026 and December 31, 2025, the Company had income tax receivable of $30.8 million and $38.4 million, respectively, which is classified as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on the condensed consolidated balance sheets.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lease liabilities as reported on the condensed consolidated balance sheets are as follows (dollars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60"/>
        <w:gridCol w:w="1111"/>
        <w:gridCol w:w="1122"/>
        <w:gridCol w:w="1129"/>
        <w:gridCol w:w="1129"/>
        <w:gridCol w:w="1132"/>
        <w:gridCol w:w="109"/>
        <w:gridCol w:w="109"/>
        <w:gridCol w:w="109"/>
        <w:gridCol w:w="227"/>
        <w:gridCol w:w="778"/>
        <w:gridCol w:w="116"/>
        <w:gridCol w:w="109"/>
        <w:gridCol w:w="109"/>
        <w:gridCol w:w="109"/>
        <w:gridCol w:w="299"/>
        <w:gridCol w:w="1024"/>
        <w:gridCol w:w="224"/>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26,712 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(dollars in thousands):</w:t>
      </w:r>
    </w:p>
    <w:tbl>
      <w:tblPr>
        <w:tblW w:w="6425" w:type="dxa"/>
        <w:jc w:val="left"/>
        <w:tblInd w:w="0" w:type="dxa"/>
        <w:tblLayout w:type="fixed"/>
        <w:tblCellMar>
          <w:top w:w="28" w:type="dxa"/>
          <w:left w:w="28" w:type="dxa"/>
          <w:bottom w:w="28" w:type="dxa"/>
          <w:right w:w="28" w:type="dxa"/>
        </w:tblCellMar>
      </w:tblPr>
      <w:tblGrid>
        <w:gridCol w:w="1395"/>
        <w:gridCol w:w="1227"/>
        <w:gridCol w:w="1232"/>
        <w:gridCol w:w="109"/>
        <w:gridCol w:w="109"/>
        <w:gridCol w:w="109"/>
        <w:gridCol w:w="211"/>
        <w:gridCol w:w="616"/>
        <w:gridCol w:w="109"/>
        <w:gridCol w:w="109"/>
        <w:gridCol w:w="109"/>
        <w:gridCol w:w="109"/>
        <w:gridCol w:w="211"/>
        <w:gridCol w:w="61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for new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Lease obtained from Sage Acquisition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Sage Acquisition, the Company acquired a lease for office space located in a multi-tenant building located in Cambridge, Massachusetts and classified this as an operating lease. Sage's office space lease term continues through February 28, 2030 unless terminated earlier in accordance with the terms of the lease. The lease includes an option to extend the lease for an additional five-year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14</w:t>
      </w:r>
      <w:r>
        <w:rPr>
          <w:rFonts w:ascii="Times New Roman;serif" w:hAnsi="Times New Roman;serif"/>
          <w:b w:val="false"/>
          <w:color w:val="000000"/>
          <w:sz w:val="20"/>
        </w:rPr>
        <w:t xml:space="preserve">. </w:t>
      </w:r>
      <w:r>
        <w:rPr>
          <w:rFonts w:ascii="Times New Roman;serif" w:hAnsi="Times New Roman;serif"/>
          <w:b/>
          <w:color w:val="000000"/>
          <w:sz w:val="20"/>
        </w:rPr>
        <w:t xml:space="preserve">Segment Reporting </w:t>
      </w:r>
    </w:p>
    <w:p>
      <w:pPr>
        <w:pStyle w:val="TextBody"/>
        <w:bidi w:val="0"/>
        <w:spacing w:before="0" w:after="0"/>
        <w:ind w:left="0" w:right="0" w:firstLine="72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operating segment and therefore has only one reportable segment. The Company derives revenue primarily from sales of its commercial products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Company manages the business activities on a consolidated basis. The CODM assesses performance of the Company, decides how to allocate resources based on net earnings (loss), which is reported in the condensed consolidated statement of earnings (loss) as net earnings (loss), and allocates resources on a consolidated basis. The CODM uses net earnings (loss) to decide whether to reinvest profits into the Company's current products or into other research and development initiatives for the Company's product candidates. Net earnings (loss) is also used to monitor budget versus actual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of the reportable segment assets is reported on the balance sheet as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segment revenue, significant segment expenses and net earnings (dollars in thousands):</w:t>
      </w:r>
    </w:p>
    <w:tbl>
      <w:tblPr>
        <w:tblW w:w="9479" w:type="dxa"/>
        <w:jc w:val="left"/>
        <w:tblInd w:w="0" w:type="dxa"/>
        <w:tblLayout w:type="fixed"/>
        <w:tblCellMar>
          <w:top w:w="28" w:type="dxa"/>
          <w:left w:w="28" w:type="dxa"/>
          <w:bottom w:w="28" w:type="dxa"/>
          <w:right w:w="28" w:type="dxa"/>
        </w:tblCellMar>
      </w:tblPr>
      <w:tblGrid>
        <w:gridCol w:w="1399"/>
        <w:gridCol w:w="1231"/>
        <w:gridCol w:w="12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p>
            <w:pPr>
              <w:pStyle w:val="TableContents"/>
              <w:bidi w:val="0"/>
              <w:spacing w:before="0" w:after="0"/>
              <w:jc w:val="left"/>
              <w:rPr/>
            </w:pPr>
            <w:r>
              <w:rPr/>
            </w:r>
          </w:p>
          <w:p>
            <w:pPr>
              <w:pStyle w:val="TableContents"/>
              <w:bidi w:val="0"/>
              <w:spacing w:before="0" w:after="0"/>
              <w:jc w:val="left"/>
              <w:rPr/>
            </w:pPr>
            <w:r>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development program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SPN-820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SPN-817</w:t>
            </w:r>
            <w:r>
              <w:rPr>
                <w:rFonts w:ascii="Times New Roman;serif" w:hAnsi="Times New Roman;serif"/>
                <w:b w:val="false"/>
                <w:color w:val="000000"/>
                <w:sz w:val="13"/>
              </w:rPr>
              <w: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SPN-443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ZURZUVAE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Early-stage programs and 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external development program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Internal employee-related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(b)</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Includes amount related to Biscayne amendment. Refer to</w:t>
      </w:r>
      <w:r>
        <w:rPr>
          <w:color w:val="000000"/>
        </w:rPr>
        <w:t xml:space="preserve"> </w:t>
      </w:r>
      <w:r>
        <w:rPr>
          <w:rFonts w:ascii="Times New Roman;serif" w:hAnsi="Times New Roman;serif"/>
          <w:b w:val="false"/>
          <w:color w:val="000000"/>
          <w:sz w:val="18"/>
        </w:rPr>
        <w:t xml:space="preserve">Note </w:t>
      </w:r>
      <w:r>
        <w:rPr>
          <w:rFonts w:ascii="Times New Roman;serif" w:hAnsi="Times New Roman;serif"/>
          <w:b w:val="false"/>
          <w:color w:val="000000"/>
          <w:sz w:val="20"/>
        </w:rPr>
        <w:t>17</w:t>
      </w:r>
      <w:r>
        <w:rPr>
          <w:rFonts w:ascii="Times New Roman;serif" w:hAnsi="Times New Roman;serif"/>
          <w:b w:val="false"/>
          <w:color w:val="000000"/>
          <w:sz w:val="18"/>
        </w:rPr>
        <w:t>,</w:t>
      </w:r>
      <w:r>
        <w:rPr>
          <w:color w:val="000000"/>
        </w:rPr>
        <w:t xml:space="preserve"> </w:t>
      </w:r>
      <w:r>
        <w:rPr>
          <w:rFonts w:ascii="Times New Roman;serif" w:hAnsi="Times New Roman;serif"/>
          <w:b w:val="false"/>
          <w:i/>
          <w:color w:val="000000"/>
          <w:sz w:val="18"/>
        </w:rPr>
        <w:t xml:space="preserve">Commitments and Contingencies. </w:t>
      </w:r>
    </w:p>
    <w:p>
      <w:pPr>
        <w:pStyle w:val="TextBody"/>
        <w:bidi w:val="0"/>
        <w:spacing w:lineRule="auto" w:line="288" w:before="200" w:after="20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8"/>
        </w:rPr>
        <w:t>Other segment items include amortization of intangible assets, intangible asset impairment charges, contingent consideration loss, net interest and other income, interest expense, and income tax expense (benefit) whose amounts are disclosed in the condensed consolidated statement of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15</w:t>
      </w:r>
      <w:r>
        <w:rPr>
          <w:rFonts w:ascii="Times New Roman;serif" w:hAnsi="Times New Roman;serif"/>
          <w:b w:val="false"/>
          <w:color w:val="000000"/>
          <w:sz w:val="20"/>
        </w:rPr>
        <w:t xml:space="preserve">. </w:t>
      </w:r>
      <w:r>
        <w:rPr>
          <w:rFonts w:ascii="Times New Roman;serif" w:hAnsi="Times New Roman;serif"/>
          <w:b/>
          <w:color w:val="000000"/>
          <w:sz w:val="20"/>
        </w:rPr>
        <w:t>Collaboration Agreements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Navitor </w:t>
      </w:r>
    </w:p>
    <w:p>
      <w:pPr>
        <w:pStyle w:val="TextBody"/>
        <w:bidi w:val="0"/>
        <w:spacing w:lineRule="auto" w:line="276" w:before="200" w:after="200"/>
        <w:ind w:left="0" w:right="0" w:firstLine="720"/>
        <w:jc w:val="left"/>
        <w:rPr/>
      </w:pPr>
      <w:r>
        <w:rPr>
          <w:rFonts w:ascii="Times New Roman;serif" w:hAnsi="Times New Roman;serif"/>
          <w:b w:val="false"/>
          <w:color w:val="000000"/>
          <w:sz w:val="20"/>
        </w:rPr>
        <w:t xml:space="preserve">See Note 17,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for further details</w:t>
      </w:r>
      <w:r>
        <w:rPr>
          <w:rFonts w:ascii="Times New Roman;serif" w:hAnsi="Times New Roman;serif"/>
          <w:b w:val="false"/>
          <w:i/>
          <w:color w:val="000000"/>
          <w:sz w:val="20"/>
        </w:rPr>
        <w: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Shionogi</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collaboration and license agreement with Shionogi whereby Shionogi is responsible for all clinical development and regulatory filings for zuranolone in MDD and other indications in Japan, the Republic of Korea (South Korea), and Taiwan (together, the Shionogi Territory) and would be responsible for commercialization of zuranolone in the Shionogi Territory, to the extent zuranolone is successfully developed and obtains marketing approval in any of the countries within the Shionogi Territory. At the time of execution of the Shionogi Collaboration Agreement in 2018, Shionogi was required to make an upfront payment to Sage of $90.0 million, and the Company was eligible to receive additional payments of up to $470.0 million if certain regulatory and commercial milestones are achieved by Shionogi. As of June 30, 2026, the remaining potential future milestone payments include up to $40.0 million for the achievement of specified regulatory milestones, up to $10.0 million for the achievement of specified commercialization milestones, and up to $385.0 million for the achievement of specified net sales milestones. The Company is also eligible to receive tiered royalties on sales of zuranolone in the Shionogi Territory, if development efforts are successful, with tiers averaging in the low to mid-twenty percent range, subject to other terms of the agreement. As between the Company and Shionogi, the Company maintains exclusive rights to develop and commercialize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zuranolone outside of the Shionogi Territory. The upfront cash payment and any payments for milestones and royalties are non-refundable and non-creditable. Due to the uncertainty of pharmaceutical development and the high historical failure rates generally associated with drug development, the Company may not receive any milestone payments or any royalty payments from Shionogi. In the fourth quarter of 2025, Shionogi received approval from the Pharmaceuticals and Medical Devices Agency for the manufacturing and marketing of a product containing zuranolone in Japan for the treatment of MDD. Shionogi announced the first commercial sale of ZURZUVAE in Japan in the first quarter of 2026. No product containing zuranolone is approved for the treatment of MDD in the United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clinical supply agreement, the Company is obligated to manufacture and supply to Shionogi (i) clinical quantities of API reasonably required by Shionogi for the development of licensed products in the Shionogi Territory under the collaboration and license agreement and (ii) quantities of drug product reasonably required for use by Shionogi in Phase 1 clinical trials of zuranolone in the Shionogi Territory under the collaboration and license agreement, in the quantities agreed to by the parties. A commercial supply agreement has not yet been entered into and the parties are operating under the provisions of the existing clinical supply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Biogen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Biogen Collaboration Agreement, the Company granted Biogen a co-exclusive license to develop and commercialize SAGE-217 products in the U.S., an exclusive license to develop and commercialize SAGE-217 products in all countries of the world other than the U.S. and the Shionogi Territory. The Company refers to the territories outside the U.S. to which Biogen has rights under the Biogen Collaboration Agreement with respect to SAGE-217 as the Biogen Territory.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Development and commercialization activities in the U.S. under the Biogen Collaboration Agreement are conducted pursuant to plans agreed to by the Company and Biogen and overseen by a joint steering committee that consists of an equal number of representatives of each party. The Company and Biogen share equally in the costs for development and commercialization, as well as the profits and losses upon FDA approval and commencement of product sales, in the U.S., subject to the Company’s opt-out right described below. Biogen is solely responsible for all development activities and costs related to any development and commercialization of SAGE-217 products for the Biogen Territory, and the Company will receive royalties on any sales in the Biogen Territory, as mentioned above. Biogen is the principal and records sales of SAGE-217 products globally. The Company is obligated to supply API and bulk drug product for the Biogen Territory and API, bulk drug product and final drug product for the U.S. to support development and commercialization activities. Biogen has the right to assume manufacturing responsibilities for API for the Biogen Territory at any time during the term of the Biogen Collaboration Agreement, and the Biogen Collaboration Agreement further provides that Biogen will, within a reasonable period of time, assume manufacturing responsibility for bulk drug product for the Biogen Territory.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terminated earlier, the Biogen Collaboration Agreement will continue on a country-by-country basis until the date on which (a) in any country in the Biogen Territory, the royalty term has expired in such country, and (b) for the U.S., the parties agree to permanently cease to commercialize. Biogen also has the right to terminate the Biogen Collaboration Agreement for convenience in its entirety or as to a particular region, upon advance written notice. The Company has an opt-out right to convert the co-exclusive license in the U.S. to an exclusive license to Biogen. Following the exercise of the opt-out right, the Company would no longer share equally in the profits and losses in the U.S. and would be entitled to receive certain royalty payments at percentage rates ranging from the low to high twenties and additional sales milestones.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While Biogen is considered the principal in transactions with customers for the sale of ZURZUVAE globally, the Company is also engaged in significant commercialization activities, including maintaining its own U.S. direct sales force. The Company presents its proportionate share of Biogen’s ZURZUVAE sales to customers in the U.S.</w:t>
      </w:r>
      <w:r>
        <w:rPr>
          <w:color w:val="000000"/>
          <w:shd w:fill="FFFFFF" w:val="clear"/>
        </w:rPr>
        <w:t xml:space="preserve"> </w:t>
      </w:r>
      <w:r>
        <w:rPr>
          <w:rFonts w:ascii="Times New Roman;serif" w:hAnsi="Times New Roman;serif"/>
          <w:b w:val="false"/>
          <w:color w:val="000000"/>
          <w:sz w:val="20"/>
          <w:shd w:fill="FFFFFF" w:val="clear"/>
        </w:rPr>
        <w:t xml:space="preserve">as </w:t>
      </w:r>
      <w:r>
        <w:rPr>
          <w:rFonts w:ascii="Times New Roman;serif" w:hAnsi="Times New Roman;serif"/>
          <w:b w:val="false"/>
          <w:i/>
          <w:color w:val="000000"/>
          <w:sz w:val="20"/>
          <w:shd w:fill="FFFFFF" w:val="clear"/>
        </w:rPr>
        <w:t>Collaboration revenue (ZURZUVAE)</w:t>
      </w:r>
      <w:r>
        <w:rPr>
          <w:color w:val="000000"/>
          <w:shd w:fill="FFFFFF" w:val="clear"/>
        </w:rPr>
        <w:t xml:space="preserve"> </w:t>
      </w:r>
      <w:r>
        <w:rPr>
          <w:rFonts w:ascii="Times New Roman;serif" w:hAnsi="Times New Roman;serif"/>
          <w:b w:val="false"/>
          <w:color w:val="000000"/>
          <w:sz w:val="20"/>
          <w:shd w:fill="FFFFFF" w:val="clear"/>
        </w:rPr>
        <w:t>within the condensed consolidated statements of earnings (loss)</w:t>
      </w:r>
      <w:r>
        <w:rPr>
          <w:rFonts w:ascii="Times New Roman;serif" w:hAnsi="Times New Roman;serif"/>
          <w:b w:val="false"/>
          <w:color w:val="000000"/>
          <w:sz w:val="20"/>
        </w:rPr>
        <w:t xml:space="preserve">. Payments to or reimbursements from Biogen related to the agreement of the parties to share equally in all revenue and costs are accounted for as an increase to </w:t>
      </w:r>
      <w:r>
        <w:rPr>
          <w:rFonts w:ascii="Times New Roman;serif" w:hAnsi="Times New Roman;serif"/>
          <w:b w:val="false"/>
          <w:i/>
          <w:color w:val="000000"/>
          <w:sz w:val="20"/>
        </w:rPr>
        <w:t>Collaboration revenue (ZURZUVAE)</w:t>
      </w:r>
      <w:r>
        <w:rPr>
          <w:rFonts w:ascii="Times New Roman;serif" w:hAnsi="Times New Roman;serif"/>
          <w:b w:val="false"/>
          <w:color w:val="000000"/>
          <w:sz w:val="20"/>
        </w:rPr>
        <w:t xml:space="preserve">, an increase to or reduction of </w:t>
      </w:r>
      <w:r>
        <w:rPr>
          <w:rFonts w:ascii="Times New Roman;serif" w:hAnsi="Times New Roman;serif"/>
          <w:b w:val="false"/>
          <w:i/>
          <w:color w:val="000000"/>
          <w:sz w:val="20"/>
        </w:rPr>
        <w:t>Cost of revenues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xml:space="preserve">, or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in the condensed consolidated statements of earnings (loss), depending on the nature of the activity.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record its proportionate share of collaboration revenue from Biogen’s sales of ZURZUVAE to customers in the U.S., the Company utilizes certain information from Biogen, including revenue from the sale of the product and associated reserves on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proportionate share of the activity under the Biogen Collaboration Agreement:</w:t>
      </w:r>
    </w:p>
    <w:tbl>
      <w:tblPr>
        <w:tblW w:w="7557" w:type="dxa"/>
        <w:jc w:val="left"/>
        <w:tblInd w:w="0" w:type="dxa"/>
        <w:tblLayout w:type="fixed"/>
        <w:tblCellMar>
          <w:top w:w="28" w:type="dxa"/>
          <w:left w:w="28" w:type="dxa"/>
          <w:bottom w:w="28" w:type="dxa"/>
          <w:right w:w="28" w:type="dxa"/>
        </w:tblCellMar>
      </w:tblPr>
      <w:tblGrid>
        <w:gridCol w:w="1353"/>
        <w:gridCol w:w="1188"/>
        <w:gridCol w:w="1194"/>
        <w:gridCol w:w="325"/>
        <w:gridCol w:w="1112"/>
        <w:gridCol w:w="168"/>
        <w:gridCol w:w="109"/>
        <w:gridCol w:w="109"/>
        <w:gridCol w:w="109"/>
        <w:gridCol w:w="285"/>
        <w:gridCol w:w="977"/>
        <w:gridCol w:w="147"/>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Amounts receivable from Biogen related to the Biogen Collaboration Agreement are recorded within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on the condensed consolidated balance sheets and were $36.4 million and $23.0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16.    Composition of Other Balance Sheet Items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details the composition of other balance sheet items (dollars in thousands for amounts in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Inventories, Net </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as reported on the condensed consolidated balance sheets are as follows (dollars in thousands):</w:t>
      </w:r>
    </w:p>
    <w:tbl>
      <w:tblPr>
        <w:tblW w:w="7348" w:type="dxa"/>
        <w:jc w:val="left"/>
        <w:tblInd w:w="0" w:type="dxa"/>
        <w:tblLayout w:type="fixed"/>
        <w:tblCellMar>
          <w:top w:w="28" w:type="dxa"/>
          <w:left w:w="28" w:type="dxa"/>
          <w:bottom w:w="28" w:type="dxa"/>
          <w:right w:w="28" w:type="dxa"/>
        </w:tblCellMar>
      </w:tblPr>
      <w:tblGrid>
        <w:gridCol w:w="680"/>
        <w:gridCol w:w="595"/>
        <w:gridCol w:w="600"/>
        <w:gridCol w:w="709"/>
        <w:gridCol w:w="709"/>
        <w:gridCol w:w="711"/>
        <w:gridCol w:w="109"/>
        <w:gridCol w:w="109"/>
        <w:gridCol w:w="109"/>
        <w:gridCol w:w="211"/>
        <w:gridCol w:w="826"/>
        <w:gridCol w:w="109"/>
        <w:gridCol w:w="109"/>
        <w:gridCol w:w="109"/>
        <w:gridCol w:w="109"/>
        <w:gridCol w:w="273"/>
        <w:gridCol w:w="1072"/>
        <w:gridCol w:w="199"/>
      </w:tblGrid>
      <w:tr>
        <w:trPr/>
        <w:tc>
          <w:tcPr>
            <w:tcW w:w="6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inventory</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112,480 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Property and Equipment, Net </w:t>
      </w:r>
    </w:p>
    <w:tbl>
      <w:tblPr>
        <w:tblW w:w="6556"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21"/>
        <w:gridCol w:w="757"/>
        <w:gridCol w:w="161"/>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 and furniture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on property and equipment was approximately $0.4 million and $0.9 million for three and six months ended June 30, 2026, respectively, and $0.5 million and $1.1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Accounts Payable and Accrued Liabilities</w:t>
      </w:r>
    </w:p>
    <w:tbl>
      <w:tblPr>
        <w:tblW w:w="6924" w:type="dxa"/>
        <w:jc w:val="left"/>
        <w:tblInd w:w="0" w:type="dxa"/>
        <w:tblLayout w:type="fixed"/>
        <w:tblCellMar>
          <w:top w:w="28" w:type="dxa"/>
          <w:left w:w="28" w:type="dxa"/>
          <w:bottom w:w="28" w:type="dxa"/>
          <w:right w:w="28" w:type="dxa"/>
        </w:tblCellMar>
      </w:tblPr>
      <w:tblGrid>
        <w:gridCol w:w="1543"/>
        <w:gridCol w:w="1357"/>
        <w:gridCol w:w="1360"/>
        <w:gridCol w:w="211"/>
        <w:gridCol w:w="826"/>
        <w:gridCol w:w="109"/>
        <w:gridCol w:w="109"/>
        <w:gridCol w:w="109"/>
        <w:gridCol w:w="109"/>
        <w:gridCol w:w="211"/>
        <w:gridCol w:w="82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manufacturing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benefits, &amp; related accruals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&amp;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liabilities, current portion</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R&amp;D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royalties</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13</w:t>
      </w:r>
      <w:r>
        <w:rPr>
          <w:rFonts w:ascii="Times New Roman;serif" w:hAnsi="Times New Roman;serif"/>
          <w:b w:val="false"/>
          <w:color w:val="000000"/>
          <w:sz w:val="18"/>
        </w:rPr>
        <w:t xml:space="preserve">, </w:t>
      </w:r>
      <w:r>
        <w:rPr>
          <w:rFonts w:ascii="Times New Roman;serif" w:hAnsi="Times New Roman;serif"/>
          <w:b w:val="false"/>
          <w:i/>
          <w:color w:val="000000"/>
          <w:sz w:val="18"/>
        </w:rPr>
        <w:t>Leases</w:t>
      </w:r>
      <w:r>
        <w:rPr>
          <w:rFonts w:ascii="Times New Roman;serif" w:hAnsi="Times New Roman;serif"/>
          <w:b w:val="false"/>
          <w:color w:val="000000"/>
          <w:sz w:val="18"/>
        </w:rPr>
        <w:t>.</w:t>
      </w:r>
    </w:p>
    <w:p>
      <w:pPr>
        <w:pStyle w:val="TextBody"/>
        <w:bidi w:val="0"/>
        <w:spacing w:lineRule="auto" w:line="288" w:before="0" w:after="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17</w:t>
      </w:r>
      <w:r>
        <w:rPr>
          <w:rFonts w:ascii="Times New Roman;serif" w:hAnsi="Times New Roman;serif"/>
          <w:b w:val="false"/>
          <w:color w:val="000000"/>
          <w:sz w:val="18"/>
        </w:rPr>
        <w:t xml:space="preserve">, </w:t>
      </w:r>
      <w:r>
        <w:rPr>
          <w:rFonts w:ascii="Times New Roman;serif" w:hAnsi="Times New Roman;serif"/>
          <w:b w:val="false"/>
          <w:i/>
          <w:color w:val="000000"/>
          <w:sz w:val="18"/>
        </w:rPr>
        <w:t>Commitments and Contingencies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tbl>
      <w:tblPr>
        <w:tblW w:w="4749" w:type="dxa"/>
        <w:jc w:val="left"/>
        <w:tblInd w:w="0" w:type="dxa"/>
        <w:tblLayout w:type="fixed"/>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Licenses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Through the USWM Acquisition, the Company acquired licensing agreements with other pharmaceutical companies for APOKYN, ONAPGO,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erif" w:hAnsi="Times New Roman;serif"/>
          <w:b w:val="false"/>
          <w:i/>
          <w:color w:val="000000"/>
          <w:sz w:val="20"/>
        </w:rPr>
        <w:t>Cost of revenues</w:t>
      </w:r>
      <w:r>
        <w:rPr>
          <w:color w:val="000000"/>
        </w:rPr>
        <w:t xml:space="preserve"> </w:t>
      </w:r>
      <w:r>
        <w:rPr>
          <w:rFonts w:ascii="Times New Roman;serif" w:hAnsi="Times New Roman;serif"/>
          <w:b w:val="false"/>
          <w:color w:val="000000"/>
          <w:sz w:val="20"/>
        </w:rPr>
        <w:t xml:space="preserve">in the condensed consolidated statements of earnings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Through the Sage Acquisition, the Company acquired licensing agreements with other pharmaceutical companies for ZURZUVAE (zuranolone). See Note 15, </w:t>
      </w:r>
      <w:r>
        <w:rPr>
          <w:rFonts w:ascii="Times New Roman;serif" w:hAnsi="Times New Roman;serif"/>
          <w:b w:val="false"/>
          <w:i/>
          <w:color w:val="000000"/>
          <w:sz w:val="20"/>
        </w:rPr>
        <w:t xml:space="preserve">Collaboration Agreements </w:t>
      </w:r>
      <w:r>
        <w:rPr>
          <w:rFonts w:ascii="Times New Roman;serif" w:hAnsi="Times New Roman;serif"/>
          <w:b w:val="false"/>
          <w:color w:val="000000"/>
          <w:sz w:val="20"/>
        </w:rPr>
        <w:t>for further details</w:t>
      </w:r>
      <w:r>
        <w:rPr>
          <w:rFonts w:ascii="Times New Roman;serif" w:hAnsi="Times New Roman;serif"/>
          <w:b w:val="false"/>
          <w:i/>
          <w:color w:val="000000"/>
          <w:sz w:val="20"/>
        </w:rPr>
        <w: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Navitor Development Agreement and Asset Purchase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2020, the Company entered into a development agreement (Development Agreement) with Navitor Pharmaceuticals, Inc. (Navitor Inc.). The Company agreed to bear certain Phase I and Phase II development costs incurred by either party, up to a maximum of $50 million, which amount could be increased under the terms of the Development Agreement upon Navitor's request and the Company's consent. In 2020, the Company paid a one-time, nonrefundable, and non-creditable fee of $10 million for the option to acquire or license NV-5138 (SPN-820) (Purchase Option) and made a $15 million equity investment representing approximately 13% ownership in Navitor Inc. The Company acquired Series D Preferred Shares of Navitor Inc. (the Navitor Shares), an equity investment representing an approximately 13% ownership position in Navitor Inc. As part of a legal restructuring in March 2021, the Company's Navitor Shares were exchanged for membership interests in Navitor Pharmaceutics LLC (Navitor LLC), which became the sole shareholder of Navitor Inc. The Company determined that although Navitor LLC was a VIE, the Company did not consolidate the results of this VIE into its financial results because the Company lacked the power to direct the activities that most significantly impact Navitor's economic performance.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On April 1, 2026, the Company entered into an Asset Purchase Agreement (APA) with Navitor and consummated the transactions contemplated therein whereby the Company acquired, among other things, the right, title, materials, and intellectual property of SPN-820. The transaction included no upfront cash payment, however, the Company is obligated to effect and complete one Phase 2b study and make several milestone payments of up to $350 million contingent upon the achievement of specified development, regulatory and commercial milestones. The Company accounted for the transaction as an asset purchase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The Company accounted for the contingent milestone payments under ASC 450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As such, no contingent liability was recognized as the contingent milestones were deemed not probable of achievement as of April 1, 2026 and June 30, 2026. The Company retains its 13% equity ownership in Navitor LLC. The Company determined Navitor LLC no longer meets the criteria to be considered a VIE. The Company continues to record its share of the results of Navitor LLC, a private company, on a quarter lag as the financial information of Navitor LLC is not available on a sufficiently timely basis for the Company to apply the equity method of accounting.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as described herein, no additional equity investment has been made or financing has been provided to Navitor Inc. or Navitor LLC.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USWM Enterprise Commitments Assumed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USWM Acquisition, the Company assumed the remaining commitments of USWM Enterprises and its subsidiaries, which included an annual minimum purchase requirement of MYOBLOC under the contract manufacturing agreement with Merz for manufacture and supply. An amendment to the contract manufacturing agreement with Merz was executed in July 2025. Amendments to the contract manufacturing agreement included among other things, the removal of the annual minimum purchase requirement of MYOBLOC, and the Company's agreement to pay a nonrefundable annual fee of €3.0 million to cover general maintenance and reservation costs for the manufacturing facilities.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Biscayne Amendment</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January 22, 2026, the Company entered into a First Amendment (Amendment) to the Agreement and Plan of Merger (Agreement) dated September 12, 2018, with former Biscayne security holders. The Amendment relates to the timing and payment of certain milestones under the Biscayne merger agreement. The Company agreed to pay former Biscayne security holders $10.0 million, one of the milestones specified in the Agreement, by June 30, 2026. The Company accrued for the liability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on the condensed consolidated balance sheets as of March 31, 2026. The Company subsequently paid the Biscayne security holders in June 2026. The amount is recorded in </w:t>
      </w:r>
      <w:r>
        <w:rPr>
          <w:rFonts w:ascii="Times New Roman;serif" w:hAnsi="Times New Roman;serif"/>
          <w:b w:val="false"/>
          <w:i/>
          <w:color w:val="000000"/>
          <w:sz w:val="20"/>
        </w:rPr>
        <w:t>Research and development expense</w:t>
      </w:r>
      <w:r>
        <w:rPr>
          <w:color w:val="000000"/>
        </w:rPr>
        <w:t xml:space="preserve"> </w:t>
      </w:r>
      <w:r>
        <w:rPr>
          <w:rFonts w:ascii="Times New Roman;serif" w:hAnsi="Times New Roman;serif"/>
          <w:b w:val="false"/>
          <w:color w:val="000000"/>
          <w:sz w:val="20"/>
        </w:rPr>
        <w:t xml:space="preserve">on the condensed consolidated statements of earnings (loss) for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Claims and Litigation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any of Supernus Pharmaceuticals, Inc. or one or more of its subsidiaries may be involved in various claims, litigation, legal proceedings, and governmental and regulatory investigations. These matters may involve patent litigation, product liability, product-related litigation, securities law-related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APOKYN Litigation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December 6, 2024, Plaintiffs filed a second amended complaint, which added US WorldMeds and USWM back to the case. On February 9, 2026, the Court issued a scheduling order that provided for the close of expert discovery on May 8, 2026, and the submission of dispositive motions by June 9, 2026, with briefing to be completed on September 2, 2026. On June 9, 2026, each side submitted both dispositive motions and motions to exclude certain expert opinions, which are currently being briefed. The scheduling order also sets a pretrial conference on January 15, 2027, and a jury trial beginning on January 25, 2027.</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intends to defend itself vigorously. However, the Company can offer no assurances that it will be successful in a litigation.</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Sage Legal Proceedings</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Merger Complaints </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Sage Merger Agreement and Sage's Board of Directors' (Sage Board) recommendation to Sage shareholders to tender their shares pursuant to the tender offer, two purported Sage shareholders filed complaints in state court against Sage and each member of the Sage Board. Among other things, the complaints assert claims for negligent misrepresentation and concealment and negligence under New York common law. Sage has also received certain demand letters from other purported shareholders with similar allegations to those contained in the complaints. Additional demand letters may be received by Sage and additional complaints may be filed against Sage, the Sage Board, Supernus and Saphire, Inc. in connection with the Sage Merger Agreement and tender offer.</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Securities Class Action</w:t>
      </w:r>
    </w:p>
    <w:p>
      <w:pPr>
        <w:pStyle w:val="TextBody"/>
        <w:bidi w:val="0"/>
        <w:spacing w:lineRule="auto" w:line="288" w:before="200" w:after="200"/>
        <w:ind w:left="0" w:right="0" w:firstLine="720"/>
        <w:jc w:val="left"/>
        <w:rPr/>
      </w:pPr>
      <w:r>
        <w:rPr>
          <w:rFonts w:ascii="Times New Roman;serif" w:hAnsi="Times New Roman;serif"/>
          <w:b w:val="false"/>
          <w:color w:val="000000"/>
          <w:sz w:val="20"/>
          <w:shd w:fill="FFFFFF" w:val="clear"/>
        </w:rPr>
        <w:t xml:space="preserve">On August 28, 2024, named plaintiff Darren Korver filed a purported federal securities class action lawsuit in the Southern District of New York against Sage and individuals, Barry E. Greene and Kimi Iguchi (Securities Class Action). The complaint in the Securities Class Action alleges violations of U.S. securities laws under Sections 10(b) and 20(a) of the Securities Exchange Act of 1934 and Rule 10b-5 promulgated thereunder and seeks an as-yet unspecified amount of damages allegedly sustained by parties who purchased Sage stock between April 12, 2021 and July 23, 2024, as well as applicable attorneys’ fees and costs. </w:t>
      </w:r>
      <w:r>
        <w:rPr>
          <w:rFonts w:ascii="Times New Roman;serif" w:hAnsi="Times New Roman;serif"/>
          <w:b w:val="false"/>
          <w:color w:val="000000"/>
          <w:sz w:val="20"/>
        </w:rPr>
        <w:t>On April 17, 2025, Sage Therapeutics, along with all of the individual defendants, filed a motion to dismiss the Securities Class Action in the Southern District of New York.</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18, 2026, Plaintiffs filed a letter with the Court seeking leave to amend their complaint and asking the Court to refrain from deciding the motion to dismiss pending the Court’s decision on the request to file an amended complaint. On March 10, 2026, Defendants submitted a letter to the Court joining Plaintiffs’ request of February 18, 2026. On April 3, 2026, the parties filed a stipulation, which the Court so ordered on April 9, 2026, permitting Plaintiffs to file an amended complaint by July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15, 2026. On April 30, 2026, Plaintiffs filed the Second Amended Complaint. On July 15, 2026, Defendants filed a motion to dismiss the Second Amended Complaint. Lead Plaintiffs’ opposition to the motion to dismiss is due by August 31, 2026, and Defendants’ reply in further support of their motion is due by September 22, 2026. Related derivative actions remain stayed pending the resolution of this motion.</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Sage denies any allegations of wrongdoing and intends to vigorously defend against the Securities Class Action.</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U.S. Securities and Exchange Commission (SEC) Investigation</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16, 2024, Sage received a subpoena from the Enforcement Division of the SEC requesting documents and information related to Sage’s NDA for zuranolone for the treatment of MDD, including communications with the FDA and any communications containing material nonpublic information. The Company is cooperating with the SEC and intends to continue to provide information responsive to the SEC’s requests.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Litigations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Pizzelanti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20, 2025, Sage, along with other relevant parties, submitted for the Southern District of New York’s approval of a consolidation of the Zhu Derivative Litigation with the Matton Derivative Litigation and the Pizzelanti Derivative Litigation (the Consolidated Derivative Litigation).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this time, the Company is unable to predict the outcome of the Merger Complaints, Securities Class Action, the SEC investigation, or the Consolidated Derivative Litigation, or reasonably estimate a range of possible losses. </w:t>
      </w:r>
      <w:r>
        <w:rPr>
          <w:rFonts w:ascii="Times New Roman;serif" w:hAnsi="Times New Roman;serif"/>
          <w:b w:val="false"/>
          <w:color w:val="000000"/>
          <w:sz w:val="20"/>
          <w:shd w:fill="FFFFFF" w:val="clear"/>
        </w:rPr>
        <w:t>The outcome of the matters described above cannot be predicted with 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18.    Subsequent Event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 2026, the Company entered into an Agreement and Plan Of Merger (the "Merger Agreement"), by and among the Company, Indivior Pharmaceuticals, Inc., a Delaware corporation (Indivior), and Artemis Merger Sub Inc., a Delaware corporation and a wholly-owned subsidiary of Indivior (Merger Sub).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Indivior Merger Agreement, and upon the terms and subject to the conditions thereof, Merger Sub will merge with and into the Company (the "Merger"), with the Company continuing as the surviving corporation and a wholly-owned subsidiary of Indivior. Following the completion of the Merger, the combined company will be renamed "Supernus, Inc." and its shares of common stock are expected to continue trading on the Nasdaq Stock Market under the ticker symbol "SUPN". The Merger and the other transactions contemplated by the Indivior Merger Agreement are referred to collectively as the "Transactions". The consummation of the Transactions is subject to various regulatory approvals and customary terms and conditions set forth in the Indivior Merger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effective time of the Merger (the "Effective Time"), each share of common stock, par value $0.001 per share, of the Company (each, a "Company Share") issued and outstanding immediately prior to the Effective Time (other than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excluded shares) will be converted into the right to receive 1.5401 shares of common stock, par value $0.001 per share, of Indivior (each, an "Indivior Share" and, such ratio, the "Exchange Ratio," and the Indivior Shares issuable in the Merger, the "Merger Consideration"). Immediately prior to the Effective Time, stockholders of Indivior will receive a one-time special cash dividend of $1.0 billion. Indivior has secured a debt commitment of $650 million through a term loan facility, and the remaining portion will be funded by existing cash of the then-combined company. The Exchange Ratio is fixed and will not be adjusted for changes in the market price of either the Company Shares or the Indivior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2025 and the related Management's Discussion and Analysis of Financial Condition and Results of Operations, both of which are contained in our Annual Report on Form 10-K, filed with the Securities and Exchange Commission on March 2, 2026.</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In addition to historical information, this Quarterly Report on Form 10-Q contains forward-looking statements within the meaning of</w:t>
      </w:r>
      <w:r>
        <w:rPr>
          <w:color w:val="000000"/>
        </w:rPr>
        <w:t xml:space="preserve"> </w:t>
      </w:r>
      <w:r>
        <w:rPr>
          <w:rFonts w:ascii="Times New Roman;serif" w:hAnsi="Times New Roman;serif"/>
          <w:b w:val="false"/>
          <w:i/>
          <w:color w:val="000000"/>
          <w:sz w:val="20"/>
        </w:rPr>
        <w:t>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and ONAPGO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 Sage Therapeutics, LLC, a wholly-owned indirect subsidiary of Supernus Pharmaceuticals, Inc., has granted Supernus Pharmaceuticals, Inc. a license to market and sell zuranolone in the United States. </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pStyle w:val="TextBody"/>
        <w:bidi w:val="0"/>
        <w:spacing w:before="20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biopharmaceutical company focused on developing and commercializing products for the treatment of central nervous system (CNS) diseases. 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Merger of Equals with Indivior Pharmaceuticals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 2026, the Company entered into an Agreement and Plan Of Merger (the "Merger Agreement"), by and among the Company, Indivior Pharmaceuticals, Inc., a Delaware corporation (Indivior), and Artemis Merger Sub Inc., a Delaware corporation and a wholly-owned subsidiary of Indivior (Merger Sub).</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Indivior Merger Agreement, and upon the terms and subject to the conditions thereof, Merger Sub will merge with and into the Company (the "Merger"), with the Company continuing as the surviving corporation and a wholly-owned subsidiary of Indivior. Following the completion of the Merger, the combined company will be renamed "Supernus, Inc." and its shares of common stock are expected to continue trading on the Nasdaq Stock Market under the ticker symbol "SUPN". The Merger and the other transactions contemplated by the Indivior Merger Agreement are referred to collectively as the "Transactions". The consummation of the Transactions is subject to various regulatory approvals and customary terms and conditions set forth in the Indivior Merger Agreement.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effective time of the Merger (the "Effective Time"), each share of common stock, par value $0.001 per share, of the Company (each, a "Company Share") issued and outstanding immediately prior to the Effective Time (other than certain excluded shares) will be converted into the right to receive 1.5401 shares of common stock, par value $0.001 per share, of Indivior (each, an Indivior Share and, such ratio, the Exchange Ratio, and the Indivior Shares issuable in the Merger, the Merger Consideration). Immediately prior to the Effective Time, stockholders of Indivior will receive a one-time special cash dividend of $1.0 billion. Indivior has secured a debt commitment of $650 million through a term loan facility, and the remaining portion will be funded by existing cash of the then-combined company. The Exchange Ratio is fixed and will not be adjusted for changes in the market price of either the Company Shares or the Indivior Shares.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Merger Agreement, as of the Effective Time, (i) the board of directors of the Combined Company (the "Combined Company Board") will consist of eight individuals, including four individuals who are nominees of the board of directors of Indivior immediately prior to the Effective Time and four individuals who are nominees of the board of directors of Supernus immediately prior to the Effective Time; (ii) the Chair of the Combined Company Board will be a nominee of Indivior; (iii) Jack A. Khattar will serve as Chief Executive Officer and as a member of the Combined Company Board; and (iv) Timonthy C. Dec will serve as Chief Financial Officer.</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Commercial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 In January 2025, the FDA approved an expanded label update for Qelbree to include new data on the pharmacodynamics and use in breastfeeding mothers.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GOCOVRI</w:t>
      </w:r>
      <w:r>
        <w:rPr>
          <w:rFonts w:ascii="Times New Roman;serif" w:hAnsi="Times New Roman;serif"/>
          <w:b w:val="false"/>
          <w:color w:val="000000"/>
          <w:sz w:val="13"/>
        </w:rPr>
        <w:t xml:space="preserve">® </w:t>
      </w:r>
      <w:r>
        <w:rPr>
          <w:rFonts w:ascii="Times New Roman;serif" w:hAnsi="Times New Roman;serif"/>
          <w:b w:val="false"/>
          <w:color w:val="000000"/>
          <w:sz w:val="20"/>
        </w:rPr>
        <w:t>(amantadine)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ONAPGO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(apomorphine hydrochloride) injection is the first and only subcutaneous apomorphine infusion device for the treatment of motor fluctuations in adults with advanced PD. ONAPGO was approved by the FDA in February 2025. ONAPGO was launched in April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(zuranolone) capsules is the first and only FDA approved oral medicine indicated for the treatment of PPD in adults. ZURZUVAE is a neuroactive steroid that is a positive allosteric modulator of GABA</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receptors, targeting both synaptic and extrasynaptic GABA</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 xml:space="preserve">receptors, and is the first oral, once-daily, 14-day treatment specifically indicated for adults with PPD. ZURZUVAE became commercially available in the U.S. in December 2023 as a treatment option for women with PPD. The Company and our collaboration partner, Biogen, are jointly commercializing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ZURZUVAE in the U.S. under the Biogen Collaboration Agreement. The Company and Biogen equally share in all operating profits and losses arising from sales of ZURZUVAE in the U.S., with Biogen recording such product sales.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APOKYN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(apomorphine hydrochloride injection) is a product indicated for the acute, intermittent treatment of hypomobility, "OFF" episodes ("end-of-dose wearing off" and unpredictable "ON/OFF" episodes) in patients with advanced PD.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Oxtellar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 market.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XADAGO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(safinamide) is a once-daily product indicated as adjunctive treatment to levodopa/carbidopa in patients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MYOBLOC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(rimabotulinumtoxinB injection) is a product indicated for the treatment of cervical dystonia and chronic sialorrhea in adults. It is the only botulinum toxin type B available on the market.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the development of innovative product candidates in neurology and psychiatry, including the following:</w:t>
      </w:r>
    </w:p>
    <w:p>
      <w:pPr>
        <w:pStyle w:val="TextBody"/>
        <w:bidi w:val="0"/>
        <w:spacing w:before="200" w:after="283"/>
        <w:jc w:val="left"/>
        <w:rPr/>
      </w:pPr>
      <w:r>
        <w:rPr/>
        <w:drawing>
          <wp:inline distT="0" distB="0" distL="0" distR="0">
            <wp:extent cx="6629400" cy="2743200"/>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6629400" cy="2743200"/>
                    </a:xfrm>
                    <a:prstGeom prst="rect">
                      <a:avLst/>
                    </a:prstGeom>
                  </pic:spPr>
                </pic:pic>
              </a:graphicData>
            </a:graphic>
          </wp:inline>
        </w:drawing>
      </w:r>
      <w:bookmarkStart w:id="0" w:name="i-1"/>
      <w:bookmarkEnd w:id="0"/>
    </w:p>
    <w:p>
      <w:pPr>
        <w:pStyle w:val="TextBody"/>
        <w:bidi w:val="0"/>
        <w:spacing w:lineRule="auto" w:line="276" w:before="200" w:after="200"/>
        <w:ind w:left="0" w:right="0" w:hanging="288"/>
        <w:jc w:val="left"/>
        <w:rPr>
          <w:rFonts w:ascii="Times New Roman;serif" w:hAnsi="Times New Roman;serif"/>
          <w:b w:val="false"/>
          <w:i/>
          <w:color w:val="000000"/>
          <w:sz w:val="20"/>
        </w:rPr>
      </w:pPr>
      <w:r>
        <w:rPr>
          <w:rFonts w:ascii="Times New Roman;serif" w:hAnsi="Times New Roman;serif"/>
          <w:b w:val="false"/>
          <w:i/>
          <w:color w:val="000000"/>
          <w:sz w:val="20"/>
        </w:rPr>
        <w:t>SPN-817 (huperzine 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(NV-5138)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SPN-820 is a novel, first in class, intracellular enhancer of mechanistic target of rapamycin complex 1 (mTORC1) signaling. Depression is associated with synapse loss and reduced synaptic plasticity in key brain regions including the prefrontal cortex and increasing mTORC1-mediated synaptic plasticity is a promising avenue to treat depression and associated symptoms. SPN-820 selectively binds to intracellular sestrin proteins and subsequently engages a cascade of multi-protein complexes, enhancing mTORC1 signaling. The intracellular mechanism and the lack of binding to cell surface receptors suggests the potential for a differentiated safety profile and is unlikely to have abuse potential.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reported topline results from a randomized double-blind placebo-controlled Phase 2b study of SPN-820 in adults with treatment-resistant depression (TRD) following four weeks of chronic daily dosing. The study did not demonstrate a statistically significant improvement on the primary and secondary endpoints. The safety profile of SPN-820 was consistent with previous clinical trials, showing few adverse events.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conducting a follow-on Phase 2b multi-center, randomized, double-blind, placebo-controlled trial in approximately 200 adults with MDD. The study will examine the safety and tolerability of SPN-820 2400mg given intermittently (twice weekly) as an adjunctive treatment to the current baseline antidepressant therapy, as well as assess the rapid onset of improvement in depressive symptoms.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SPN-443 – Novel stimulant for the treatment of ADHD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safety and tolerability. This molecule, along with its major metabolites, is an inhibitor of norepinephrine, dopamine and serotonin, also known as a triple reuptake inhibitor. Both formulations of SPN-443 showed adequate bioavailability and were well tolerated. The Company plans to initiate Single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Ascending Dose (SAD) and Multiple Ascending Dose (MAD) studies in the second half of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Zuranolone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Biogen sole rights to develop and commercialize zuranolone outside the U.S., other than in Japan, Taiwan and South Korea where it has granted those rights to Shionogi &amp; Co., Ltd. (Shionogi). Shionogi received approval for a product containing zuranolone for the treatment of MDD by the Pharmaceuticals and Medical Devices Agency in Japan in the fourth quarter of 2025, and announced commercial launch in the first quarter of 2026. No product containing zuranolone is approved for the treatment of MDD in the United States and neither the Company or Biogen are currently pursuing such approval for MDD. In the third quarter of 2025, Biogen received approval for zuranolone for the treatment of PPD by the European Medicines Agency (EMA) and Medicines Healthcare Regulatory Agency (MHRA) in Europe and the United Kingdom (U.K.) respectively. In the fourth quarter of 2025, a product containing zuranolone received Health Canada Authorization in Canada for treatment indicated for adults with PPD.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ONAPGO net product sales were $13.5 million in the second quarter of 2026. Since the launch in April 2025, and through the end of July 2026, approximately 2,600 enrollment forms have been submitted by approximately 720 prescribers. The Company remains on-track to submit a regulatory filing to the FDA for a second supplier for ONAPGO in the third quarter of 2026, with potential FDA approval by mid-year 2027.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Collaboration revenue from ZURZUVAE was $35.4 million in the second quarter of 2026. Collaboration revenue represents 50% of the net revenues for ZURZUVAE recorded by Biogen Inc. Second quarter 2026 U.S sales of ZURZUVAE, as reported by Biogen Inc., increased approximately 53% compared to the same period in 2025. The total number of prescriptions for ZURZUVAE increased by 62% in the second quarter of 2026 compared to the same period last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Net sales of Qelbree increased 15% to $89.2 million in the second quarter of 2026, compared to the same period in 2025. Total IQVIA prescriptions for Qelbree were 264,545 for the second quarter 2026, representing an increase of 17% compared to the same period last year. Prescription growth in the adult and pediatric populations was 25% and 14%, respectively.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Net sales of GOCOVRI increased 2% to $37.6 million in the second quarter of 2026, compared to the same period in 2025. Total number of prescriptions grew by 9% in the second quarter of 2026 compared to the same period last year.</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SPN-817 – Novel first-in-class highly selective AChE inhibitor for epilepsy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Phase 2b randomized, double-blind, placebo-controlled study of 3mg and 4mg twice daily doses is ongoing with a targeted enrollment of approximately 258 adult patients with treatment resistant focal seizures.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 Novel first-in-class molecule that increases mTORC1 mediated synaptic function for depression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Phase 2b multi-center, randomized, double-blind, placebo-controlled trial in approximately 200 adults with MDD is ongoing. The study will examine the safety and tolerability of SPN-820 2400mg given intermittently (twice weekly)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adjunctive treatment to the current baseline antidepressant therapy, as well as assess the rapid onset of improvement in depressive symptoms.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SPN-443 – Novel stimulant for ADHD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expects to initiate a Phase 1 single-ascending/multiple-ascending dose study in adult healthy volunteers in the second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the Use of Estimates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 summary of our significant accounting policies is included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our audited consolidated financial statements included in the Annual Report on Form 10-K for the year ended December 31, 2025. There were no significant changes to the disclosures with respect to our critical accounting policies in our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and Six Months ended Months Ended June 30, 2026 and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consist primarily of net product sales of our commercial products in the U.S., supplemented by our collaboration revenue from the Biogen Collaboration Agreement and royalty and licensing revenues from our collaborative licensing arrangements. The following table provides information regarding our revenues during the three and six months ended June 30, 2026 (dollars in thousands):</w:t>
      </w:r>
    </w:p>
    <w:tbl>
      <w:tblPr>
        <w:tblW w:w="11703" w:type="dxa"/>
        <w:jc w:val="left"/>
        <w:tblInd w:w="0" w:type="dxa"/>
        <w:tblLayout w:type="fixed"/>
        <w:tblCellMar>
          <w:top w:w="28" w:type="dxa"/>
          <w:left w:w="28" w:type="dxa"/>
          <w:bottom w:w="28" w:type="dxa"/>
          <w:right w:w="28" w:type="dxa"/>
        </w:tblCellMar>
      </w:tblPr>
      <w:tblGrid>
        <w:gridCol w:w="712"/>
        <w:gridCol w:w="324"/>
        <w:gridCol w:w="24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20"/>
        <w:gridCol w:w="220"/>
        <w:gridCol w:w="22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06"/>
        <w:gridCol w:w="206"/>
        <w:gridCol w:w="294"/>
      </w:tblGrid>
      <w:tr>
        <w:trPr/>
        <w:tc>
          <w:tcPr>
            <w:tcW w:w="71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1267%</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Collaboration revenue (ZURZUVAE)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bl>
    <w:p>
      <w:pPr>
        <w:pStyle w:val="TextBody"/>
        <w:bidi w:val="0"/>
        <w:spacing w:lineRule="auto" w:line="288" w:before="2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68" w:before="0" w:after="0"/>
        <w:jc w:val="left"/>
        <w:rPr/>
      </w:pPr>
      <w:r>
        <w:rPr>
          <w:rFonts w:ascii="Times New Roman;serif" w:hAnsi="Times New Roman;serif"/>
          <w:b w:val="false"/>
          <w:color w:val="000000"/>
          <w:sz w:val="12"/>
        </w:rPr>
        <w:t xml:space="preserve">(b) </w:t>
      </w:r>
      <w:r>
        <w:rPr>
          <w:rFonts w:ascii="Times New Roman;serif" w:hAnsi="Times New Roman;serif"/>
          <w:b w:val="false"/>
          <w:color w:val="000000"/>
          <w:sz w:val="18"/>
        </w:rPr>
        <w:t>Includes the Company's proportionate share of sales of ZURZUVAE.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Product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product sales were $165.7 million and $158.0 million for the three months ended June 30, 2026 and 2025, respectively. Net product sales were $316.5 million and $300.0 million for the six months ended June 30, 2026 and 2025, respectively. The increase was primarily due to increases in net product sales from ONAPGO, which was launched in the second quarter of 2025, and Qelbree due to higher volume and higher price, partially offset by decline in net product sales of APOKYN due to lower volume, and decline in net product sales of Oxtellar XR and Trokendi XR due to generic erosion.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Adjustments related to prior year sales for the six months ended June 30, 2026 were approximately 1% of net product sales. Adjustments related to prior year sales for the six months ended June 30, 2025 were approximately 4% of net product sales. In 2025, the Company had favorable actual returns experience and as a result, the Company changed its estimated provision for product returns based on the most recent experience. Adjustments related to prior year sales for the six months ended June 30, 2025 were primarily attributable to Qelbree. Refer to discussion </w:t>
      </w:r>
      <w:r>
        <w:rPr>
          <w:rFonts w:ascii="Times New Roman;serif" w:hAnsi="Times New Roman;serif"/>
          <w:b w:val="false"/>
          <w:i/>
          <w:color w:val="000000"/>
          <w:sz w:val="20"/>
        </w:rPr>
        <w:t xml:space="preserve">Sales Deductions and Related Accruals </w:t>
      </w:r>
      <w:r>
        <w:rPr>
          <w:rFonts w:ascii="Times New Roman;serif" w:hAnsi="Times New Roman;serif"/>
          <w:b w:val="false"/>
          <w:color w:val="000000"/>
          <w:sz w:val="20"/>
        </w:rPr>
        <w:t>below.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manufacturing facilities for the commercial production of any of our commercial products. We currently depend on third-party clinical manufacturing organizations (CMOs), who offer a comprehensive range of contract manufacturing and packaging services, in various countries for the supply of active product ingredients (API), finished goods for our commercial products. For most of our commercial products, we rely on single source suppliers to produce and package final dosage forms for our products and raw materials, including API.</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4, 2025, we announced that due to stronger than expected demand for ONAPGO, supplier constraints were impacting our ability to fully meet this demand. ONAPGO is manufactured in Europe, supplied to us by our ONAPGO licensing partner, and packaged in the U.S. by a third-party contract manufacturing organization. We currently rely on single source suppliers to produce and package final dosage forms for ONAPGO. In February 2026, we announced that we have made progress in securing additional product supply of ONAPGO from the current supplier and as a result, has resumed new patient initiation. In addition, we are working with a second supplier that is expected to begin supplying ONAPGO in 2027, provided regulatory approval is obtained. Any changes in any of the suppliers would require regulatory approval which could cause a further delay in manufacturing and a possible loss of sales, which could affect future operating results adversely.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 Deductions and Related Accruals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record accrued product returns and accrued product rebates as current liabilities in</w:t>
      </w:r>
      <w:r>
        <w:rPr>
          <w:color w:val="000000"/>
        </w:rPr>
        <w:t xml:space="preserve"> </w:t>
      </w:r>
      <w:r>
        <w:rPr>
          <w:rFonts w:ascii="Times New Roman;serif" w:hAnsi="Times New Roman;serif"/>
          <w:b w:val="false"/>
          <w:i/>
          <w:color w:val="000000"/>
          <w:sz w:val="20"/>
        </w:rPr>
        <w:t xml:space="preserve">Accrued product returns and rebates, </w:t>
      </w:r>
      <w:r>
        <w:rPr>
          <w:rFonts w:ascii="Times New Roman;serif" w:hAnsi="Times New Roman;serif"/>
          <w:b w:val="false"/>
          <w:color w:val="000000"/>
          <w:sz w:val="20"/>
        </w:rPr>
        <w:t xml:space="preserve">on our condensed consolidated balance sheets. We record sales discounts as a reduction against </w:t>
      </w:r>
      <w:r>
        <w:rPr>
          <w:rFonts w:ascii="Times New Roman;serif" w:hAnsi="Times New Roman;serif"/>
          <w:b w:val="false"/>
          <w:i/>
          <w:color w:val="000000"/>
          <w:sz w:val="20"/>
        </w:rPr>
        <w:t xml:space="preserve">Accounts receivable, net </w:t>
      </w:r>
      <w:r>
        <w:rPr>
          <w:rFonts w:ascii="Times New Roman;serif" w:hAnsi="Times New Roman;serif"/>
          <w:b w:val="false"/>
          <w:color w:val="000000"/>
          <w:sz w:val="20"/>
        </w:rPr>
        <w:t>on the condensed consolidated balance sheets. Both amounts are generally affected by changes in gross product sales, changes in the provision for net product sales deductions, and the timing of payments/credits.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activity with respect to accrued product returns and rebates and sales discounts during the periods indicated (dollars in thousands): </w:t>
      </w:r>
    </w:p>
    <w:tbl>
      <w:tblPr>
        <w:tblW w:w="8514" w:type="dxa"/>
        <w:jc w:val="left"/>
        <w:tblInd w:w="0" w:type="dxa"/>
        <w:tblLayout w:type="fixed"/>
        <w:tblCellMar>
          <w:top w:w="28" w:type="dxa"/>
          <w:left w:w="28" w:type="dxa"/>
          <w:bottom w:w="28" w:type="dxa"/>
          <w:right w:w="28" w:type="dxa"/>
        </w:tblCellMar>
      </w:tblPr>
      <w:tblGrid>
        <w:gridCol w:w="939"/>
        <w:gridCol w:w="825"/>
        <w:gridCol w:w="830"/>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249,458 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(210,646)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162,109 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14" w:type="dxa"/>
        <w:jc w:val="left"/>
        <w:tblInd w:w="0" w:type="dxa"/>
        <w:tblLayout w:type="fixed"/>
        <w:tblCellMar>
          <w:top w:w="28" w:type="dxa"/>
          <w:left w:w="28" w:type="dxa"/>
          <w:bottom w:w="28" w:type="dxa"/>
          <w:right w:w="28" w:type="dxa"/>
        </w:tblCellMar>
      </w:tblPr>
      <w:tblGrid>
        <w:gridCol w:w="939"/>
        <w:gridCol w:w="825"/>
        <w:gridCol w:w="830"/>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207,489 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134,892 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193,681 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product returns balance decreased to $36.7 million as of June 30, 2026 from $46.0 million as of June 30, 2025. This decrease was primarily due to favorable returns processed in 2025. During 2025, the Company had favorable actual returns experience. As a result, the Company changed its estimated provision for product returns based on the most recent experience. The provision for product returns related to prior year sales, which was $0.6 million and $12.5 million as of June 30, 2026 and 2025, respectively, was primarily attributable to Qelbree, reflecting continued favorable actual returns experienced in 2025.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product rebates balance increased to $162.1 million as of June 30, 2026 from $134.9 million as of June 30, 2025 primarily due to timing of payments associated with government programs.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Provision for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product returns increased to $2.9 million for the six months ended June 30, 2026 from ($5.2) million for the six months ended June 30, 2025. The increase was primarily due to aforementioned change in estimated provision for product returns in 2025 based on the most recent experience, which was primarily attributable to Qelbree.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product rebates increased to $249.5 million for the six months ended June 30, 2026 from $207.5 million for the six months ended June 30, 2025. The increase was primarily attributable to higher Qelbree, GOCOVRI, and ONAPGO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Collaboration Revenue (ZURZUVAE)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 was $35.4 million and $63.0 million for the three and six months ended June 30, 2026. The Collaboration revenue (ZURZUVAE) revenue stream is due to the Sage Acquisition in July 2025.</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Royalty, Licensing and Other Revenues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 were $18.0 million and $7.5 million for the three months ended June 30, 2026 and 2025, respectively. Royalty, licensing and other revenues were $47.3 million and $15.3 million for the six months ended June 30, 2026 and 2025, respectively. The increase was primarily due to increased purchases of inventory under the Company's collaboration agreement with Shionogi, and the recognition of $20.0 million of licensing revenues related to the achievement of a commercial milestone under the Company's collaboration agreement with Shionogi in the six month period ended June 30, 2026.</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Revenues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were $33.7 million and $16.8 million for the three months ended June 30, 2026 and 2025, respectively. Cost of revenues were $57.1 million and $32.6 million for the six months ended June 30, 2026 and 2025, respectively. The increase was primarily driven by higher costs of Qelbree due to increased sales, ONAPGO, which was launched in the second quarter of 2025 and increased sales in the first half of 2026, and higher bulk and commercial inventory sales related to ZURZUVAE. These increases were partially offset by lower APOKYN royalties due to lower sales and lower Trokendi XR and Oxtellar XR costs, primarily due to generic erosion. </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 Expenses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expenses were $29.5 million and $22.1 million for the three months ended June 30, 2026 and 2025, respectively. R&amp;D expenses were $68.9 million and $49.0 million for the six months ended June 30, 2026 and 2025, respectively. The increase in the three month period ended June 30, 2026 is primarily due to the increase in clinical program costs on SPN-817 and early-stage programs. The increase in the six month period ended June 30, 2026 was primarily due to an increase in clinical program costs on SPN-817, which includes the $10.0 million expense to former Biscayne security holders, as well as increased spending on other early-stage programs.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Selling, 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selling, general and administrative (SG&amp;A) expenses during the periods indicated (dollars in thousands):</w:t>
      </w:r>
    </w:p>
    <w:tbl>
      <w:tblPr>
        <w:tblW w:w="11508" w:type="dxa"/>
        <w:jc w:val="left"/>
        <w:tblInd w:w="0" w:type="dxa"/>
        <w:tblLayout w:type="fixed"/>
        <w:tblCellMar>
          <w:top w:w="28" w:type="dxa"/>
          <w:left w:w="28" w:type="dxa"/>
          <w:bottom w:w="28" w:type="dxa"/>
          <w:right w:w="28" w:type="dxa"/>
        </w:tblCellMar>
      </w:tblPr>
      <w:tblGrid>
        <w:gridCol w:w="687"/>
        <w:gridCol w:w="301"/>
        <w:gridCol w:w="303"/>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20"/>
        <w:gridCol w:w="220"/>
        <w:gridCol w:w="22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6"/>
        <w:gridCol w:w="206"/>
        <w:gridCol w:w="294"/>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were $92.8 million and $65.1 million for the three months ended June 30, 2026 and 2025, respectively. Selling and marketing expenses were $179.8 million and $128.4 million for the six months ended June 30, 2026 and 2025, respectively. The increase in both periods was primarily due to the Company's proportionate share of expenses from the collaboration arrangement with Biogen, higher professional and consulting expenses, higher employee-related expenses, and higher marketing expense related to ONAPGO, which was launched in the second quarter of 2025.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$40.8 million and $28.4 million for the three months ended June 30, 2026 and 2025, respectively. General and administrative expenses were $79.0 million and $55.1 million for the six months ended June 30, 2026 and 2025, respectively. The increase in both periods was primarily due to the Company's proportionate share of expenses from the collaboration arrangement with Biogen, higher professional and consulting expenses, and higher operating expenses related to ONAPGO, which was launched in the second quarter of 2025.</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Amortization of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 assets was $25.3 million and $20.8 million for the three months ended June 30, 2026 and 2025, respectively. Amortization of intangible assets was $51.0 million and $40.6 million for the six months ended June 30, 2026 and 2025, respectively. The increase was primarily due to ZURZUVAE intangible asset amortization expense. ZURZUVAE intangible asset was acquired as part of the Sage Acquisition in July 2025.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Intangible Asset Impairment Charges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Intangible asset impairment charge was</w:t>
      </w:r>
      <w:r>
        <w:rPr>
          <w:color w:val="000000"/>
        </w:rPr>
        <w:t xml:space="preserve"> </w:t>
      </w:r>
      <w:r>
        <w:rPr>
          <w:rFonts w:ascii="Times New Roman;serif" w:hAnsi="Times New Roman;serif"/>
          <w:b w:val="false"/>
          <w:color w:val="000000"/>
          <w:sz w:val="20"/>
        </w:rPr>
        <w:t>$54.9 million for the three and six months ended June 30, 2026. The increase was due to an impairment charge related to the APOKYN intangible asset.</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Contingent Consideration Loss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contingent consideration loss for the three months ended June 30, 2026 and 2025. Contingent consideration loss was $2.4 million and $7.7 million for the six months ended June 30, 2026 and 2025, respectively. The contingent consideration loss for the six months ended June 30, 2026 was primarily due to the accretion of a Sage CVR to the full milestone payment amount with the achievement of a regulatory milestone with the approval of ZURZUVAE for the treatment of MDD in Japan. For the six months ended June 30, 2025, the loss was due to the accretion to the full milestone payment amount with the achievement of the USWM milestones. ONAPGO was approved by the FDA in February 2025 and was launched in April 2025.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 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was an income of $0.3 million and $4.5 million for the three months ended June 30, 2026 and 2025, respectively. Other income (expense), net was an income of $2.7 million and $9.0 million for the six months ended June 30, 2026 and 2025, respectively. The decrease was due to interest expense incurred in the three and six month periods ended June 30, 2026 that did not occur in the corresponding 2025 periods, lower interest income on marketable securities, as well as lower market interest rates in 2026 compared to 2025. The cash consideration paid for the Sage acquisition in 2025 was funded through the Company's cash, cash equivalents and marketable securities holdings.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was a expense of $0.7 million ((1.3)% effective tax rate) and income tax benefit of $2.9 million (4.6% effective tax rate) for the three and six months ended June 30, 2026, as compared to an income tax benefit of $5.8 million ((35.0)% effective tax rate) and income tax expense of $0.2 million (1.5% effective tax rate) for the three and six months ended June 30, 2025. The change in income tax expense (benefit) and effective income tax rate was primarily due to a forecasted full year pre-tax loss for the three and six months ended June 30, 2026, as compared to forecasted full year income for the same period in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 for the three and six months ended June 30, 2026 varies from the statutory federal tax rate in the United States (U.S. federal tax rate) of 21% primarily due to the effects of non-deductible executive compensation, non-deductible payments related to contingent consideration, and state taxes. The Company's effective income tax rate for the three and six months ended June 30, 2025 vary from the statutory U.S. federal tax rate primarily due to the impact of recurring permanent differences on a forecast near break-even loss.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June 30, 2026 and 2025, are subject to change and could have a material impact on the effective tax rate in subsequent periods.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 Marketable Securities and Restricted Cash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current marketable securities and restricted cash are comprised of the following (dollars in thousands): </w:t>
      </w:r>
    </w:p>
    <w:tbl>
      <w:tblPr>
        <w:tblW w:w="7284" w:type="dxa"/>
        <w:jc w:val="center"/>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6"/>
        <w:gridCol w:w="206"/>
        <w:gridCol w:w="29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its balances of cash, cash equivalents, and unrestricted marketable securities, which totaled $372.1 million as of June 30, 2026, along with cash generated from ongoing operations and continued access to debt markets, will be sufficient to satisfy its cash requirements over the next twelve months and beyond.</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profitability in future years, we anticipate there may be significant variability from year to year in the level of our profits particularly due to continued market and payor pressures for our commercial products; the unfavorable impact of the loss of patent exclusivity for Trokendi XR in January 2023 and Oxtellar XR in September 2024; the potential unfavorable impact of the forthcoming loss of exclusivity of XADAGO; funding for research and development of our product candidates; the additional funding for the launch of ONAPGO, which was approved by the FDA in February 2025 and launched in April 2025, the additional funding for the marketing of ZURZUVAE, and managing the Biogen Collaboration Agreement and obligations under the Biogen Collaboration Agreement which were acquired as part of the Sage Acquisition in July 2025.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raising additional capital through: new collaborative arrangements; strategic alliances; additional equity and/or financings from debt or other sources, especially in conjunction with opportunistic business development initiatives. If the Transactions contemplated by the Merger Agreement are consummated, we expect a significant reduction to our balances of cash and cash equivalents and marketable securities will occur to fund a portion of the one-time special cash dividend to stockholders of Indivior.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are comprised of the following (dollars in thousands):</w:t>
      </w:r>
    </w:p>
    <w:tbl>
      <w:tblPr>
        <w:tblW w:w="9521" w:type="dxa"/>
        <w:jc w:val="left"/>
        <w:tblInd w:w="0" w:type="dxa"/>
        <w:tblLayout w:type="fixed"/>
        <w:tblCellMar>
          <w:top w:w="28" w:type="dxa"/>
          <w:left w:w="28" w:type="dxa"/>
          <w:bottom w:w="28" w:type="dxa"/>
          <w:right w:w="28" w:type="dxa"/>
        </w:tblCellMar>
      </w:tblPr>
      <w:tblGrid>
        <w:gridCol w:w="1961"/>
        <w:gridCol w:w="1720"/>
        <w:gridCol w:w="1733"/>
        <w:gridCol w:w="211"/>
        <w:gridCol w:w="826"/>
        <w:gridCol w:w="109"/>
        <w:gridCol w:w="109"/>
        <w:gridCol w:w="109"/>
        <w:gridCol w:w="109"/>
        <w:gridCol w:w="211"/>
        <w:gridCol w:w="826"/>
        <w:gridCol w:w="109"/>
        <w:gridCol w:w="109"/>
        <w:gridCol w:w="109"/>
        <w:gridCol w:w="109"/>
        <w:gridCol w:w="211"/>
        <w:gridCol w:w="796"/>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$61.7 million compared to $89.1 million for the six months ended June 30, 2026, and 2025, respectively. The decrease in cash flows provided by operating activities was primarily due to the increase in net loss as well as changes in working capital. The Company reported net loss of $60.7 million and net earnings of $10.7 million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six months ended June 30, 2026 and 2025, respectively. The increase in net loss was primarily due to the impairment of an intangible asset and increase in research and development and selling, general, and administrative activities.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$12.1 million for the six months ended June 30, 2026 compared to net cash provided by investing activities of $6.7 million during the same period in 2025. The change was primarily due to a decrease in the maturities of marketable securities partially offset by a decrease in the purchases of marketable securities.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$1.9 million for the six months ended June 30, 2026 compared to net cash used in financing activities of $20.5 million during the same period in 2025. The change was primarily due to an increase in proceeds from the issuance of common stock and a decrease in the payment of contingent consideration amount.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has various potential milestone payments a result of the acquisition of Sage Therapeutics, Inc. In March 2026, Shionogi announced the successful commercial launch of a product containing zuranolone for the treatment of MDD in Japan. As such, a milestone was met and became due and payable at that time. The Company paid the milestone payment in June of 2026. Refer to Note 7, </w:t>
      </w:r>
      <w:r>
        <w:rPr>
          <w:rFonts w:ascii="Times New Roman;serif" w:hAnsi="Times New Roman;serif"/>
          <w:b w:val="false"/>
          <w:i/>
          <w:color w:val="000000"/>
          <w:sz w:val="20"/>
        </w:rPr>
        <w:t>Contingent Consideration</w:t>
      </w:r>
      <w:r>
        <w:rPr>
          <w:rFonts w:ascii="Times New Roman;serif" w:hAnsi="Times New Roman;serif"/>
          <w:b w:val="false"/>
          <w:color w:val="000000"/>
          <w:sz w:val="20"/>
        </w:rPr>
        <w:t>, in the Notes to the Consolidated Financial Statements in Part I, Item 1, Unaudited Condensed Consolidated Financial Statements, of this Quarterly Report on Form 10-Q for discussion of contingent consideration associated with the Acquisition of Sage Therapeutics, Inc. for further details.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22, 2026, the Company entered into a First Amendment (Amendment) to the Agreement and Plan of Merger (Agreement) dated September 12, 2018, with former Biscayne security holders. The Amendment relates to the timing and payment of certain milestones under the Biscayne merger agreement. The Company agreed to pay former Biscayne security holders $10.0 million, one of the milestones specified in the Agreement, by June 30, 2026. The Company paid the milestone in June 2026.</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agreed to pay certain amounts to US WorldsMeds Partners, LLC. Refer to Note 7, </w:t>
      </w:r>
      <w:r>
        <w:rPr>
          <w:rFonts w:ascii="Times New Roman;serif" w:hAnsi="Times New Roman;serif"/>
          <w:b w:val="false"/>
          <w:i/>
          <w:color w:val="000000"/>
          <w:sz w:val="20"/>
        </w:rPr>
        <w:t>Contingent Consideration.</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on April 1, 2026, the Company entered into an Asset Purchase Agreement with Navitor and consummated the transactions contemplated therein whereby the Company acquired, among other things, the right, title, materials, and intellectual property of SPN-820. The Company is obligated to effect and complete one Phase 2b study and make several milestone payments of up to $350 million contingent upon the achievement of specified development, regulatory and commercial milestones.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Refer to "Part II, Item 7 — Management's Discussion and Analysis of Liquidity and Capital Resources" of our Annual Report on Form 10-K for the year ended December 31, 2025, and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 the Notes to the Condensed Consolidated Financial Statements in Part I, Item 1, Unaudited Condensed Consolidated Financial Statements, of this Quarterly Report on Form 10-Q for discussion of our other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a discussion of new accounting pronouncements, 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 the Notes to the Condensed Consolidated Financial Statements in Part I, Item 1, Unaudited Condensed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and marketable securities. As of June 30, 2026, we had cash and cash equivalents and marketable securities of $372.1 million.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borrow funds under the Credit Line. Variable rate borrowing, which may occur under the Credit Line, exposes us to interest rate risk as increases in interest rates would increase our borrowing costs. Any borrowed funds pursuant to our Credit Line are subject to a collateral maintenance requirement. The Credit Line is secured primarily by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consist primarily of cash held at banks and investments in highly liquid financial instruments with an original maturity of three months or less. Our marketable securities, which are reported at fair value, generally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any currency or derivative financial instruments.</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contract with clinical research organizations (CROs) and investigational sites globally. Currently, we have ongoing clinical trials being conducted outside of the U.S. We do not hedge our foreign currency exchange rate risk. Transactions denominated in currencies other than the U.S. dollar are recorded based on exchange rates at the time such transactions arise. As of June 30, 2026 and December 31, 2025, substantially all of our liabilities were denominated in the U.S. dollar.</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and the cost of services provided by our vendors. While we expect significant year-to-year variability in labor and vendor service costs due to uncontrollable inflation factors like natural disasters, geopolitical conflicts, tariffs, and government regulations, we strive to mitigate future price risks. We do this by forming strong partnerships with key suppliers and our CMOs, and by directly managing the procurement and supply levels of key raw materials for our commercial products. However, these efforts may not fully protect us from cost increases, which could adversely impact our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an evaluation of the effectiveness of the design and operation of our disclosure controls and procedures as of June 30, 2026, the end of the period covered by this report. Based on that evaluation, under the supervision and with the participation of our management, including our CEO and CFO, we concluded that our disclosure controls and procedures are effective as of June 30, 2026.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CEO and CFO, evaluated changes in our internal control over financial reporting that occurred during the quarter ended June 30, 2026.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changes occurred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and in the ordinary course of business, Supernus Pharmaceuticals, Inc. (the "Company") and any of its subsidiaries may be subject to various claims, charges and litigation. The Company and any of its subsidiaries may be required to file infringement claims against third parties for the infringement of our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I.Supernus Pharmaceuticals, Inc. v. Appco Pharma LLC and Somerset Therapeutics LLC, No. 2:25-cv-12183 (MEF)(MAH) (D.N.J.), re-captioned as In re Viloxazine, C.A. No. 25-cv-12183 (MEF) (MAH) (Consolidated)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Paragraph IV Notice Letters from generic drug makers Appco Pharma LLC (Appco) and Somerset Therapeutics LLC (Somerset) dated May 21, 2025, and June 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Appco and Somerset alleging infringement of the Company’s Qelbree® Orange Book patents. The Complaint—filed in the U.S. District Court for the District of New Jersey—alleges, inter alia, that Appco and Somerset infringed the Company’s Qelbree® patents by submitting to the FDA an Abbreviated New Drug Application (ANDA) seeking to market a generic version of Qelbree® prior to the expiration of the Company’s patents. Filing its June 26, 2025, Complaint within 45 days of receiving Appco and Somerset’s Paragraph IV certification notice entitles Supernus to an automatic stay preventing the FDA from approving Appco and Somerset’s ANDA until October 2, 2028. On September 22, 2025, Appco and Somerset answered the Complaint and denied the substantive allegations of the Complaint, asserting affirmative defenses that include non-infringement and invalidity. Appco and Somerset also asserted Counterclaims that include requests for declaratory judgments of non-infringement and invalidity. On October 28, 2025, the Company filed its reply, denying the substantive allegations of Appco’s and Somerset’s Counterclaims. On December 23, 2025, the Court issued an order consolidating this lawsuit for all pretrial purposes with the lawsuits against (i) Apotex, discussed in Section II, below; (ii) Aurobindo, discussed in Section III, below; (iii) Zydus, discussed in Section IV, below;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On December 18, 2025, the Court issued a scheduling order for the consolidated cases that provides for a close of discovery on November 17, 2027. The Court has not set a date for a final pretrial conference or trial. Pretrial discovery is currently ongoing.</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 Supernus Pharmaceuticals, Inc. v. Apotex Inc., No. 2:25-cv-12184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Apotex Inc. (Apotex) dated May 22,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Apotex alleging infringement of the Company’s Qelbree® Orange Book patents. The Complaint—filed in the U.S. District Court for the District of New Jersey—alleges, inter alia, that Apotex infringed the Company’s Qelbree® patents by submitting to the FDA an Abbreviated New Drug Application (ANDA) seeking to market a generic version of Qelbree® prior to the expiration of the Company’s patents. Filing its June 26, 2025, Complaint within 45 days of receiving Apotex’s Paragraph IV certification notice entitles Supernus to an automatic stay preventing the FDA from approving Apotex’s ANDA until October 2, 2028. On September 19, 2025, Apotex answered the Complaint and denied the substantive allegations of the Complaint, asserting affirmative defenses that include non-infringement and invalidity. Apotex also asserted Counterclaims that include requests for declaratory judgments of non-infringement and invalidity. On October 24, 2025, the Company filed its reply, denying the substantive allegations of Apotex’s Counterclaims. On December 23, 2025, the Court issued an order consolidating this lawsuit for all pretrial purposes with the lawsuits against (i) Appco and Somerset, discussed in Section I, above; (ii) Aurobindo, discussed in Section III, below; (iii) Zydus, discussed in Section IV, below;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25-cv-12184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III. Supernus Pharmaceuticals, Inc. v. Aurobindo Pharma Limited and Aurobindo Pharma U.S.A., Inc., No. 2:25 cv-12186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makers Aurobindo Pharma Limited and Aurobindo Pharma U.S.A., Inc. (collectively, Aurobindo) dated May 29,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Company filed a lawsuit against Aurobindo alleging infringement of the Company’s Qelbree® Orange Book patents. The Complaint—filed in the U.S. District Court for the District of New Jersey—alleges, inter alia, that Aurobindo infringed the Company’s Qelbree® patents by submitting to the FDA an Abbreviated New Drug Application (ANDA) seeking to market a generic version of Qelbree® prior to the expiration of the Company’s patents. Filing its June 26, 2025, Complaint within 45 days of receiving Aurobindo’s Paragraph IV certification notice entitles Supernus to an automatic stay preventing the FDA from approving Aurobindo’s ANDA until October 2, 2028. On August 29, 2025, Aurobindo answered the Complaint and denied the substantive allegations of the Complaint, asserting affirmative defenses that include non-infringement and invalidity. On December 23, 2025, the Court issued an order consolidating this lawsuit for all pretrial purposes with the lawsuits against (i) Appco and Somerset, discussed in Section I, above; (ii) Apotex, discussed in Section II, above; (iii) Zydus, discussed in Section IV, below;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25-cv-12186 (MEF)(MAH) (D.N.J.) action.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IV. Supernus Pharmaceuticals, Inc. v. Zydus Lifesciences Global FZE, Zydus Pharmaceuticals (USA) Inc., and Zydus Lifesciences Limited, No. 2:25-cv-12188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Zydus Lifesciences Global FZE (Zydus FZE) dated May 27, 2025, directed to three of its Qelbree® Orange Book patents. Supernus’s U.S. Patent Nos. 9,358,204; 9,603,853; and 9,662,338 generally cover viloxazine formulations and methods of using those formulations. The FDA Orange Book currently lists United States Patent Nos. 9,358,204 and 9,603,853 as expiring on February 7, 2033, and United States Patent No. 9,662,338 as expiring on April 2, 2035. On June 26, 2025, the Company filed a lawsuit against Zydus FZE, Zydus Pharmaceuticals (USA) Inc., and Zydus Lifesciences Limited (collectively, Zydus) alleging infringement of the Company’s Qelbree® Orange Book patents. The Complaint—filed in the U.S. District Court for the District of New Jersey—alleges, inter alia, that Zydus infringed the Company’s Qelbree® patents by submitting to the FDA an Abbreviated New Drug Application (ANDA) seeking to market a generic version of Qelbree® prior to the expiration of the Company’s patents. Filing its June 26, 2025, Complaint within 45 days of receiving Zydus FZE’s Paragraph IV certification notice entitles Supernus to an automatic stay preventing the FDA from approving Zydus’s ANDA until October 2, 2028. On September 22, 2025, Zydus answered the Complaint and denied the substantive allegations of the Complaint, asserting affirmative defenses that include non-infringement and invalidity. Zydus also asserted Counterclaims that include requests for declaratory judgments of non-infringement and invalidity. On October 28, 2025, the Company filed its reply, denying the substantive allegations of Zydus’s Counterclaims. On December 23, 2025, the Court issued an order consolidating this lawsuit for all pretrial purposes with the lawsuits against (i) Appco and Somerset, discussed in Section I, above; (ii) Apotex, discussed in Section II, above; (iii) Aurobindo, discussed in Section III, above;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25-cv-12188 (MEF)(MAH) (D.N.J.) action.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 Supernus Pharmaceuticals, Inc. v. Creekwood Pharmaceuticals, LLC, C.A. No. 25-cv-13201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Creekwood Pharmaceuticals, LLC (Creekwood) dated June 4,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Creekwood alleging infringement of the Company’s Qelbree® Orange Book patents. The Complaint—filed in the U.S. District Court for the District of New Jersey—alleges, inter alia, that Creekwood infringed the Company’s Qelbree® patents by submitting to the FDA an Abbreviated New Drug Application (ANDA) seeking to market a generic version of Qelbree® prior to the expiration of the Company’s patents. Filing its July 11, 2025, Complaint within 45 days of receiving Creekwood’s Paragraph IV certification notice entitles Supernus to an automatic stay preventing the FDA from approving Creekwood’s ANDA until October 2, 2028. On September 19, 2025, Creekwood answered the Complaint and denied the substantive allegations of the Complaint, asserting affirmative defenses that include non-infringement and invalidity. Creekwood also asserted Counterclaims that include requests for declaratory judgments of non-infringement and invalidity. On October 24, 2025, the Company filed its reply, denying the substantive allegations of Creekwood’s Counterclaims.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MSN, discussed in Section VI, below; (vi) Zenara and Biophore, discussed in Section VII, below; and (vii) Macleods, discussed in Sections VIII and IX, below. The Court’s December 23, 2025, consolidation order recaptioned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lawsuits as In re Viloxazine, C.A. No. 25-cv-12183 (MEF)(MAH) (Consolidated), and administratively terminated the C.A. No. 25-cv-13201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 Supernus Pharmaceuticals, Inc. v. MSN Pharmaceuticals Inc., C.A. No. 25-cv-13204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MSN Pharmaceuticals Inc. (MSN) dated June 5,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MSN alleging infringement of the Company’s Qelbree® Orange Book patents. The Complaint—filed in the U.S. District Court for the District of New Jersey—alleges, inter alia, that MSN infringed the Company’s Qelbree® patents by submitting to the FDA an Abbreviated New Drug Application (ANDA) seeking to market a generic version of Qelbree® prior to the expiration of the Company’s patents. Filing its July 11, 2025, Complaint within 45 days of receiving MSN’s Paragraph IV certification notice entitles Supernus to an automatic stay preventing the FDA from approving MSN’s ANDA until October 2, 2028. On September 22, 2025, MSN answered the Complaint and denied the substantive allegations of the Complaint, asserting affirmative defenses that include non-infringement and invalidity. MSN also asserted Counterclaims that include requests for declaratory judgments of non-infringement and invalidity. On October 28, 2025, the Company filed its reply, denying the substantive allegations of MSN’s Counterclaims.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25-cv-13204 (MEF)(MAH) (D.N.J.) action.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 Supernus Pharmaceuticals, Inc. v. Zenara Pharma Private Ltd., et al. , C.A. No. 25-cv-13207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Zenara Pharma Private Limited (Zenara) dated June 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Zenara and Biophore Pharma Inc. (Biophore, and collectively with Zenara, Defendants) alleging infringement of the Company’s Qelbree® Orange Book patents. The Complaint—filed in the U.S. District Court for the District of New Jersey—alleges, inter alia, that Defendants infringed the Company’s Qelbree® patents by submitting to the FDA an Abbreviated New Drug Application (ANDA) seeking to market a generic version of Qelbree® prior to the expiration of the Company’s patents. Filing its July 11, 2025, Complaint within 45 days of receiving Defendants’ Paragraph IV certification notice entitles Supernus to an automatic stay preventing the FDA from approving Defendants’ ANDA until October 2, 2028. On September 16, 2025, Defendants answered the Complaint and denied the substantive allegations of the Complaint, asserting affirmative defenses that include non-infringement and invalidity.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and (vii) Macleods, discussed in Sections VIII, and IX below. The Court’s December 23, 2025, consolidation order recaptioned the consolidated lawsuits as In re Viloxazine, C.A. No. 25-cv-12183 (MEF)(MAH) (Consolidated), and administratively terminated the C.A. No. 25-cv-13207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VIII. Supernus Pharmaceuticals, Inc. v. Macleods Pharmaceuticals Ltd., et al., C.A. No. 25-cv-15399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Macleods Pharmaceuticals Ltd. (Macleods Ltd.) dated August 1,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September 9, 2025, the Company filed a lawsuit against Macleods Pharmaceuticals Ltd. and Macleods Pharma USA, Inc. (Macleods USA and collectively with Macleods Ltd.,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Defendants) alleging infringement of the Company’s Qelbree® Orange Book patents. The Complaint—filed in the U.S. District Court for the District of New Jersey—alleges, inter alia, that Defendants infringed the Company’s Qelbree® patents by submitting to the FDA an Abbreviated New Drug Application (ANDA) seeking to market a generic version of Qelbree® prior to the expiration of the Company’s patents. Filing its September 9, 2025, Complaint within 45 days of receiving Defendants’ Paragraph IV certification notice entitles Supernus to an automatic stay preventing the FDA from approving Defendants’ ANDA until October 2, 2028. On September 29, 2025,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November 3, 2025, the Company filed its reply, denying the substantive allegations of Defendants’ Counterclaims.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(vii) Zenara and Biophore, discussed in Section VII, above; and (viii) Macleods, discussed in Section IX, below. The Court’s December 23, 2025, consolidation order recaptioned the consolidated lawsuits as In re Viloxazine, C.A. No. 25-cv-12183 (MEF)(MAH) (Consolidated), and administratively terminated the C.A. No. 25-cv-15399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IX. Supernus Pharmaceuticals, Inc. v. Macleods Pharmaceuticals Ltd., et al. , C.A. No. 25-cv-18683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Macleods Pharmaceuticals Ltd. (Macleods Ltd.) dated November 20,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December 16, 2025, the Company filed a lawsuit against Macleods Pharmaceuticals Ltd. and Macleods Pharma USA, Inc. (Macleods USA and collectively with Macleods Ltd., Defendants) alleging infringement of the Company’s Qelbree® Orange Book patents. The Complaint—filed in the U.S. District Court for the District of Delaware—alleges, inter alia, that Defendants infringed the Company’s Qelbree® patents by submitting to the FDA an Abbreviated New Drug Application (ANDA) seeking to market a generic version of Qelbree® prior to the expiration of the Company’s patents. Filing its December 16, 2025, Complaint within 45 days of receiving Defendants’ Paragraph IV certification notice entitles Supernus to an automatic stay preventing the FDA from approving Defendants’ ANDA until October 2, 2028.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(vii) Zenara and Biophore, discussed in Section VII, above; and (viii) Macleods, discussed in Section VIII, above. The Court’s December 23, 2025, consolidation order recaptioned the consolidated lawsuits as In re Viloxazine, C.A. No. 25-cv-12183 (MEF)(MAH) (Consolidated), and administratively terminated the C.A. No. 25-cv-18683 (MEF)(MAH) (D.N.J.) action. On January 23, 2026,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February 27, 2026, the Company filed its reply, denying the substantive allegations of Defendants' Counterclaims.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X. Supernus Pharmaceuticals, Inc. v. Zydus Lifesciences Global FZE, et al., C.A. No. 26-cv-3543 (MEF)(MAH) (D.N.J.)</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Zydus Lifesciences Global FZE ("Zydus FZE") dated March 25, 2026 directed to three of its Qelbree® Orange Book patents. Supernus's U.S. Patent Nos. 11 ,324,753; 11,458,143; and 12,121,523 generally cover viloxazine formulations and methods of using those formulations. The FDA Orange Book currently lists United States Patent Nos. 11,324,753; 11 ,458,143; and 12,121,523 as expiring on September 4, 2029. On April 2, 2026, the Company filed a lawsuit against Zydus FZE, Zydus Pharmaceuticals (USA) Inc., and Zydus Lifesciences Limited (collectively, "Zydus") alleging infringement of the Company's Qelbree® Orange Book patents. The Complaint-filed in the U.S. District Court for the District of New Jersey- alleges, inter alia, that Zydus infringed the Company's Qelbree® patents by submitting to the FDA an Abbreviated New Drug Application ("ANDA") seeking to market a generic version of Qelbree® prior to the expiration of the Company's patents. Filing its April 2, 2026 Complaint within 45 days of receiving Zydus FZE's Paragraph IV certification notice entitles Supernus to an automatic stay preventing the FDA from approving Zydus's ANDA until October 2, 2028. On April 14, 2026,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April 23, 2026, the Company filed its reply, denying the substantive allegations of Defendants' Counterclaims. On May 5, 2026, the Court issued an order consolidating this lawsuit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(vii) Zenara and Biophore, discussed in Section VII, above; and (viii) Macleods, discussed in Section VIII and IX, above. The Court’s May 5, 2026 consolidation order administratively terminated the C.A. No. 26-cv-3543 (MEF)(MAH) (D.N.J.) action.</w:t>
      </w:r>
    </w:p>
    <w:p>
      <w:pPr>
        <w:pStyle w:val="TextBody"/>
        <w:bidi w:val="0"/>
        <w:spacing w:lineRule="auto" w:line="26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 Sage Chemical, Inc., et al. v. Supernus Pharmaceuticals, Inc., et al., C.A. No. 22-cv-1302 (CJB) (D. Del.)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December 6, 2024, Plaintiffs filed a second amended complaint, which added US WorldMeds and USWM back to the case. On February 9, 2026, the Court issued a scheduling order that provided for the close of expert discovery on May 8, 2026, and the submission of dispositive motions by June 9, 2026, with briefing to be completed on September 2, 2026. On June 9, 2026, each side submitted both dispositive motions and motions to exclude certain expert opinions, which are currently being briefed. The scheduling order also sets a pretrial conference on January 15, 2027, and a jury trial beginning on January 25, 2027.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XII. US WorldMeds Partners, LLC v. Federal Insurance Company, et al, Case Nos. 24-CI-2529; 24-CI-4195; 24-CI-4631; and 24-CI-6988 (D.Del)</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Alleged competitors of Supernus filed a lawsuit against the Company, MDD US Enterprises, LLC, and MDD Operations, LLC (collectively Enterprises) and others in the United States District Court for the District of Delaware (the Underlying Action). After a dispute over coverage under certain insurance policies arose, Enterprises commenced a declaratory judgment action against Federal Insurance Company, RSUI Indemnity Company, and StarStone Specialty Insurance Company and others to recover insurance benefits. US WorldMeds Partners, LLC, RSUI and StarStone commenced similar declaratory judgment actions in connection with the Underlying Action. These related actions were recently consolidated. This case is in its early stages. Supernus awaits responsive pleadings to its Complaint. Discovery has not yet commenced in the consolidated action. A court conference was held on May 14, 2025, and the next conference was scheduled for August 4, 2025. On August 4, 2025, after discussing the issues in the case, the judge ordered the parties to submit a joint proposed scheduling order outlining deadlines for the amendment of pleadings and completion of discovery on the coverage issues by August 22, 2025. A virtual status conference was held on January 28, 2026. Thereafter, the Court entered a Scheduling Order, which allows the parties to realign the pleadings and proceed with discovery. A court conference was held on May 6, 2026, and the next conference is scheduled for September 9, 2026. Trial is scheduled for October 2027.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XIII. Supernus Pharmaceuticals, Inc. v. Old Republic Insurance Company, 8:24-cv-03733-PJM (D.Maryland)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action seeks recovery of insurance benefits in connection with the Underlying Action in the US WorldMeds Partners, LLC v. Federal Insurance Company case. On March 24, 2026, the court granted the defendant insurer’s pre-answer motion to dismiss, and the case was dismissed with prejudice. Supernus is appealing this decision. Court ordered mediation occurred on June 24, 2026 ,but did not produce a settlement. Following the session, the parties agreed to submit a revised briefing schedule to the Court, which was subsequently approved. The current deadlines are as follows: (1) Supernus’ brief due September 11, 2026; (2) Old Republic’s responsive brief due October 30, 2026; and (3) any reply brief due 21 days from service of response brief.</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XIV. US WorldMeds Partners, LLC v. Supernus Pharmaceuticals, Inc., (N25C-07-121-KMM) (Delaware Superior Court)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2025, the Company informed US WorldMeds Partners, LLC (“Partners”), the seller of US WorldMeds Enterprises, LLC n/k/a MDD US Enterprises, LLC that it would be withholding $27.7 million of a $30.0 million milestone payment pursuant to the set-off provision of the Sale and Purchase Agreement between the parties. On May 21, 2025, Partners filed a one-count complaint for specific performance in the Delaware Court of Chancery, seeking payment of the withheld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 plus interest, attorneys’ fees, and costs. On June 16, 2025, the Company filed a motion to dismiss Partners’ complaint on the grounds that the Court of Chancery lacked subject matter jurisdiction. On July 15, 2025, Partners dismissed its complaint and re-filed in the Delaware Superior Court with a companion motion to seal, seeking identical relief. The Company timely filed an Answer under seal on August 6, 2025. On October 3, 2025, Partners filed a motion for summary judgment and related briefing. The parties reached agreement on a stipulated briefing schedule, which the Court entered as an order. The Company’s opposition and cross motion for summary judgment was timely filed December 5, 2025; Partners filed a reply and opposition to the cross motion January 16, 2026; the Company filed a reply on February 9, 2026. Oral argument took place on March 4, 2026. On June 5, 2026, the Court entered a memorandum opinion awarding full summary judgment in favor of Partners and denied the Company’s cross motion. On June 22, 2026, Partners submitted an application for attorneys’ fees and costs, which the Company opposed on July 15, 2026. Partners is entitled to file a Reply on or before July 28, 2026. The principal balance due to Partners, interest, attorneys’ fees, and costs, remain a matter of dispute and are due to be decided by the court. On August 8, 2025, the Company made an additional partial holdback payment of approximately $1.9 million based on its then-current understanding of its obligations under the set-off provision.</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Sage Litigation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28, 2024, named plaintiff Darren Korver filed a purported federal securities class action lawsuit in the Southern District of New York against Sage Therapuetics, Inc. and individuals, Barry E. Greene and Kimi Iguchi (the “Securities Class Action”), both of whom are former officers of Sage. Pursuant to a statutorily prescribed process, the court appointed two new class representatives, Steamfitters Local 449 Pension &amp; Retirement Security Funds and Trust of the Retirement System of the UPR, who filed an amended complaint on March 3, 2025, against the original defendants and five additional former officers of Sage. The amended complaint in the Securities Class Action alleges violations of U.S. securities laws under Sections 10(b) and 20(a) of the Securities Exchange Act of 1934, as amended (the “Exchange Act”) and Rule 10b-5 promulgated thereunder and seeks an as-yet unspecified amount of damages allegedly sustained by parties who purchased the Sage Therapeutic’s stock between April 12, 2021 and July 23, 2024, as well as applicable attorneys’ fees and costs. On April 17, 2025, Sage Therapeutics, along with all of the individual defendants, filed a motion to dismiss the Securities Class Action in the Southern District of New York. On February 18, 2026, Plaintiffs filed a letter with the Court seeking leave to amend their complaint and asking the Court to refrain from deciding the motion to dismiss pending the Court’s decision on the request to file an amended complaint. On March 10, 2026, Defendants submitted a letter to the Court joining Plaintiffs’ request of February 18, 2026. On April 3, 2026, the parties filed a stipulation, which the Court so ordered on April 9, 2026, permitting Plaintiffs to file an amended complaint by July 15, 2026. On April 30, 2026, Plaintiffs filed the Second Amended Complaint. On July 15, 2026, Defendants filed a motion to dismiss the Second Amended Complaint. Lead Plaintiffs’ opposition to the motion to dismiss is due by August 31, 2026, and Defendants’ reply in further support of their motion is due by September 22, 2026. Related derivative actions remain stayed pending the resolution of this motion. Sage denies any allegations of wrongdoing and intends to vigorously defend against the Securities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16, 2024, Sage Therapeutics received a subpoena from the Enforcement Division of the SEC requesting documents and information related to Sage's NDA for zuranolone for the treatment of MDD, including communications with the FDA and any communications containing material nonpublic information. Sage Therapeutics is cooperating with the SEC and intends to continue to provide information responsive to the SEC’s requests.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Pizzelanti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20, 2025, Sage, along with other relevant parties, submitted for the Southern District of New York’s approval of a consolidation of the Zhu Derivative Litigation with the Matton Derivative Litigation and the Pizzelanti Derivative Litigation (the “Consolidated Derivative Litigation”).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2025, two complaints were filed in state court by purported stockholders of Sage regarding the Agreement and Plan of Merger (the Merger Agreement), dated as of June 13, 2025, by and among Sage, Supernus Pharmaceuticals, Inc., a Delaware corporation, and Saphire, Inc., a Delaware corporation. On July 8, 2025, a purported stockholder of Sage Therapeutics filed a complaint against Sage Therapeutics and each member of the Board in the Supreme Court of the State of New York, County of New York, captioned Taylor v. Sage Therapeutics, Inc., et al., Index No. 654060/2025 (the “Taylor Complaint”). On July 9, 2025, a purported stockholder of Sage Therapeutics filed a complaint against Sage Therapeutics and each member of the Board in the Supreme Court of the State of New York, County of New York, captioned Morgan v. Sage Therapeutics, Inc., et al., Index No. 654094/2025 (together with the Taylor Complaint, the “Merger Complaints”). The Merger Complaints assert, among other things, claims for negligent misrepresentation and concealment and negligence under New York common law against all defendants. The Merger Complaints allege that Sage Therapeutic’s Solicitation/Recommendation Statement on Schedule 14D-9 filed with the SEC on July 2, 2025, together with the exhibits and annexes thereto (the “Schedule 14D-9”), omitted certain purportedly material information. Among other relief, the Merger Complaints seek (i) an injunction prohibiting consummation of the transactions contemplated by the Merger Agreement (the “Transactions”), (ii) rescission or actual and punitive damages if the Transactions are consummated, and (iii) an award of the plaintiffs’ fees and expenses, including reasonable attorneys’ and experts’ fees and expenses. Sage Therapeutics has also received certain demand letters from purported stockholders making allegations similar to those contained in the Merger Complaints. Additional lawsuits arising out of or relating to the Merger Agreement may be filed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this time, the Company is unable to predict the outcome of the Securities Class Action, the SEC investigation, the Consolidated Derivative Litigation, or the Merger Complaints, or reasonably estimate a range of possible losses.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2025 and quarterly report on Form 10-Q for the period ended June 30, 2026. These risks may result in material harm to our business and our financial condition and results of operations. If a material, adverse event was to occur, the market price of our common stock may decline, and you could lose part or all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(a)    Sales of Unregistered Securities.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hanging="720"/>
        <w:jc w:val="left"/>
        <w:rPr/>
      </w:pPr>
      <w:r>
        <w:rPr>
          <w:rFonts w:ascii="Times New Roman;serif" w:hAnsi="Times New Roman;serif"/>
          <w:b/>
          <w:color w:val="000000"/>
          <w:sz w:val="20"/>
        </w:rPr>
        <w:t>(a)     </w:t>
      </w:r>
      <w:r>
        <w:rPr>
          <w:rFonts w:ascii="Times New Roman;serif" w:hAnsi="Times New Roman;serif"/>
          <w:b w:val="false"/>
          <w:color w:val="000000"/>
          <w:sz w:val="20"/>
        </w:rPr>
        <w:t>None.</w:t>
      </w:r>
    </w:p>
    <w:p>
      <w:pPr>
        <w:pStyle w:val="TextBody"/>
        <w:bidi w:val="0"/>
        <w:spacing w:lineRule="auto" w:line="288" w:before="200" w:after="283"/>
        <w:ind w:left="0" w:right="0" w:hanging="720"/>
        <w:jc w:val="left"/>
        <w:rPr/>
      </w:pPr>
      <w:r>
        <w:rPr>
          <w:rFonts w:ascii="Times New Roman;serif" w:hAnsi="Times New Roman;serif"/>
          <w:b/>
          <w:color w:val="000000"/>
          <w:sz w:val="20"/>
        </w:rPr>
        <w:t>(b)    </w:t>
      </w: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(c)    Insider Trading Arrangements and Policies.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The table below lists the insider trading arrangements adopted or terminated during the second quarter of 2026:</w:t>
      </w:r>
    </w:p>
    <w:p>
      <w:pPr>
        <w:pStyle w:val="TextBody"/>
        <w:bidi w:val="0"/>
        <w:spacing w:before="20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376"/>
        <w:gridCol w:w="331"/>
        <w:gridCol w:w="333"/>
        <w:gridCol w:w="482"/>
        <w:gridCol w:w="482"/>
        <w:gridCol w:w="483"/>
        <w:gridCol w:w="491"/>
        <w:gridCol w:w="491"/>
        <w:gridCol w:w="492"/>
        <w:gridCol w:w="441"/>
        <w:gridCol w:w="441"/>
        <w:gridCol w:w="442"/>
        <w:gridCol w:w="483"/>
        <w:gridCol w:w="483"/>
        <w:gridCol w:w="484"/>
        <w:gridCol w:w="575"/>
        <w:gridCol w:w="575"/>
        <w:gridCol w:w="577"/>
        <w:gridCol w:w="507"/>
        <w:gridCol w:w="507"/>
        <w:gridCol w:w="729"/>
      </w:tblGrid>
      <w:tr>
        <w:trPr/>
        <w:tc>
          <w:tcPr>
            <w:tcW w:w="3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04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and Title of Director or Officer</w:t>
            </w:r>
          </w:p>
        </w:tc>
        <w:tc>
          <w:tcPr>
            <w:tcW w:w="144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Rule 10b5-1 Trading Arrangement</w:t>
            </w:r>
            <w:r>
              <w:rPr>
                <w:rFonts w:ascii="Times New Roman;serif" w:hAnsi="Times New Roman;serif"/>
                <w:b/>
                <w:color w:val="000000"/>
                <w:sz w:val="13"/>
              </w:rPr>
              <w:t>(1)</w:t>
            </w:r>
          </w:p>
        </w:tc>
        <w:tc>
          <w:tcPr>
            <w:tcW w:w="14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 Adopted or Terminated</w:t>
            </w:r>
          </w:p>
        </w:tc>
        <w:tc>
          <w:tcPr>
            <w:tcW w:w="13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 or Termination</w:t>
            </w:r>
          </w:p>
        </w:tc>
        <w:tc>
          <w:tcPr>
            <w:tcW w:w="14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17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Purchased Pursuant to Trading Arrangement</w:t>
            </w:r>
          </w:p>
        </w:tc>
        <w:tc>
          <w:tcPr>
            <w:tcW w:w="174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Sold Pursuant to Trading Arrangement</w:t>
            </w:r>
          </w:p>
        </w:tc>
      </w:tr>
      <w:tr>
        <w:trPr/>
        <w:tc>
          <w:tcPr>
            <w:tcW w:w="104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Newhall</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4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14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13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145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First Transaction Date through June 15, 2027</w:t>
            </w:r>
          </w:p>
        </w:tc>
        <w:tc>
          <w:tcPr>
            <w:tcW w:w="172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743"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r>
    </w:tbl>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Indicates whether the trading arrangement is intended to satisfy the affirmative defense conditions of Rule 10b5-1(c).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2669"/>
        <w:gridCol w:w="2669"/>
        <w:gridCol w:w="382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Asset Purchase Agreement dated April 1, 2026 by and among Supernus Pharmaceuticals, Inc., Navitor Pharmaceuticals, Inc. and Navitor Pharmaceuticals, LLC. (incorporated by reference to Exhibit 2.1 to the Company's Form 8-K file</w:t>
              </w:r>
            </w:hyperlink>
            <w:hyperlink r:id="rId4">
              <w:r>
                <w:rPr>
                  <w:rStyle w:val="InternetLink"/>
                  <w:rFonts w:ascii="Times New Roman;serif" w:hAnsi="Times New Roman;serif"/>
                  <w:b w:val="false"/>
                  <w:color w:val="000080"/>
                  <w:sz w:val="20"/>
                  <w:u w:val="single"/>
                </w:rPr>
                <w:t>d</w:t>
              </w:r>
            </w:hyperlink>
            <w:hyperlink r:id="rId5">
              <w:r>
                <w:rPr>
                  <w:rStyle w:val="InternetLink"/>
                  <w:rFonts w:ascii="Times New Roman;serif" w:hAnsi="Times New Roman;serif"/>
                  <w:b w:val="false"/>
                  <w:color w:val="000080"/>
                  <w:sz w:val="20"/>
                  <w:u w:val="single"/>
                </w:rPr>
                <w:t xml:space="preserve"> on April 7, 2026, File No. 001-35518).</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1.htm">
              <w:r>
                <w:rPr>
                  <w:rStyle w:val="InternetLink"/>
                  <w:rFonts w:ascii="Times New Roman;serif" w:hAnsi="Times New Roman;serif"/>
                  <w:b w:val="false"/>
                  <w:color w:val="0000FF"/>
                  <w:sz w:val="20"/>
                  <w:u w:val="single"/>
                </w:rPr>
                <w:t>Certification of Chief Executive Officer pursuant to Rule 13a-14(a).</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2.htm">
              <w:r>
                <w:rPr>
                  <w:rStyle w:val="InternetLink"/>
                  <w:rFonts w:ascii="Times New Roman;serif" w:hAnsi="Times New Roman;serif"/>
                  <w:b w:val="false"/>
                  <w:color w:val="0000FF"/>
                  <w:sz w:val="20"/>
                  <w:u w:val="single"/>
                </w:rPr>
                <w:t>Certification of Chief Financial Officer pursuant to Rule 13a-14(a).</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June 30, 2026, formatted in Inline XBRL: (i) Cover Page, (ii) Condensed Consolidated Statements of Earnings (Loss), (iii) Condensed Consolidated Statements of Comprehensive Earnings (Loss), (iv) Condensed Consolidated Balance Sheets, (v) Condensed Consolidated Statements of Changes in Stockholders' Equity, (vi) Condensed Consolidated Statements of Cash Flows, and (vii) the Notes to Condensed Consolidated Financial Statements, tagged in summary and detail.</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the Company's Quarterly Report on Form 10-Q for the quarter ended June 30, 2026, formatted in Inline XBRL (included with the Exhibit 101 attachments).</w:t>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r>
        <w:trPr/>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rFonts w:ascii="Times New Roman;serif" w:hAnsi="Times New Roman;serif"/>
          <w:b w:val="false"/>
          <w:color w:val="000000"/>
          <w:sz w:val="16"/>
        </w:rPr>
      </w:pPr>
      <w:r>
        <w:rPr>
          <w:rFonts w:ascii="Times New Roman;serif" w:hAnsi="Times New Roman;serif"/>
          <w:b w:val="false"/>
          <w:color w:val="000000"/>
          <w:sz w:val="16"/>
        </w:rPr>
        <w:t xml:space="preserve">______________________________________________________________________________ </w:t>
      </w:r>
    </w:p>
    <w:p>
      <w:pPr>
        <w:pStyle w:val="TextBody"/>
        <w:bidi w:val="0"/>
        <w:spacing w:lineRule="auto" w:line="288" w:before="200" w:after="283"/>
        <w:ind w:left="0" w:right="0" w:hanging="810"/>
        <w:jc w:val="left"/>
        <w:rPr>
          <w:color w:val="000000"/>
        </w:rPr>
      </w:pPr>
      <w:r>
        <w:rPr>
          <w:color w:val="000000"/>
        </w:rPr>
        <w:t xml:space="preserve">†† </w:t>
      </w:r>
      <w:r>
        <w:rPr>
          <w:rFonts w:ascii="Times New Roman;serif" w:hAnsi="Times New Roman;serif"/>
          <w:b w:val="false"/>
          <w:color w:val="000000"/>
          <w:sz w:val="20"/>
        </w:rPr>
        <w:t>Certain portions of this exhibit that constitute confidential information have been omitted in accordance with Regulation S-K, Item 601(b) (10).</w:t>
      </w:r>
    </w:p>
    <w:p>
      <w:pPr>
        <w:pStyle w:val="TextBody"/>
        <w:bidi w:val="0"/>
        <w:spacing w:lineRule="auto" w:line="288" w:before="200" w:after="283"/>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913" w:type="dxa"/>
        <w:jc w:val="left"/>
        <w:tblInd w:w="0" w:type="dxa"/>
        <w:tblLayout w:type="fixed"/>
        <w:tblCellMar>
          <w:top w:w="28" w:type="dxa"/>
          <w:left w:w="28" w:type="dxa"/>
          <w:bottom w:w="28" w:type="dxa"/>
          <w:right w:w="28" w:type="dxa"/>
        </w:tblCellMar>
      </w:tblPr>
      <w:tblGrid>
        <w:gridCol w:w="765"/>
        <w:gridCol w:w="673"/>
        <w:gridCol w:w="676"/>
        <w:gridCol w:w="548"/>
        <w:gridCol w:w="548"/>
        <w:gridCol w:w="548"/>
        <w:gridCol w:w="1212"/>
        <w:gridCol w:w="1212"/>
        <w:gridCol w:w="1731"/>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3,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3,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Jack A. Khattar,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pPr>
      <w:r>
        <w:rPr>
          <w:rFonts w:ascii="Times New Roman;serif" w:hAnsi="Times New Roman;serif"/>
          <w:b w:val="false"/>
          <w:color w:val="000000"/>
          <w:sz w:val="18"/>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pPr>
      <w:r>
        <w:rPr>
          <w:rFonts w:ascii="Times New Roman;serif" w:hAnsi="Times New Roman;serif"/>
          <w:b w:val="false"/>
          <w:color w:val="000000"/>
          <w:sz w:val="18"/>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14" w:type="dxa"/>
        <w:jc w:val="left"/>
        <w:tblInd w:w="0" w:type="dxa"/>
        <w:tblLayout w:type="fixed"/>
        <w:tblCellMar>
          <w:top w:w="28" w:type="dxa"/>
          <w:left w:w="28" w:type="dxa"/>
          <w:bottom w:w="28" w:type="dxa"/>
          <w:right w:w="28" w:type="dxa"/>
        </w:tblCellMar>
      </w:tblPr>
      <w:tblGrid>
        <w:gridCol w:w="667"/>
        <w:gridCol w:w="587"/>
        <w:gridCol w:w="590"/>
        <w:gridCol w:w="120"/>
        <w:gridCol w:w="120"/>
        <w:gridCol w:w="120"/>
        <w:gridCol w:w="940"/>
        <w:gridCol w:w="940"/>
        <w:gridCol w:w="13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Timothy C. Dec,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78" w:type="dxa"/>
        <w:jc w:val="left"/>
        <w:tblInd w:w="0" w:type="dxa"/>
        <w:tblLayout w:type="fixed"/>
        <w:tblCellMar>
          <w:top w:w="28" w:type="dxa"/>
          <w:left w:w="28" w:type="dxa"/>
          <w:bottom w:w="28" w:type="dxa"/>
          <w:right w:w="28" w:type="dxa"/>
        </w:tblCellMar>
      </w:tblPr>
      <w:tblGrid>
        <w:gridCol w:w="667"/>
        <w:gridCol w:w="587"/>
        <w:gridCol w:w="590"/>
        <w:gridCol w:w="120"/>
        <w:gridCol w:w="120"/>
        <w:gridCol w:w="120"/>
        <w:gridCol w:w="1072"/>
        <w:gridCol w:w="1072"/>
        <w:gridCol w:w="15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bl>
    <w:p>
      <w:pPr>
        <w:pStyle w:val="TextBody"/>
        <w:bidi w:val="0"/>
        <w:spacing w:before="200" w:after="283"/>
        <w:ind w:left="0" w:right="0" w:hanging="3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June 30, 2026</w:t>
      </w:r>
      <w:r>
        <w:rPr>
          <w:color w:val="000000"/>
        </w:rPr>
        <w:t xml:space="preserve"> </w:t>
      </w:r>
      <w:r>
        <w:rPr>
          <w:rFonts w:ascii="Times New Roman;serif" w:hAnsi="Times New Roman;serif"/>
          <w:b w:val="false"/>
          <w:color w:val="000000"/>
          <w:sz w:val="18"/>
        </w:rPr>
        <w:t>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4844" w:type="dxa"/>
        <w:jc w:val="left"/>
        <w:tblInd w:w="0" w:type="dxa"/>
        <w:tblLayout w:type="fixed"/>
        <w:tblCellMar>
          <w:top w:w="28" w:type="dxa"/>
          <w:left w:w="28" w:type="dxa"/>
          <w:bottom w:w="28" w:type="dxa"/>
          <w:right w:w="28" w:type="dxa"/>
        </w:tblCellMar>
      </w:tblPr>
      <w:tblGrid>
        <w:gridCol w:w="595"/>
        <w:gridCol w:w="525"/>
        <w:gridCol w:w="529"/>
        <w:gridCol w:w="120"/>
        <w:gridCol w:w="120"/>
        <w:gridCol w:w="120"/>
        <w:gridCol w:w="830"/>
        <w:gridCol w:w="830"/>
        <w:gridCol w:w="1175"/>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 August 3,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Jack A. Khattar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June 30, 2026</w:t>
      </w:r>
      <w:r>
        <w:rPr>
          <w:color w:val="000000"/>
        </w:rPr>
        <w:t xml:space="preserve"> </w:t>
      </w:r>
      <w:r>
        <w:rPr>
          <w:rFonts w:ascii="Times New Roman;serif" w:hAnsi="Times New Roman;serif"/>
          <w:b w:val="false"/>
          <w:color w:val="000000"/>
          <w:sz w:val="18"/>
        </w:rPr>
        <w:t>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5878" w:type="dxa"/>
        <w:jc w:val="left"/>
        <w:tblInd w:w="0" w:type="dxa"/>
        <w:tblLayout w:type="fixed"/>
        <w:tblCellMar>
          <w:top w:w="28" w:type="dxa"/>
          <w:left w:w="28" w:type="dxa"/>
          <w:bottom w:w="28" w:type="dxa"/>
          <w:right w:w="28" w:type="dxa"/>
        </w:tblCellMar>
      </w:tblPr>
      <w:tblGrid>
        <w:gridCol w:w="667"/>
        <w:gridCol w:w="587"/>
        <w:gridCol w:w="590"/>
        <w:gridCol w:w="120"/>
        <w:gridCol w:w="120"/>
        <w:gridCol w:w="120"/>
        <w:gridCol w:w="1070"/>
        <w:gridCol w:w="1070"/>
        <w:gridCol w:w="15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Timothy C. Dec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br/>
              <w:t>Senior Vice President and Chief Financial Officer</w:t>
            </w:r>
          </w:p>
        </w:tc>
      </w:tr>
    </w:tbl>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56576/000110465926040497/tm2611273d1_ex2-1.htm" TargetMode="External"/><Relationship Id="rId4" Type="http://schemas.openxmlformats.org/officeDocument/2006/relationships/hyperlink" Target="https://www.sec.gov/Archives/edgar/data/1356576/000110465926040497/tm2611273d1_ex2-1.htm" TargetMode="External"/><Relationship Id="rId5" Type="http://schemas.openxmlformats.org/officeDocument/2006/relationships/hyperlink" Target="https://www.sec.gov/Archives/edgar/data/1356576/000110465926040497/tm2611273d1_ex2-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29791</Words>
  <Characters>168072</Characters>
  <CharactersWithSpaces>196479</CharactersWithSpaces>
  <Paragraphs>2651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