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April 22,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Supernus Pharmaceuticals,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7"/>
        <w:gridCol w:w="1561"/>
        <w:gridCol w:w="1577"/>
        <w:gridCol w:w="381"/>
        <w:gridCol w:w="380"/>
        <w:gridCol w:w="378"/>
        <w:gridCol w:w="378"/>
        <w:gridCol w:w="378"/>
        <w:gridCol w:w="386"/>
        <w:gridCol w:w="877"/>
        <w:gridCol w:w="877"/>
        <w:gridCol w:w="1255"/>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001-35518</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20-2590184</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81"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9715 Key West Ave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Rockville</w:t>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MD</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20850</w:t>
            </w:r>
          </w:p>
        </w:tc>
      </w:tr>
      <w:tr>
        <w:trPr/>
        <w:tc>
          <w:tcPr>
            <w:tcW w:w="49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(301) 838-2500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Securities registered pursuant to Section 12(b) of the Exchange Act</w:t>
      </w:r>
    </w:p>
    <w:tbl>
      <w:tblPr>
        <w:tblW w:w="8729" w:type="dxa"/>
        <w:jc w:val="left"/>
        <w:tblInd w:w="0" w:type="dxa"/>
        <w:tblLayout w:type="fixed"/>
        <w:tblCellMar>
          <w:top w:w="28" w:type="dxa"/>
          <w:left w:w="28" w:type="dxa"/>
          <w:bottom w:w="28" w:type="dxa"/>
          <w:right w:w="28" w:type="dxa"/>
        </w:tblCellMar>
      </w:tblPr>
      <w:tblGrid>
        <w:gridCol w:w="1304"/>
        <w:gridCol w:w="1141"/>
        <w:gridCol w:w="1155"/>
        <w:gridCol w:w="474"/>
        <w:gridCol w:w="474"/>
        <w:gridCol w:w="476"/>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3600"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1424"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SUPN</w:t>
            </w:r>
          </w:p>
        </w:tc>
        <w:tc>
          <w:tcPr>
            <w:tcW w:w="3705"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color w:val="000000"/>
          <w:sz w:val="20"/>
          <w:u w:val="single"/>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color w:val="FF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00" w:after="283"/>
        <w:jc w:val="left"/>
        <w:rPr>
          <w:rFonts w:ascii="Times New Roman;serif" w:hAnsi="Times New Roman;serif"/>
          <w:b/>
          <w:color w:val="212529"/>
          <w:sz w:val="20"/>
        </w:rPr>
      </w:pPr>
      <w:r>
        <w:rPr>
          <w:rFonts w:ascii="Times New Roman;serif" w:hAnsi="Times New Roman;serif"/>
          <w:b/>
          <w:color w:val="212529"/>
          <w:sz w:val="20"/>
        </w:rPr>
        <w:t>Item 2.02 Results of Operations and Financial Condition.</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22, 2026, Supernus Pharmaceuticals, Inc. issued a press release announcing that it will report its business results for the first quarter of 2026 after the market closes on Tuesday, May 5, 2026. The Company will host a conference call and webcast on Tuesday, May 5, 2026 at 4:30 p.m. E.T. to discuss its first quarter 2026 financial and business results. A copy of this press release is furnished as Exhibit 99.1 hereto and is incorporated herein by reference.</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516" w:type="dxa"/>
        <w:jc w:val="left"/>
        <w:tblInd w:w="0" w:type="dxa"/>
        <w:tblLayout w:type="fixed"/>
        <w:tblCellMar>
          <w:top w:w="28" w:type="dxa"/>
          <w:left w:w="28" w:type="dxa"/>
          <w:bottom w:w="28" w:type="dxa"/>
          <w:right w:w="28" w:type="dxa"/>
        </w:tblCellMar>
      </w:tblPr>
      <w:tblGrid>
        <w:gridCol w:w="234"/>
        <w:gridCol w:w="205"/>
        <w:gridCol w:w="207"/>
        <w:gridCol w:w="2006"/>
        <w:gridCol w:w="2006"/>
        <w:gridCol w:w="285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99104x22xearningscallan.htm">
              <w:r>
                <w:rPr>
                  <w:rStyle w:val="InternetLink"/>
                  <w:rFonts w:ascii="Times New Roman;serif" w:hAnsi="Times New Roman;serif"/>
                  <w:b w:val="false"/>
                  <w:color w:val="000080"/>
                  <w:sz w:val="20"/>
                  <w:u w:val="single"/>
                </w:rPr>
                <w:t xml:space="preserve">Press Release dated </w:t>
              </w:r>
            </w:hyperlink>
            <w:hyperlink w:anchor="ex-99104x22xearningscallan.htm">
              <w:r>
                <w:rPr>
                  <w:rStyle w:val="InternetLink"/>
                  <w:rFonts w:ascii="Times New Roman;serif" w:hAnsi="Times New Roman;serif"/>
                  <w:b w:val="false"/>
                  <w:color w:val="000080"/>
                  <w:sz w:val="20"/>
                  <w:u w:val="single"/>
                </w:rPr>
                <w:t>April 2</w:t>
              </w:r>
            </w:hyperlink>
            <w:hyperlink w:anchor="ex-99104x22xearningscallan.htm">
              <w:r>
                <w:rPr>
                  <w:rStyle w:val="InternetLink"/>
                  <w:rFonts w:ascii="Times New Roman;serif" w:hAnsi="Times New Roman;serif"/>
                  <w:b w:val="false"/>
                  <w:color w:val="000080"/>
                  <w:sz w:val="20"/>
                  <w:u w:val="single"/>
                </w:rPr>
                <w:t>2</w:t>
              </w:r>
            </w:hyperlink>
            <w:hyperlink w:anchor="ex-99104x22xearningscallan.htm">
              <w:r>
                <w:rPr>
                  <w:rStyle w:val="InternetLink"/>
                  <w:rFonts w:ascii="Times New Roman;serif" w:hAnsi="Times New Roman;serif"/>
                  <w:b w:val="false"/>
                  <w:color w:val="000080"/>
                  <w:sz w:val="20"/>
                  <w:u w:val="single"/>
                </w:rPr>
                <w:t>,</w:t>
              </w:r>
            </w:hyperlink>
            <w:hyperlink w:anchor="ex-99104x22xearningscallan.htm">
              <w:r>
                <w:rPr>
                  <w:rStyle w:val="InternetLink"/>
                  <w:rFonts w:ascii="Times New Roman;serif" w:hAnsi="Times New Roman;serif"/>
                  <w:b w:val="false"/>
                  <w:color w:val="000080"/>
                  <w:sz w:val="20"/>
                  <w:u w:val="single"/>
                </w:rPr>
                <w:t xml:space="preserve"> 2026</w:t>
              </w:r>
            </w:hyperlink>
            <w:r>
              <w:rPr>
                <w:color w:val="000000"/>
              </w:rPr>
              <w:t xml:space="preserve"> </w:t>
            </w:r>
            <w:r>
              <w:rPr>
                <w:rFonts w:ascii="Times New Roman;serif" w:hAnsi="Times New Roman;serif"/>
                <w:b w:val="false"/>
                <w:color w:val="000000"/>
                <w:sz w:val="20"/>
              </w:rPr>
              <w:t>filed as an Exhibit pursuant to Item 2.02 hereof.</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pPr>
      <w:r>
        <w:rPr/>
      </w:r>
    </w:p>
    <w:tbl>
      <w:tblPr>
        <w:tblW w:w="7839" w:type="dxa"/>
        <w:jc w:val="left"/>
        <w:tblInd w:w="0" w:type="dxa"/>
        <w:tblLayout w:type="fixed"/>
        <w:tblCellMar>
          <w:top w:w="28" w:type="dxa"/>
          <w:left w:w="28" w:type="dxa"/>
          <w:bottom w:w="28" w:type="dxa"/>
          <w:right w:w="28" w:type="dxa"/>
        </w:tblCellMar>
      </w:tblPr>
      <w:tblGrid>
        <w:gridCol w:w="744"/>
        <w:gridCol w:w="654"/>
        <w:gridCol w:w="657"/>
        <w:gridCol w:w="548"/>
        <w:gridCol w:w="548"/>
        <w:gridCol w:w="548"/>
        <w:gridCol w:w="1208"/>
        <w:gridCol w:w="1208"/>
        <w:gridCol w:w="172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SUPERNUS PHARMACEUTICALS, INC.</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84"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April 22, 2026</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C. Dec</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C. Dec</w:t>
              <w:b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0"/>
        <w:jc w:val="left"/>
        <w:rPr/>
      </w:pPr>
      <w:r>
        <w:rPr>
          <w:color w:val="000000"/>
        </w:rPr>
        <w:t> </w:t>
      </w:r>
      <w:r>
        <w:rPr/>
        <w:drawing>
          <wp:inline distT="0" distB="0" distL="0" distR="0">
            <wp:extent cx="2914650" cy="7334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914650" cy="733425"/>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Supernus Pharmaceuticals to Announce First Quarter 2026 Financial Results and Host Conference Call on May 5,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7" w:before="0" w:after="0"/>
        <w:jc w:val="both"/>
        <w:rPr/>
      </w:pPr>
      <w:r>
        <w:rPr>
          <w:rFonts w:ascii="Times New Roman;serif" w:hAnsi="Times New Roman;serif"/>
          <w:b/>
          <w:color w:val="000000"/>
          <w:sz w:val="20"/>
        </w:rPr>
        <w:t>ROCKVILLE, Md., April 22, 2026</w:t>
      </w:r>
      <w:r>
        <w:rPr>
          <w:color w:val="000000"/>
        </w:rPr>
        <w:t xml:space="preserve"> – </w:t>
      </w:r>
      <w:r>
        <w:rPr>
          <w:rFonts w:ascii="Times New Roman;serif" w:hAnsi="Times New Roman;serif"/>
          <w:b w:val="false"/>
          <w:color w:val="000000"/>
          <w:sz w:val="20"/>
        </w:rPr>
        <w:t>Supernus Pharmaceuticals, Inc. (Nasdaq: SUPN), a biopharmaceutical company focused on developing and commercializing products for the treatment of central nervous system (CNS) diseases, today announced that it will report first quarter 2026 financial and business results after the market closes on Tuesday, May 5, 2026.</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Jack Khattar, President and CEO, and Tim Dec, Senior Vice President and CFO, will host a conference call and webcast on Tuesday, May 5, 2026, at 4:30 p.m. ET to discuss these results. Following management’s prepared remarks and discussion of business results, the call will be open for questions.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 live webcast will be accessible in the Events &amp; Presentations section of the Company’s Investor Relations website at </w:t>
      </w:r>
      <w:r>
        <w:rPr>
          <w:rFonts w:ascii="Times New Roman;serif" w:hAnsi="Times New Roman;serif"/>
          <w:b w:val="false"/>
          <w:color w:val="0000FF"/>
          <w:sz w:val="20"/>
        </w:rPr>
        <w:t>www.supernus.com/investors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Participants may also pre-register any time before the call </w:t>
      </w:r>
      <w:r>
        <w:rPr>
          <w:rFonts w:ascii="Times New Roman;serif" w:hAnsi="Times New Roman;serif"/>
          <w:b w:val="false"/>
          <w:color w:val="0000FF"/>
          <w:sz w:val="20"/>
        </w:rPr>
        <w:t>here</w:t>
      </w:r>
      <w:r>
        <w:rPr>
          <w:rFonts w:ascii="Times New Roman;serif" w:hAnsi="Times New Roman;serif"/>
          <w:b w:val="false"/>
          <w:color w:val="000000"/>
          <w:sz w:val="20"/>
        </w:rPr>
        <w:t>. Once registration is completed, participants will be provided a dial-in number with a personalized conference code to access the call. Please dial in 15 minutes prior to the start time.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Following the live call, a replay will be available on the Company's Investor Relations website at </w:t>
      </w:r>
      <w:r>
        <w:rPr>
          <w:rFonts w:ascii="Times New Roman;serif" w:hAnsi="Times New Roman;serif"/>
          <w:b w:val="false"/>
          <w:color w:val="0000FF"/>
          <w:sz w:val="20"/>
        </w:rPr>
        <w:t>www.supernus.com/investors</w:t>
      </w:r>
      <w:r>
        <w:rPr>
          <w:rFonts w:ascii="Times New Roman;serif" w:hAnsi="Times New Roman;serif"/>
          <w:b w:val="false"/>
          <w:color w:val="000000"/>
          <w:sz w:val="20"/>
        </w:rPr>
        <w:t>. The webcast will be available on the Company’s website for 60 days following the live call.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About Supernus Pharmaceuticals, Inc.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Supernus Pharmaceuticals is a biopharmaceutical company focused on developing and commercializing products for the treatment of central nervous system (CNS) diseases.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For more information, please visit </w:t>
      </w:r>
      <w:r>
        <w:rPr>
          <w:rFonts w:ascii="Times New Roman;serif" w:hAnsi="Times New Roman;serif"/>
          <w:b w:val="false"/>
          <w:color w:val="0000FF"/>
          <w:sz w:val="20"/>
        </w:rPr>
        <w:t>www.supernus.com</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and the products of its subsidiaries; the Company's ability to increase its net revenue from its products, and the products of its subsidiaries; the Company's ability to commercialize its products, and the products of its subsidiaries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the Company's ability to protect its intellectual property and the intellectual property of its subsidiaries and operate its business without infringing upon the intellectual property rights of others; the Company's expectations regarding federal, state and foreign regulatory requirements; the therapeutic benefits, effectiveness and safety of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product candidates; the accuracy of the Company's estimates of the size and characteristics of the markets that may be addressed by its product candidates; the Company's ability to increase its manufacturing capabilities for its products and product candidates; the Company's projected markets and growth in markets; the Company's product formulations and patient needs and potential funding sources; the Company's staffing needs; changes to laws and regulations applicable to our industry, the impact of macroeconomic factors, such as economic downturns or uncertainty, international conflict, trade disputes and tariffs;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Jack A. Khattar, President and CEO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Timothy C. Dec, Senior Vice President and CFO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Supernus Pharmaceuticals,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(301) 838-2591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Peter Vozzo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ICR Healthcare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(443) 213-0505</w:t>
      </w:r>
    </w:p>
    <w:p>
      <w:pPr>
        <w:pStyle w:val="TextBody"/>
        <w:bidi w:val="0"/>
        <w:spacing w:lineRule="auto" w:line="288" w:before="0" w:after="0"/>
        <w:jc w:val="both"/>
        <w:rPr>
          <w:rFonts w:ascii="Times New Roman;serif" w:hAnsi="Times New Roman;serif"/>
          <w:b w:val="false"/>
          <w:color w:val="0000FF"/>
          <w:sz w:val="20"/>
        </w:rPr>
      </w:pPr>
      <w:r>
        <w:rPr>
          <w:rFonts w:ascii="Times New Roman;serif" w:hAnsi="Times New Roman;serif"/>
          <w:b w:val="false"/>
          <w:color w:val="0000FF"/>
          <w:sz w:val="20"/>
        </w:rPr>
        <w:t>peter.vozzo@icrhealthcare.com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1250</Words>
  <Characters>7243</Characters>
  <CharactersWithSpaces>8440</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