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680720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25, 2022</w:t>
      </w:r>
    </w:p>
    <w:p>
      <w:pPr>
        <w:spacing w:after="0" w:line="2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Supernus Pharmaceuticals, Inc.</w:t>
      </w:r>
    </w:p>
    <w:p>
      <w:pPr>
        <w:spacing w:after="0" w:line="282" w:lineRule="exact"/>
        <w:rPr>
          <w:sz w:val="24"/>
          <w:szCs w:val="24"/>
          <w:color w:val="auto"/>
        </w:rPr>
      </w:pPr>
    </w:p>
    <w:tbl>
      <w:tblPr>
        <w:tblLayout w:type="fixed"/>
        <w:tblInd w:w="34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402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500" w:type="dxa"/>
            <w:vAlign w:val="bottom"/>
          </w:tcPr>
          <w:p>
            <w:pPr>
              <w:spacing w:after="0"/>
              <w:rPr>
                <w:sz w:val="24"/>
                <w:szCs w:val="24"/>
                <w:color w:val="auto"/>
              </w:rPr>
            </w:pPr>
          </w:p>
        </w:tc>
        <w:tc>
          <w:tcPr>
            <w:tcW w:w="2520" w:type="dxa"/>
            <w:vAlign w:val="bottom"/>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9"/>
              </w:rPr>
              <w:t>001-35518</w:t>
            </w:r>
          </w:p>
        </w:tc>
        <w:tc>
          <w:tcPr>
            <w:tcW w:w="28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20-2590184</w:t>
            </w:r>
          </w:p>
        </w:tc>
        <w:tc>
          <w:tcPr>
            <w:tcW w:w="0" w:type="dxa"/>
            <w:vAlign w:val="bottom"/>
          </w:tcPr>
          <w:p>
            <w:pPr>
              <w:spacing w:after="0"/>
              <w:rPr>
                <w:sz w:val="1"/>
                <w:szCs w:val="1"/>
                <w:color w:val="auto"/>
              </w:rPr>
            </w:pPr>
          </w:p>
        </w:tc>
      </w:tr>
      <w:tr>
        <w:trPr>
          <w:trHeight w:val="189"/>
        </w:trPr>
        <w:tc>
          <w:tcPr>
            <w:tcW w:w="3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020" w:type="dxa"/>
            <w:vAlign w:val="bottom"/>
            <w:gridSpan w:val="2"/>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150"/>
              <w:spacing w:after="0" w:line="189"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organization)</w:t>
            </w:r>
          </w:p>
        </w:tc>
        <w:tc>
          <w:tcPr>
            <w:tcW w:w="4020" w:type="dxa"/>
            <w:vAlign w:val="bottom"/>
            <w:gridSpan w:val="2"/>
            <w:vMerge w:val="continue"/>
          </w:tcPr>
          <w:p>
            <w:pPr>
              <w:spacing w:after="0"/>
              <w:rPr>
                <w:sz w:val="20"/>
                <w:szCs w:val="20"/>
                <w:color w:val="auto"/>
              </w:rPr>
            </w:pPr>
          </w:p>
        </w:tc>
        <w:tc>
          <w:tcPr>
            <w:tcW w:w="2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9715 Key West Ave</w:t>
            </w:r>
          </w:p>
        </w:tc>
        <w:tc>
          <w:tcPr>
            <w:tcW w:w="150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Rockville</w:t>
            </w:r>
          </w:p>
        </w:tc>
        <w:tc>
          <w:tcPr>
            <w:tcW w:w="2520" w:type="dxa"/>
            <w:vAlign w:val="bottom"/>
          </w:tcPr>
          <w:p>
            <w:pPr>
              <w:ind w:left="1120"/>
              <w:spacing w:after="0"/>
              <w:rPr>
                <w:sz w:val="20"/>
                <w:szCs w:val="20"/>
                <w:color w:val="auto"/>
              </w:rPr>
            </w:pPr>
            <w:r>
              <w:rPr>
                <w:rFonts w:ascii="Times New Roman" w:cs="Times New Roman" w:eastAsia="Times New Roman" w:hAnsi="Times New Roman"/>
                <w:sz w:val="18"/>
                <w:szCs w:val="18"/>
                <w:b w:val="1"/>
                <w:bCs w:val="1"/>
                <w:color w:val="auto"/>
              </w:rPr>
              <w:t>MD</w:t>
            </w:r>
          </w:p>
        </w:tc>
        <w:tc>
          <w:tcPr>
            <w:tcW w:w="28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20850</w:t>
            </w:r>
          </w:p>
        </w:tc>
        <w:tc>
          <w:tcPr>
            <w:tcW w:w="0" w:type="dxa"/>
            <w:vAlign w:val="bottom"/>
          </w:tcPr>
          <w:p>
            <w:pPr>
              <w:spacing w:after="0"/>
              <w:rPr>
                <w:sz w:val="1"/>
                <w:szCs w:val="1"/>
                <w:color w:val="auto"/>
              </w:rPr>
            </w:pPr>
          </w:p>
        </w:tc>
      </w:tr>
      <w:tr>
        <w:trPr>
          <w:trHeight w:val="234"/>
        </w:trPr>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5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8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(Zip Code)</w:t>
            </w:r>
          </w:p>
        </w:tc>
        <w:tc>
          <w:tcPr>
            <w:tcW w:w="0" w:type="dxa"/>
            <w:vAlign w:val="bottom"/>
          </w:tcPr>
          <w:p>
            <w:pPr>
              <w:spacing w:after="0"/>
              <w:rPr>
                <w:sz w:val="1"/>
                <w:szCs w:val="1"/>
                <w:color w:val="auto"/>
              </w:rPr>
            </w:pPr>
          </w:p>
        </w:tc>
      </w:tr>
    </w:tbl>
    <w:p>
      <w:pPr>
        <w:spacing w:after="0" w:line="3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(301) 838-2500</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tbl>
      <w:tblPr>
        <w:tblLayout w:type="fixed"/>
        <w:tblInd w:w="100" w:type="dxa"/>
        <w:tblCellMar>
          <w:top w:w="0" w:type="dxa"/>
          <w:left w:w="0" w:type="dxa"/>
          <w:bottom w:w="0" w:type="dxa"/>
          <w:right w:w="0" w:type="dxa"/>
        </w:tblCellMar>
      </w:tblPr>
      <w:tr>
        <w:trPr>
          <w:trHeight w:val="234"/>
        </w:trPr>
        <w:tc>
          <w:tcPr>
            <w:tcW w:w="6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Exchange Act</w:t>
            </w:r>
          </w:p>
        </w:tc>
        <w:tc>
          <w:tcPr>
            <w:tcW w:w="3200" w:type="dxa"/>
            <w:vAlign w:val="bottom"/>
          </w:tcPr>
          <w:p>
            <w:pPr>
              <w:spacing w:after="0"/>
              <w:rPr>
                <w:sz w:val="20"/>
                <w:szCs w:val="20"/>
                <w:color w:val="auto"/>
              </w:rPr>
            </w:pPr>
          </w:p>
        </w:tc>
      </w:tr>
      <w:tr>
        <w:trPr>
          <w:trHeight w:val="230"/>
        </w:trPr>
        <w:tc>
          <w:tcPr>
            <w:tcW w:w="1340" w:type="dxa"/>
            <w:vAlign w:val="bottom"/>
          </w:tcPr>
          <w:p>
            <w:pPr>
              <w:spacing w:after="0"/>
              <w:rPr>
                <w:sz w:val="19"/>
                <w:szCs w:val="19"/>
                <w:color w:val="auto"/>
              </w:rPr>
            </w:pPr>
          </w:p>
        </w:tc>
        <w:tc>
          <w:tcPr>
            <w:tcW w:w="3000" w:type="dxa"/>
            <w:vAlign w:val="bottom"/>
            <w:gridSpan w:val="2"/>
          </w:tcPr>
          <w:p>
            <w:pPr>
              <w:jc w:val="center"/>
              <w:ind w:right="172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0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rPr>
              <w:t>Trading Symbol</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64"/>
        </w:trPr>
        <w:tc>
          <w:tcPr>
            <w:tcW w:w="43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0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SUPN</w:t>
            </w:r>
          </w:p>
        </w:tc>
        <w:tc>
          <w:tcPr>
            <w:tcW w:w="3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20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4"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44" w:lineRule="exact"/>
        <w:rPr>
          <w:rFonts w:ascii="MS PGothic" w:cs="MS PGothic" w:eastAsia="MS PGothic" w:hAnsi="MS PGothic"/>
          <w:sz w:val="22"/>
          <w:szCs w:val="22"/>
          <w:color w:val="auto"/>
        </w:rPr>
      </w:pPr>
    </w:p>
    <w:p>
      <w:pPr>
        <w:ind w:left="260" w:hanging="252"/>
        <w:spacing w:after="0"/>
        <w:tabs>
          <w:tab w:leader="none" w:pos="2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4"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4" w:lineRule="exact"/>
        <w:rPr>
          <w:sz w:val="24"/>
          <w:szCs w:val="24"/>
          <w:color w:val="auto"/>
        </w:rPr>
      </w:pPr>
    </w:p>
    <w:p>
      <w:pPr>
        <w:ind w:right="360"/>
        <w:spacing w:after="0" w:line="26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MS PGothic" w:cs="MS PGothic" w:eastAsia="MS PGothic" w:hAnsi="MS PGothic"/>
          <w:sz w:val="21"/>
          <w:szCs w:val="21"/>
          <w:color w:val="auto"/>
        </w:rPr>
        <w:t>☐</w:t>
      </w:r>
    </w:p>
    <w:p>
      <w:pPr>
        <w:spacing w:after="0" w:line="165" w:lineRule="exact"/>
        <w:rPr>
          <w:sz w:val="24"/>
          <w:szCs w:val="24"/>
          <w:color w:val="auto"/>
        </w:rPr>
      </w:pPr>
    </w:p>
    <w:p>
      <w:pPr>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807085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080"/>
          </w:cols>
          <w:pgMar w:left="320" w:top="1186"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212529"/>
        </w:rPr>
        <w:t>Item 2.02 Results of Operations and Financial Conditions.</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October 25, 2022, Supernus Pharmaceuticals, Inc. issued a press release announcing that it expects to report its business results for the third quarter 2022 after the market closes on Tuesday, November 8, 2022. The Company will host a conference call and webcast on Tuesday, November 8, 2022 at 4:30 p.m. E.T. to discuss its third quarter 2022 business and financial results. A copy of this press release is furnished as Exhibit 99.1 hereto and is incorporated herein by reference.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2" w:lineRule="exact"/>
        <w:rPr>
          <w:sz w:val="20"/>
          <w:szCs w:val="20"/>
          <w:color w:val="auto"/>
        </w:rPr>
      </w:pPr>
    </w:p>
    <w:p>
      <w:pPr>
        <w:ind w:left="860"/>
        <w:spacing w:after="0"/>
        <w:tabs>
          <w:tab w:leader="none" w:pos="1520" w:val="left"/>
        </w:tabs>
        <w:rPr>
          <w:sz w:val="20"/>
          <w:szCs w:val="20"/>
          <w:color w:val="auto"/>
        </w:rPr>
      </w:pPr>
      <w:r>
        <w:rPr>
          <w:rFonts w:ascii="Times New Roman" w:cs="Times New Roman" w:eastAsia="Times New Roman" w:hAnsi="Times New Roman"/>
          <w:sz w:val="14"/>
          <w:szCs w:val="14"/>
          <w:b w:val="1"/>
          <w:bCs w:val="1"/>
          <w:color w:val="auto"/>
        </w:rPr>
        <w:t>Exhibit</w:t>
        <w:tab/>
        <w:t>Description</w:t>
      </w:r>
    </w:p>
    <w:p>
      <w:pPr>
        <w:spacing w:after="0" w:line="237" w:lineRule="exact"/>
        <w:rPr>
          <w:sz w:val="20"/>
          <w:szCs w:val="20"/>
          <w:color w:val="auto"/>
        </w:rPr>
      </w:pPr>
    </w:p>
    <w:p>
      <w:pPr>
        <w:ind w:left="940"/>
        <w:spacing w:after="0"/>
        <w:tabs>
          <w:tab w:leader="none" w:pos="15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 xml:space="preserve">Press Release Dated October 25, 2022 </w:t>
      </w:r>
      <w:r>
        <w:rPr>
          <w:rFonts w:ascii="Times New Roman" w:cs="Times New Roman" w:eastAsia="Times New Roman" w:hAnsi="Times New Roman"/>
          <w:sz w:val="17"/>
          <w:szCs w:val="17"/>
          <w:color w:val="000000"/>
        </w:rPr>
        <w:t>filed as an Exhibit pursuant to Item 2.02 hereof.</w:t>
      </w:r>
    </w:p>
    <w:p>
      <w:pPr>
        <w:spacing w:after="0" w:line="225" w:lineRule="exact"/>
        <w:rPr>
          <w:sz w:val="20"/>
          <w:szCs w:val="20"/>
          <w:color w:val="auto"/>
        </w:rPr>
      </w:pPr>
    </w:p>
    <w:p>
      <w:pPr>
        <w:ind w:left="1540" w:hanging="587"/>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Current Report on Form 8-K, formatted in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62" w:right="41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SUPERNUS PHARMACEUTICALS, INC.</w:t>
      </w:r>
    </w:p>
    <w:p>
      <w:pPr>
        <w:spacing w:after="0" w:line="252" w:lineRule="exact"/>
        <w:rPr>
          <w:sz w:val="20"/>
          <w:szCs w:val="20"/>
          <w:color w:val="auto"/>
        </w:rPr>
      </w:pPr>
    </w:p>
    <w:p>
      <w:pPr>
        <w:ind w:left="680"/>
        <w:spacing w:after="0"/>
        <w:tabs>
          <w:tab w:leader="none" w:pos="5220" w:val="left"/>
          <w:tab w:leader="none" w:pos="5700" w:val="left"/>
        </w:tabs>
        <w:rPr>
          <w:sz w:val="20"/>
          <w:szCs w:val="20"/>
          <w:color w:val="auto"/>
        </w:rPr>
      </w:pPr>
      <w:r>
        <w:rPr>
          <w:rFonts w:ascii="Times New Roman" w:cs="Times New Roman" w:eastAsia="Times New Roman" w:hAnsi="Times New Roman"/>
          <w:sz w:val="18"/>
          <w:szCs w:val="18"/>
          <w:color w:val="auto"/>
        </w:rPr>
        <w:t>DATED: October 25,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Timothy C. Dec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17145</wp:posOffset>
            </wp:positionV>
            <wp:extent cx="31203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20390" cy="8890"/>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Timothy C. Dec</w:t>
      </w:r>
    </w:p>
    <w:p>
      <w:pPr>
        <w:spacing w:after="0" w:line="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887"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19685</wp:posOffset>
            </wp:positionV>
            <wp:extent cx="2623185" cy="6597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2318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Supernus Pharmaceuticals to Announce Third Quarter 2022 Financial Results and Host</w:t>
      </w:r>
    </w:p>
    <w:p>
      <w:pPr>
        <w:jc w:val="center"/>
        <w:spacing w:after="0"/>
        <w:rPr>
          <w:sz w:val="20"/>
          <w:szCs w:val="20"/>
          <w:color w:val="auto"/>
        </w:rPr>
      </w:pPr>
      <w:r>
        <w:rPr>
          <w:rFonts w:ascii="Times New Roman" w:cs="Times New Roman" w:eastAsia="Times New Roman" w:hAnsi="Times New Roman"/>
          <w:sz w:val="22"/>
          <w:szCs w:val="22"/>
          <w:b w:val="1"/>
          <w:bCs w:val="1"/>
          <w:color w:val="auto"/>
        </w:rPr>
        <w:t>Conference Call on November 8, 2022</w:t>
      </w:r>
    </w:p>
    <w:p>
      <w:pPr>
        <w:spacing w:after="0" w:line="201"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ROCKVILLE, Md., October 25, 2022 </w:t>
      </w:r>
      <w:r>
        <w:rPr>
          <w:rFonts w:ascii="Times New Roman" w:cs="Times New Roman" w:eastAsia="Times New Roman" w:hAnsi="Times New Roman"/>
          <w:sz w:val="18"/>
          <w:szCs w:val="18"/>
          <w:color w:val="auto"/>
        </w:rPr>
        <w:t>- Supernus Pharmaceuticals, Inc. (Nasdaq: SUPN), a biopharmaceutical company focused on developing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commercializing products for the treatment of central nervous system (CNS) diseases, today announced that the Company expects to report financial and business results for the second quarter of 2022 after the market closes on Tuesday, November 8, 2022.</w:t>
      </w:r>
    </w:p>
    <w:p>
      <w:pPr>
        <w:spacing w:after="0" w:line="20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Jack Khattar, President and CEO, and Tim Dec, Senior Vice President and CFO, will host a conference call to present the third quarter 2022 financial and business results on Tuesday, November 8, 2022 at 4:30 p.m. ET. Following management’s prepared remarks and discussion of business results, the call will be open for questions.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webcast will be accessible in the </w:t>
      </w:r>
      <w:r>
        <w:rPr>
          <w:rFonts w:ascii="Times New Roman" w:cs="Times New Roman" w:eastAsia="Times New Roman" w:hAnsi="Times New Roman"/>
          <w:sz w:val="18"/>
          <w:szCs w:val="18"/>
          <w:color w:val="0E32E1"/>
        </w:rPr>
        <w:t>Events &amp; Presentations</w:t>
      </w:r>
      <w:r>
        <w:rPr>
          <w:rFonts w:ascii="Times New Roman" w:cs="Times New Roman" w:eastAsia="Times New Roman" w:hAnsi="Times New Roman"/>
          <w:sz w:val="18"/>
          <w:szCs w:val="18"/>
          <w:color w:val="auto"/>
        </w:rPr>
        <w:t xml:space="preserve"> section of the Company’s Investor Relations website </w:t>
      </w:r>
      <w:r>
        <w:rPr>
          <w:rFonts w:ascii="Times New Roman" w:cs="Times New Roman" w:eastAsia="Times New Roman" w:hAnsi="Times New Roman"/>
          <w:sz w:val="18"/>
          <w:szCs w:val="18"/>
          <w:color w:val="0E32E1"/>
        </w:rPr>
        <w:t>www.supernus.com/investors</w:t>
      </w:r>
      <w:r>
        <w:rPr>
          <w:rFonts w:ascii="Times New Roman" w:cs="Times New Roman" w:eastAsia="Times New Roman" w:hAnsi="Times New Roman"/>
          <w:sz w:val="18"/>
          <w:szCs w:val="18"/>
          <w:color w:val="auto"/>
        </w:rPr>
        <w:t>.</w:t>
      </w:r>
    </w:p>
    <w:p>
      <w:pPr>
        <w:spacing w:after="0" w:line="2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Participants may also pre-register any time before the call </w:t>
      </w:r>
      <w:r>
        <w:rPr>
          <w:rFonts w:ascii="Times New Roman" w:cs="Times New Roman" w:eastAsia="Times New Roman" w:hAnsi="Times New Roman"/>
          <w:sz w:val="18"/>
          <w:szCs w:val="18"/>
          <w:color w:val="0E32E1"/>
        </w:rPr>
        <w:t>here</w:t>
      </w:r>
      <w:r>
        <w:rPr>
          <w:rFonts w:ascii="Times New Roman" w:cs="Times New Roman" w:eastAsia="Times New Roman" w:hAnsi="Times New Roman"/>
          <w:sz w:val="18"/>
          <w:szCs w:val="18"/>
          <w:color w:val="auto"/>
        </w:rPr>
        <w:t>. Once registration is completed, participants will be provided a dial-in number with a personalized conference code to access the call. Please dial in 15 minutes prior to the start time.</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Following the live call, a replay will be available on the Company's Investor Relations website </w:t>
      </w:r>
      <w:r>
        <w:rPr>
          <w:rFonts w:ascii="Times New Roman" w:cs="Times New Roman" w:eastAsia="Times New Roman" w:hAnsi="Times New Roman"/>
          <w:sz w:val="18"/>
          <w:szCs w:val="18"/>
          <w:color w:val="0E32E1"/>
        </w:rPr>
        <w:t>www.supernus.com/investors</w:t>
      </w:r>
      <w:r>
        <w:rPr>
          <w:rFonts w:ascii="Times New Roman" w:cs="Times New Roman" w:eastAsia="Times New Roman" w:hAnsi="Times New Roman"/>
          <w:sz w:val="18"/>
          <w:szCs w:val="18"/>
          <w:color w:val="auto"/>
        </w:rPr>
        <w:t>. The webcast will be available on the Company’s website for 60 days following the live call.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Supernus Pharmaceuticals, Inc.</w:t>
      </w:r>
    </w:p>
    <w:p>
      <w:pPr>
        <w:spacing w:after="0" w:line="24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Supernus Pharmaceuticals is a biopharmaceutical company focused on developing and commercializing products for the treatment of central nervous system (CNS) diseases.</w:t>
      </w:r>
    </w:p>
    <w:p>
      <w:pPr>
        <w:spacing w:after="0" w:line="190"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diverse neuroscience portfolio includes approved treatments for epilepsy, migraine, ADHD, hypomobility in Parkinson’s disease (PD), cervical dystonia, chronic sialorrhea, dyskinesia in PD patients receiving levodopa-based therapy, and drug-induced extrapyramidal reactions in adult patients. We</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are developing a broad range of novel CNS product candidates including new potential treatments for hypomobility in PD, epilepsy, depression, and other CNS disorders.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color w:val="0E32E1"/>
        </w:rPr>
        <w:t>www.supernus.com.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Jack A. Khattar, President and CEO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Dec, Senior Vice President and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Supernus Pharmaceuticals,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(301) 838-2591</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Vozzo</w:t>
      </w:r>
    </w:p>
    <w:p>
      <w:pPr>
        <w:spacing w:after="0" w:line="234" w:lineRule="auto"/>
        <w:rPr>
          <w:sz w:val="20"/>
          <w:szCs w:val="20"/>
          <w:color w:val="auto"/>
        </w:rPr>
      </w:pPr>
      <w:r>
        <w:rPr>
          <w:rFonts w:ascii="Times New Roman" w:cs="Times New Roman" w:eastAsia="Times New Roman" w:hAnsi="Times New Roman"/>
          <w:sz w:val="18"/>
          <w:szCs w:val="18"/>
          <w:color w:val="auto"/>
        </w:rPr>
        <w:t>ICR Westwicke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(443) 213-0505</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(443) 377-4767</w:t>
      </w: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color w:val="0E32E1"/>
        </w:rPr>
        <w:t>peter.vozzo@westwicke.com</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2022-10-25T15:38:21Z</dcterms:created>
  <dcterms:modified xsi:type="dcterms:W3CDTF">2022-10-25T15:38:21Z</dcterms:modified>
</cp:coreProperties>
</file>