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60" w:right="740" w:hanging="334"/>
        <w:spacing w:after="0" w:line="235"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560" w:right="520" w:hanging="338"/>
        <w:spacing w:after="0" w:line="235"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2" w:lineRule="exact"/>
        <w:rPr>
          <w:sz w:val="24"/>
          <w:szCs w:val="24"/>
          <w:color w:val="auto"/>
        </w:rPr>
      </w:pPr>
    </w:p>
    <w:p>
      <w:pPr>
        <w:ind w:left="368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001-35518</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SUPERNUS PHARMACEUTICALS,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 w:lineRule="exact"/>
        <w:rPr>
          <w:sz w:val="24"/>
          <w:szCs w:val="24"/>
          <w:color w:val="auto"/>
        </w:rPr>
      </w:pPr>
    </w:p>
    <w:p>
      <w:pPr>
        <w:ind w:left="1700"/>
        <w:spacing w:after="0"/>
        <w:tabs>
          <w:tab w:leader="none" w:pos="8740" w:val="left"/>
        </w:tabs>
        <w:rPr>
          <w:sz w:val="20"/>
          <w:szCs w:val="20"/>
          <w:color w:val="auto"/>
        </w:rPr>
      </w:pPr>
      <w:r>
        <w:rPr>
          <w:rFonts w:ascii="Arial" w:cs="Arial" w:eastAsia="Arial" w:hAnsi="Arial"/>
          <w:sz w:val="17"/>
          <w:szCs w:val="17"/>
          <w:b w:val="1"/>
          <w:bCs w:val="1"/>
          <w:color w:val="auto"/>
        </w:rPr>
        <w:t>Delaware</w:t>
      </w:r>
      <w:r>
        <w:rPr>
          <w:sz w:val="20"/>
          <w:szCs w:val="20"/>
          <w:color w:val="auto"/>
        </w:rPr>
        <w:tab/>
      </w:r>
      <w:r>
        <w:rPr>
          <w:rFonts w:ascii="Arial" w:cs="Arial" w:eastAsia="Arial" w:hAnsi="Arial"/>
          <w:sz w:val="17"/>
          <w:szCs w:val="17"/>
          <w:b w:val="1"/>
          <w:bCs w:val="1"/>
          <w:color w:val="auto"/>
        </w:rPr>
        <w:t>20-2590184</w:t>
      </w:r>
    </w:p>
    <w:p>
      <w:pPr>
        <w:spacing w:after="0" w:line="19" w:lineRule="exact"/>
        <w:rPr>
          <w:sz w:val="24"/>
          <w:szCs w:val="24"/>
          <w:color w:val="auto"/>
        </w:rPr>
      </w:pPr>
    </w:p>
    <w:p>
      <w:pPr>
        <w:ind w:left="1060"/>
        <w:spacing w:after="0"/>
        <w:tabs>
          <w:tab w:leader="none" w:pos="8580" w:val="left"/>
        </w:tabs>
        <w:rPr>
          <w:sz w:val="20"/>
          <w:szCs w:val="20"/>
          <w:color w:val="auto"/>
        </w:rPr>
      </w:pPr>
      <w:r>
        <w:rPr>
          <w:rFonts w:ascii="Arial" w:cs="Arial" w:eastAsia="Arial" w:hAnsi="Arial"/>
          <w:sz w:val="17"/>
          <w:szCs w:val="17"/>
          <w:color w:val="auto"/>
        </w:rPr>
        <w:t>(State or other jurisdiction of</w:t>
      </w:r>
      <w:r>
        <w:rPr>
          <w:sz w:val="20"/>
          <w:szCs w:val="20"/>
          <w:color w:val="auto"/>
        </w:rPr>
        <w:tab/>
      </w:r>
      <w:r>
        <w:rPr>
          <w:rFonts w:ascii="Arial" w:cs="Arial" w:eastAsia="Arial" w:hAnsi="Arial"/>
          <w:sz w:val="15"/>
          <w:szCs w:val="15"/>
          <w:color w:val="auto"/>
        </w:rPr>
        <w:t>(I.R.S. Employer</w:t>
      </w:r>
    </w:p>
    <w:p>
      <w:pPr>
        <w:ind w:left="1020"/>
        <w:spacing w:after="0"/>
        <w:tabs>
          <w:tab w:leader="none" w:pos="8520" w:val="left"/>
        </w:tabs>
        <w:rPr>
          <w:sz w:val="20"/>
          <w:szCs w:val="20"/>
          <w:color w:val="auto"/>
        </w:rPr>
      </w:pPr>
      <w:r>
        <w:rPr>
          <w:rFonts w:ascii="Arial" w:cs="Arial" w:eastAsia="Arial" w:hAnsi="Arial"/>
          <w:sz w:val="17"/>
          <w:szCs w:val="17"/>
          <w:color w:val="auto"/>
        </w:rPr>
        <w:t>incorporation or organization)</w:t>
      </w:r>
      <w:r>
        <w:rPr>
          <w:sz w:val="20"/>
          <w:szCs w:val="20"/>
          <w:color w:val="auto"/>
        </w:rPr>
        <w:tab/>
      </w:r>
      <w:r>
        <w:rPr>
          <w:rFonts w:ascii="Arial" w:cs="Arial" w:eastAsia="Arial" w:hAnsi="Arial"/>
          <w:sz w:val="16"/>
          <w:szCs w:val="16"/>
          <w:color w:val="auto"/>
        </w:rPr>
        <w:t>Identification No.)</w:t>
      </w:r>
    </w:p>
    <w:p>
      <w:pPr>
        <w:spacing w:after="0" w:line="70" w:lineRule="exact"/>
        <w:rPr>
          <w:sz w:val="24"/>
          <w:szCs w:val="24"/>
          <w:color w:val="auto"/>
        </w:rPr>
      </w:pPr>
    </w:p>
    <w:p>
      <w:pPr>
        <w:ind w:left="1220"/>
        <w:spacing w:after="0"/>
        <w:tabs>
          <w:tab w:leader="none" w:pos="4440" w:val="left"/>
          <w:tab w:leader="none" w:pos="6220" w:val="left"/>
          <w:tab w:leader="none" w:pos="8940" w:val="left"/>
        </w:tabs>
        <w:rPr>
          <w:sz w:val="20"/>
          <w:szCs w:val="20"/>
          <w:color w:val="auto"/>
        </w:rPr>
      </w:pPr>
      <w:r>
        <w:rPr>
          <w:rFonts w:ascii="Arial" w:cs="Arial" w:eastAsia="Arial" w:hAnsi="Arial"/>
          <w:sz w:val="17"/>
          <w:szCs w:val="17"/>
          <w:b w:val="1"/>
          <w:bCs w:val="1"/>
          <w:color w:val="auto"/>
        </w:rPr>
        <w:t>9715 Key West Avenue</w:t>
      </w:r>
      <w:r>
        <w:rPr>
          <w:sz w:val="20"/>
          <w:szCs w:val="20"/>
          <w:color w:val="auto"/>
        </w:rPr>
        <w:tab/>
      </w:r>
      <w:r>
        <w:rPr>
          <w:rFonts w:ascii="Arial" w:cs="Arial" w:eastAsia="Arial" w:hAnsi="Arial"/>
          <w:sz w:val="17"/>
          <w:szCs w:val="17"/>
          <w:b w:val="1"/>
          <w:bCs w:val="1"/>
          <w:color w:val="auto"/>
        </w:rPr>
        <w:t>Rockville</w:t>
      </w:r>
      <w:r>
        <w:rPr>
          <w:sz w:val="20"/>
          <w:szCs w:val="20"/>
          <w:color w:val="auto"/>
        </w:rPr>
        <w:tab/>
      </w:r>
      <w:r>
        <w:rPr>
          <w:rFonts w:ascii="Arial" w:cs="Arial" w:eastAsia="Arial" w:hAnsi="Arial"/>
          <w:sz w:val="17"/>
          <w:szCs w:val="17"/>
          <w:b w:val="1"/>
          <w:bCs w:val="1"/>
          <w:color w:val="auto"/>
        </w:rPr>
        <w:t>MD</w:t>
      </w:r>
      <w:r>
        <w:rPr>
          <w:sz w:val="20"/>
          <w:szCs w:val="20"/>
          <w:color w:val="auto"/>
        </w:rPr>
        <w:tab/>
      </w:r>
      <w:r>
        <w:rPr>
          <w:rFonts w:ascii="Arial" w:cs="Arial" w:eastAsia="Arial" w:hAnsi="Arial"/>
          <w:sz w:val="15"/>
          <w:szCs w:val="15"/>
          <w:b w:val="1"/>
          <w:bCs w:val="1"/>
          <w:color w:val="auto"/>
        </w:rPr>
        <w:t>20850</w:t>
      </w:r>
    </w:p>
    <w:p>
      <w:pPr>
        <w:spacing w:after="0" w:line="38" w:lineRule="exact"/>
        <w:rPr>
          <w:sz w:val="24"/>
          <w:szCs w:val="24"/>
          <w:color w:val="auto"/>
        </w:rPr>
      </w:pPr>
    </w:p>
    <w:p>
      <w:pPr>
        <w:ind w:left="700"/>
        <w:spacing w:after="0"/>
        <w:tabs>
          <w:tab w:leader="none" w:pos="8780" w:val="left"/>
        </w:tabs>
        <w:rPr>
          <w:sz w:val="20"/>
          <w:szCs w:val="20"/>
          <w:color w:val="auto"/>
        </w:rPr>
      </w:pPr>
      <w:r>
        <w:rPr>
          <w:rFonts w:ascii="Arial" w:cs="Arial" w:eastAsia="Arial" w:hAnsi="Arial"/>
          <w:sz w:val="17"/>
          <w:szCs w:val="17"/>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838-2500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ind w:right="60"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54" w:lineRule="exact"/>
        <w:rPr>
          <w:sz w:val="24"/>
          <w:szCs w:val="24"/>
          <w:color w:val="auto"/>
        </w:rPr>
      </w:pPr>
    </w:p>
    <w:p>
      <w:pPr>
        <w:ind w:right="40" w:firstLine="324"/>
        <w:spacing w:after="0" w:line="31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No </w:t>
      </w:r>
      <w:r>
        <w:rPr>
          <w:rFonts w:ascii="MS PGothic" w:cs="MS PGothic" w:eastAsia="MS PGothic" w:hAnsi="MS PGothic"/>
          <w:sz w:val="18"/>
          <w:szCs w:val="18"/>
          <w:color w:val="auto"/>
        </w:rPr>
        <w:t>☐</w:t>
      </w:r>
    </w:p>
    <w:p>
      <w:pPr>
        <w:spacing w:after="0" w:line="135" w:lineRule="exact"/>
        <w:rPr>
          <w:sz w:val="24"/>
          <w:szCs w:val="24"/>
          <w:color w:val="auto"/>
        </w:rPr>
      </w:pPr>
    </w:p>
    <w:p>
      <w:pPr>
        <w:ind w:right="20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480" w:type="dxa"/>
        <w:tblCellMar>
          <w:top w:w="0" w:type="dxa"/>
          <w:left w:w="0" w:type="dxa"/>
          <w:bottom w:w="0" w:type="dxa"/>
          <w:right w:w="0" w:type="dxa"/>
        </w:tblCellMar>
      </w:tblPr>
      <w:tr>
        <w:trPr>
          <w:trHeight w:val="265"/>
        </w:trPr>
        <w:tc>
          <w:tcPr>
            <w:tcW w:w="2100" w:type="dxa"/>
            <w:vAlign w:val="bottom"/>
          </w:tcPr>
          <w:p>
            <w:pPr>
              <w:jc w:val="center"/>
              <w:ind w:right="390"/>
              <w:spacing w:after="0"/>
              <w:rPr>
                <w:sz w:val="20"/>
                <w:szCs w:val="20"/>
                <w:color w:val="auto"/>
              </w:rPr>
            </w:pPr>
            <w:r>
              <w:rPr>
                <w:rFonts w:ascii="Arial" w:cs="Arial" w:eastAsia="Arial" w:hAnsi="Arial"/>
                <w:sz w:val="18"/>
                <w:szCs w:val="18"/>
                <w:color w:val="auto"/>
                <w:w w:val="90"/>
              </w:rPr>
              <w:t>Large accelerated filer</w:t>
            </w:r>
          </w:p>
        </w:tc>
        <w:tc>
          <w:tcPr>
            <w:tcW w:w="1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jc w:val="center"/>
              <w:ind w:right="190"/>
              <w:spacing w:after="0"/>
              <w:rPr>
                <w:sz w:val="20"/>
                <w:szCs w:val="20"/>
                <w:color w:val="auto"/>
              </w:rPr>
            </w:pPr>
            <w:r>
              <w:rPr>
                <w:rFonts w:ascii="Arial" w:cs="Arial" w:eastAsia="Arial" w:hAnsi="Arial"/>
                <w:sz w:val="18"/>
                <w:szCs w:val="18"/>
                <w:color w:val="auto"/>
                <w:w w:val="92"/>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jc w:val="center"/>
              <w:ind w:right="390"/>
              <w:spacing w:after="0"/>
              <w:rPr>
                <w:sz w:val="20"/>
                <w:szCs w:val="20"/>
                <w:color w:val="auto"/>
              </w:rPr>
            </w:pPr>
            <w:r>
              <w:rPr>
                <w:rFonts w:ascii="Arial" w:cs="Arial" w:eastAsia="Arial" w:hAnsi="Arial"/>
                <w:sz w:val="18"/>
                <w:szCs w:val="18"/>
                <w:color w:val="auto"/>
                <w:w w:val="92"/>
              </w:rPr>
              <w:t>Non-accelerated filer</w:t>
            </w:r>
          </w:p>
        </w:tc>
        <w:tc>
          <w:tcPr>
            <w:tcW w:w="1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jc w:val="center"/>
              <w:ind w:right="170"/>
              <w:spacing w:after="0"/>
              <w:rPr>
                <w:sz w:val="20"/>
                <w:szCs w:val="20"/>
                <w:color w:val="auto"/>
              </w:rPr>
            </w:pPr>
            <w:r>
              <w:rPr>
                <w:rFonts w:ascii="Arial" w:cs="Arial" w:eastAsia="Arial" w:hAnsi="Arial"/>
                <w:sz w:val="18"/>
                <w:szCs w:val="18"/>
                <w:color w:val="auto"/>
                <w:w w:val="92"/>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0" w:type="dxa"/>
            <w:vAlign w:val="bottom"/>
          </w:tcPr>
          <w:p>
            <w:pPr>
              <w:jc w:val="center"/>
              <w:ind w:right="130"/>
              <w:spacing w:after="0"/>
              <w:rPr>
                <w:sz w:val="20"/>
                <w:szCs w:val="20"/>
                <w:color w:val="auto"/>
              </w:rPr>
            </w:pPr>
            <w:r>
              <w:rPr>
                <w:rFonts w:ascii="Arial" w:cs="Arial" w:eastAsia="Arial" w:hAnsi="Arial"/>
                <w:sz w:val="18"/>
                <w:szCs w:val="18"/>
                <w:color w:val="auto"/>
                <w:w w:val="92"/>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7" w:lineRule="exact"/>
        <w:rPr>
          <w:sz w:val="24"/>
          <w:szCs w:val="24"/>
          <w:color w:val="auto"/>
        </w:rPr>
      </w:pPr>
    </w:p>
    <w:p>
      <w:pPr>
        <w:ind w:right="180" w:firstLine="324"/>
        <w:spacing w:after="0" w:line="27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340" w:right="1660"/>
        <w:spacing w:after="0" w:line="27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Securities registered pursuant to Section 12(b)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 at November 1, 2023</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140" w:type="dxa"/>
            <w:vAlign w:val="bottom"/>
          </w:tcPr>
          <w:p>
            <w:pPr>
              <w:jc w:val="center"/>
              <w:spacing w:after="0" w:line="182" w:lineRule="exact"/>
              <w:rPr>
                <w:sz w:val="20"/>
                <w:szCs w:val="20"/>
                <w:color w:val="auto"/>
              </w:rPr>
            </w:pPr>
            <w:r>
              <w:rPr>
                <w:rFonts w:ascii="Arial" w:cs="Arial" w:eastAsia="Arial" w:hAnsi="Arial"/>
                <w:sz w:val="18"/>
                <w:szCs w:val="18"/>
                <w:color w:val="auto"/>
                <w:w w:val="90"/>
              </w:rPr>
              <w:t>Common Stock, $0.001 par value per</w:t>
            </w:r>
          </w:p>
        </w:tc>
        <w:tc>
          <w:tcPr>
            <w:tcW w:w="100" w:type="dxa"/>
            <w:vAlign w:val="bottom"/>
          </w:tcPr>
          <w:p>
            <w:pPr>
              <w:spacing w:after="0"/>
              <w:rPr>
                <w:sz w:val="15"/>
                <w:szCs w:val="15"/>
                <w:color w:val="auto"/>
              </w:rPr>
            </w:pPr>
          </w:p>
        </w:tc>
        <w:tc>
          <w:tcPr>
            <w:tcW w:w="2600" w:type="dxa"/>
            <w:vAlign w:val="bottom"/>
            <w:vMerge w:val="restart"/>
          </w:tcPr>
          <w:p>
            <w:pPr>
              <w:jc w:val="right"/>
              <w:ind w:right="819"/>
              <w:spacing w:after="0"/>
              <w:rPr>
                <w:sz w:val="20"/>
                <w:szCs w:val="20"/>
                <w:color w:val="auto"/>
              </w:rPr>
            </w:pPr>
            <w:r>
              <w:rPr>
                <w:rFonts w:ascii="Arial" w:cs="Arial" w:eastAsia="Arial" w:hAnsi="Arial"/>
                <w:sz w:val="18"/>
                <w:szCs w:val="18"/>
                <w:color w:val="auto"/>
              </w:rPr>
              <w:t>54,632,847</w:t>
            </w:r>
          </w:p>
        </w:tc>
        <w:tc>
          <w:tcPr>
            <w:tcW w:w="10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SUPN</w:t>
            </w: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1"/>
              </w:rPr>
              <w:t>The Nasdaq Global Market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4"/>
              </w:rPr>
              <w:t>share</w:t>
            </w:r>
          </w:p>
        </w:tc>
        <w:tc>
          <w:tcPr>
            <w:tcW w:w="2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3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240" w:type="dxa"/>
            <w:vAlign w:val="bottom"/>
            <w:gridSpan w:val="2"/>
            <w:vMerge w:val="continue"/>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60" w:type="dxa"/>
            <w:vAlign w:val="bottom"/>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6"/>
        </w:trPr>
        <w:tc>
          <w:tcPr>
            <w:tcW w:w="10360" w:type="dxa"/>
            <w:vAlign w:val="bottom"/>
            <w:gridSpan w:val="21"/>
            <w:vMerge w:val="restart"/>
          </w:tcPr>
          <w:p>
            <w:pPr>
              <w:spacing w:after="0"/>
              <w:rPr>
                <w:sz w:val="20"/>
                <w:szCs w:val="20"/>
                <w:color w:val="auto"/>
              </w:rPr>
            </w:pPr>
            <w:r>
              <w:rPr>
                <w:rFonts w:ascii="Arial" w:cs="Arial" w:eastAsia="Arial" w:hAnsi="Arial"/>
                <w:sz w:val="18"/>
                <w:szCs w:val="18"/>
                <w:color w:val="0000FF"/>
              </w:rPr>
              <w:t>PART I — FINANCIAL INFORMATION</w:t>
            </w: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360" w:type="dxa"/>
            <w:vAlign w:val="bottom"/>
            <w:gridSpan w:val="21"/>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Item 1. Unaudited Condensed Consolidated Financial Statements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4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Condensed Consolidated Balance Sheets</w:t>
            </w:r>
          </w:p>
        </w:tc>
        <w:tc>
          <w:tcPr>
            <w:tcW w:w="5140" w:type="dxa"/>
            <w:vAlign w:val="bottom"/>
            <w:gridSpan w:val="6"/>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E39C6"/>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Earnings (Loss)</w:t>
            </w:r>
          </w:p>
        </w:tc>
        <w:tc>
          <w:tcPr>
            <w:tcW w:w="860" w:type="dxa"/>
            <w:vAlign w:val="bottom"/>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Earnings (Loss)</w:t>
            </w:r>
          </w:p>
        </w:tc>
        <w:tc>
          <w:tcPr>
            <w:tcW w:w="860" w:type="dxa"/>
            <w:vAlign w:val="bottom"/>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Condensed Consolidated Statements of Changes in Stockholders' Equity</w:t>
            </w:r>
          </w:p>
        </w:tc>
        <w:tc>
          <w:tcPr>
            <w:tcW w:w="4360" w:type="dxa"/>
            <w:vAlign w:val="bottom"/>
            <w:gridSpan w:val="2"/>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860" w:type="dxa"/>
            <w:vAlign w:val="bottom"/>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860" w:type="dxa"/>
            <w:vAlign w:val="bottom"/>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860" w:type="dxa"/>
            <w:vAlign w:val="bottom"/>
          </w:tcPr>
          <w:p>
            <w:pPr>
              <w:jc w:val="right"/>
              <w:spacing w:after="0"/>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486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40" w:type="dxa"/>
            <w:vAlign w:val="bottom"/>
            <w:tcBorders>
              <w:top w:val="single" w:sz="8" w:color="0000FF"/>
            </w:tcBorders>
            <w:gridSpan w:val="4"/>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Item 4. Controls and Procedures</w:t>
            </w:r>
          </w:p>
        </w:tc>
        <w:tc>
          <w:tcPr>
            <w:tcW w:w="7500" w:type="dxa"/>
            <w:vAlign w:val="bottom"/>
            <w:gridSpan w:val="12"/>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PART II — OTHER INFORMATION</w:t>
            </w:r>
          </w:p>
        </w:tc>
        <w:tc>
          <w:tcPr>
            <w:tcW w:w="7600" w:type="dxa"/>
            <w:vAlign w:val="bottom"/>
            <w:gridSpan w:val="13"/>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Item 1. Legal Proceedings</w:t>
            </w:r>
          </w:p>
        </w:tc>
        <w:tc>
          <w:tcPr>
            <w:tcW w:w="860" w:type="dxa"/>
            <w:vAlign w:val="bottom"/>
          </w:tcPr>
          <w:p>
            <w:pPr>
              <w:jc w:val="right"/>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8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Item 1A. Risk Factors</w:t>
            </w:r>
          </w:p>
        </w:tc>
        <w:tc>
          <w:tcPr>
            <w:tcW w:w="7940" w:type="dxa"/>
            <w:vAlign w:val="bottom"/>
            <w:gridSpan w:val="14"/>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49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Item 2. Unregistered Sales of Equity Securities and Use of Proceeds</w:t>
            </w:r>
          </w:p>
        </w:tc>
        <w:tc>
          <w:tcPr>
            <w:tcW w:w="4920" w:type="dxa"/>
            <w:vAlign w:val="bottom"/>
            <w:gridSpan w:val="4"/>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Item 3. Defaults Upon Senior Securities</w:t>
            </w:r>
          </w:p>
        </w:tc>
        <w:tc>
          <w:tcPr>
            <w:tcW w:w="6940" w:type="dxa"/>
            <w:vAlign w:val="bottom"/>
            <w:gridSpan w:val="10"/>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Item 4. Mine Safety Disclosures</w:t>
            </w:r>
          </w:p>
        </w:tc>
        <w:tc>
          <w:tcPr>
            <w:tcW w:w="7500" w:type="dxa"/>
            <w:vAlign w:val="bottom"/>
            <w:gridSpan w:val="12"/>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Item 5. Other Information</w:t>
            </w:r>
          </w:p>
        </w:tc>
        <w:tc>
          <w:tcPr>
            <w:tcW w:w="860" w:type="dxa"/>
            <w:vAlign w:val="bottom"/>
          </w:tcPr>
          <w:p>
            <w:pPr>
              <w:jc w:val="right"/>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8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Item 6. Exhibits</w:t>
            </w:r>
          </w:p>
        </w:tc>
        <w:tc>
          <w:tcPr>
            <w:tcW w:w="7960" w:type="dxa"/>
            <w:vAlign w:val="bottom"/>
            <w:gridSpan w:val="15"/>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80" w:type="dxa"/>
            <w:vAlign w:val="bottom"/>
            <w:gridSpan w:val="1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860" w:type="dxa"/>
            <w:vAlign w:val="bottom"/>
          </w:tcPr>
          <w:p>
            <w:pPr>
              <w:jc w:val="right"/>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r>
      <w:tr>
        <w:trPr>
          <w:trHeight w:val="203"/>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r>
      <w:tr>
        <w:trPr>
          <w:trHeight w:val="26"/>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8"/>
        </w:trPr>
        <w:tc>
          <w:tcPr>
            <w:tcW w:w="8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3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93,120</w:t>
            </w: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368,214</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165,497</w:t>
            </w: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91,541</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15,779</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449,360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734,151</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93,896</w:t>
            </w: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15,173</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702,463</w:t>
            </w: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117,019</w:t>
            </w: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39,806</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1,285,160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1,702,508</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8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78,471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96,342</w:t>
            </w: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product returns and rebates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151,665</w:t>
            </w: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Convertible notes, net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401,968</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current portion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w:t>
            </w:r>
          </w:p>
        </w:tc>
      </w:tr>
      <w:tr>
        <w:trPr>
          <w:trHeight w:val="230"/>
        </w:trPr>
        <w:tc>
          <w:tcPr>
            <w:tcW w:w="8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16,863</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687,958</w:t>
            </w: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Contingent consideration, long-term</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33,847</w:t>
            </w: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 long-term</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35,998</w:t>
            </w: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49,809</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816,304</w:t>
            </w:r>
          </w:p>
        </w:tc>
      </w:tr>
      <w:tr>
        <w:trPr>
          <w:trHeight w:val="196"/>
        </w:trPr>
        <w:tc>
          <w:tcPr>
            <w:tcW w:w="8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8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Common stock, $0.001 par value; 130,000,000 shares authorized; 54,630,758 and 54,253,796 shares issued and</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September 30, 2023 and December 31, 2022, respectively</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431,956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408,115</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net of tax</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r>
      <w:tr>
        <w:trPr>
          <w:trHeight w:val="230"/>
        </w:trPr>
        <w:tc>
          <w:tcPr>
            <w:tcW w:w="8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481,245</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912,191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886,204</w:t>
            </w:r>
          </w:p>
        </w:tc>
      </w:tr>
      <w:tr>
        <w:trPr>
          <w:trHeight w:val="237"/>
        </w:trPr>
        <w:tc>
          <w:tcPr>
            <w:tcW w:w="8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1,702,508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Earnings (Loss)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6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194"/>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tcPr>
          <w:p>
            <w:pPr>
              <w:spacing w:after="0"/>
              <w:rPr>
                <w:sz w:val="16"/>
                <w:szCs w:val="16"/>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149,004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172,724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417,915</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485,647</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Royalty revenues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14,263</w:t>
            </w:r>
          </w:p>
        </w:tc>
      </w:tr>
      <w:tr>
        <w:trPr>
          <w:trHeight w:val="223"/>
        </w:trPr>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153,880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499,910</w:t>
            </w:r>
          </w:p>
        </w:tc>
      </w:tr>
      <w:tr>
        <w:trPr>
          <w:trHeight w:val="237"/>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64,267</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68,246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56,778</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303,249</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61,932</w:t>
            </w: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expense (gain)</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2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145,742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447,480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488,120</w:t>
            </w:r>
          </w:p>
        </w:tc>
      </w:tr>
      <w:tr>
        <w:trPr>
          <w:trHeight w:val="237"/>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Operating earnings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11,790</w:t>
            </w:r>
          </w:p>
        </w:tc>
      </w:tr>
      <w:tr>
        <w:trPr>
          <w:trHeight w:val="257"/>
        </w:trPr>
        <w:tc>
          <w:tcPr>
            <w:tcW w:w="5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w:t>
            </w:r>
          </w:p>
        </w:tc>
      </w:tr>
      <w:tr>
        <w:trPr>
          <w:trHeight w:val="22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and other income, net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19,289</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13,813</w:t>
            </w:r>
          </w:p>
        </w:tc>
      </w:tr>
      <w:tr>
        <w:trPr>
          <w:trHeight w:val="237"/>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25,603</w:t>
            </w:r>
          </w:p>
        </w:tc>
      </w:tr>
      <w:tr>
        <w:trPr>
          <w:trHeight w:val="257"/>
        </w:trPr>
        <w:tc>
          <w:tcPr>
            <w:tcW w:w="5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(9,627)</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6"/>
        </w:trPr>
        <w:tc>
          <w:tcPr>
            <w:tcW w:w="5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54,608,963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53,789,674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54,498,687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53,517,838</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54,608,963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55,034,838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55,574,922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61,543,121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25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r>
      <w:tr>
        <w:trPr>
          <w:trHeight w:val="19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4"/>
              </w:rPr>
              <w:t>(unaudited)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4"/>
              </w:rPr>
              <w:t>(unaudited)</w:t>
            </w:r>
          </w:p>
        </w:tc>
        <w:tc>
          <w:tcPr>
            <w:tcW w:w="900" w:type="dxa"/>
            <w:vAlign w:val="bottom"/>
          </w:tcPr>
          <w:p>
            <w:pPr>
              <w:spacing w:after="0"/>
              <w:rPr>
                <w:sz w:val="16"/>
                <w:szCs w:val="16"/>
                <w:color w:val="auto"/>
              </w:rPr>
            </w:pPr>
          </w:p>
        </w:tc>
      </w:tr>
      <w:tr>
        <w:trPr>
          <w:trHeight w:val="23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35,230</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gain (loss)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marketable securities,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1"/>
              </w:rPr>
              <w:t>(5,585)</w:t>
            </w:r>
          </w:p>
        </w:tc>
      </w:tr>
      <w:tr>
        <w:trPr>
          <w:trHeight w:val="22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gain (loss)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1"/>
              </w:rPr>
              <w:t>(5,585)</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29,645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140"/>
          </w:cols>
          <w:pgMar w:left="320" w:top="125" w:right="439" w:bottom="10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054"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Nine Months Ended September 30, 2023 and 2022</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180" w:type="dxa"/>
            <w:vAlign w:val="bottom"/>
            <w:gridSpan w:val="3"/>
            <w:vMerge w:val="restart"/>
          </w:tcPr>
          <w:p>
            <w:pPr>
              <w:jc w:val="right"/>
              <w:ind w:right="374"/>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9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280"/>
              <w:spacing w:after="0" w:line="125"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9"/>
                <w:szCs w:val="9"/>
                <w:color w:val="auto"/>
              </w:rPr>
            </w:pPr>
          </w:p>
        </w:tc>
        <w:tc>
          <w:tcPr>
            <w:tcW w:w="156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9"/>
                <w:szCs w:val="9"/>
                <w:color w:val="auto"/>
              </w:rPr>
            </w:pPr>
          </w:p>
        </w:tc>
        <w:tc>
          <w:tcPr>
            <w:tcW w:w="1100" w:type="dxa"/>
            <w:vAlign w:val="bottom"/>
            <w:gridSpan w:val="2"/>
            <w:vMerge w:val="restart"/>
          </w:tcPr>
          <w:p>
            <w:pPr>
              <w:ind w:left="120"/>
              <w:spacing w:after="0" w:line="12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73"/>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29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Earnings (Loss)</w:t>
            </w:r>
          </w:p>
        </w:tc>
        <w:tc>
          <w:tcPr>
            <w:tcW w:w="2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54,253,796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886,204</w:t>
            </w:r>
          </w:p>
        </w:tc>
        <w:tc>
          <w:tcPr>
            <w:tcW w:w="0" w:type="dxa"/>
            <w:vAlign w:val="bottom"/>
          </w:tcPr>
          <w:p>
            <w:pPr>
              <w:spacing w:after="0"/>
              <w:rPr>
                <w:sz w:val="1"/>
                <w:szCs w:val="1"/>
                <w:color w:val="auto"/>
              </w:rPr>
            </w:pPr>
          </w:p>
        </w:tc>
      </w:tr>
      <w:tr>
        <w:trPr>
          <w:trHeight w:val="230"/>
        </w:trPr>
        <w:tc>
          <w:tcPr>
            <w:tcW w:w="29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Issuance of common stock under the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4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equity award plans, net of shares</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withheld for employee taxes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216,826</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30"/>
        </w:trPr>
        <w:tc>
          <w:tcPr>
            <w:tcW w:w="294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16,948</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Unrealized gain on marketable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net of tax</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2023</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54,470,622</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416,232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498,193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912,150</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175"/>
        </w:trPr>
        <w:tc>
          <w:tcPr>
            <w:tcW w:w="2940" w:type="dxa"/>
            <w:vAlign w:val="bottom"/>
          </w:tcPr>
          <w:p>
            <w:pPr>
              <w:ind w:left="200"/>
              <w:spacing w:after="0" w:line="176" w:lineRule="exact"/>
              <w:rPr>
                <w:sz w:val="20"/>
                <w:szCs w:val="20"/>
                <w:color w:val="auto"/>
              </w:rPr>
            </w:pPr>
            <w:r>
              <w:rPr>
                <w:rFonts w:ascii="Arial" w:cs="Arial" w:eastAsia="Arial" w:hAnsi="Arial"/>
                <w:sz w:val="18"/>
                <w:szCs w:val="18"/>
                <w:color w:val="auto"/>
                <w:w w:val="92"/>
              </w:rPr>
              <w:t>Issuance of common stock under the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40" w:type="dxa"/>
            <w:vAlign w:val="bottom"/>
          </w:tcPr>
          <w:p>
            <w:pPr>
              <w:ind w:left="200"/>
              <w:spacing w:after="0" w:line="189" w:lineRule="exact"/>
              <w:rPr>
                <w:sz w:val="20"/>
                <w:szCs w:val="20"/>
                <w:color w:val="auto"/>
              </w:rPr>
            </w:pPr>
            <w:r>
              <w:rPr>
                <w:rFonts w:ascii="Arial" w:cs="Arial" w:eastAsia="Arial" w:hAnsi="Arial"/>
                <w:sz w:val="18"/>
                <w:szCs w:val="18"/>
                <w:color w:val="auto"/>
              </w:rPr>
              <w:t>equity award plans, net of shares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0"/>
              <w:spacing w:after="0"/>
              <w:rPr>
                <w:sz w:val="20"/>
                <w:szCs w:val="20"/>
                <w:color w:val="auto"/>
              </w:rPr>
            </w:pPr>
            <w:r>
              <w:rPr>
                <w:rFonts w:ascii="Arial" w:cs="Arial" w:eastAsia="Arial" w:hAnsi="Arial"/>
                <w:sz w:val="18"/>
                <w:szCs w:val="18"/>
                <w:color w:val="auto"/>
              </w:rPr>
              <w:t>withheld for employee taxes</w:t>
            </w:r>
          </w:p>
        </w:tc>
        <w:tc>
          <w:tcPr>
            <w:tcW w:w="1200" w:type="dxa"/>
            <w:vAlign w:val="bottom"/>
          </w:tcPr>
          <w:p>
            <w:pPr>
              <w:jc w:val="right"/>
              <w:spacing w:after="0"/>
              <w:rPr>
                <w:sz w:val="20"/>
                <w:szCs w:val="20"/>
                <w:color w:val="auto"/>
              </w:rPr>
            </w:pPr>
            <w:r>
              <w:rPr>
                <w:rFonts w:ascii="Arial" w:cs="Arial" w:eastAsia="Arial" w:hAnsi="Arial"/>
                <w:sz w:val="18"/>
                <w:szCs w:val="18"/>
                <w:color w:val="auto"/>
              </w:rPr>
              <w:t>122,279</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176"/>
        </w:trPr>
        <w:tc>
          <w:tcPr>
            <w:tcW w:w="2940" w:type="dxa"/>
            <w:vAlign w:val="bottom"/>
          </w:tcPr>
          <w:p>
            <w:pPr>
              <w:ind w:left="200"/>
              <w:spacing w:after="0" w:line="176" w:lineRule="exact"/>
              <w:rPr>
                <w:sz w:val="20"/>
                <w:szCs w:val="20"/>
                <w:color w:val="auto"/>
              </w:rPr>
            </w:pPr>
            <w:r>
              <w:rPr>
                <w:rFonts w:ascii="Arial" w:cs="Arial" w:eastAsia="Arial" w:hAnsi="Arial"/>
                <w:sz w:val="18"/>
                <w:szCs w:val="18"/>
                <w:color w:val="auto"/>
              </w:rPr>
              <w:t>Unrealized gain on marketable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0"/>
              <w:spacing w:after="0"/>
              <w:rPr>
                <w:sz w:val="20"/>
                <w:szCs w:val="20"/>
                <w:color w:val="auto"/>
              </w:rPr>
            </w:pPr>
            <w:r>
              <w:rPr>
                <w:rFonts w:ascii="Arial" w:cs="Arial" w:eastAsia="Arial" w:hAnsi="Arial"/>
                <w:sz w:val="18"/>
                <w:szCs w:val="18"/>
                <w:color w:val="auto"/>
              </w:rPr>
              <w:t>securities, net of tax</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54,592,901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919,908</w:t>
            </w:r>
          </w:p>
        </w:tc>
        <w:tc>
          <w:tcPr>
            <w:tcW w:w="0" w:type="dxa"/>
            <w:vAlign w:val="bottom"/>
          </w:tcPr>
          <w:p>
            <w:pPr>
              <w:spacing w:after="0"/>
              <w:rPr>
                <w:sz w:val="1"/>
                <w:szCs w:val="1"/>
                <w:color w:val="auto"/>
              </w:rPr>
            </w:pPr>
          </w:p>
        </w:tc>
      </w:tr>
      <w:tr>
        <w:trPr>
          <w:trHeight w:val="229"/>
        </w:trPr>
        <w:tc>
          <w:tcPr>
            <w:tcW w:w="29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Issuance of common stock under the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4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equity award plans, net of shares</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withheld for employee taxes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37,857</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29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(15,976)</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Unrealized loss on marketable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net of tax</w:t>
            </w:r>
          </w:p>
        </w:tc>
        <w:tc>
          <w:tcPr>
            <w:tcW w:w="1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54,630,758</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431,956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481,386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912,191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Changes in Stockholders’ Equity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December 31, 2021</w:t>
      </w:r>
    </w:p>
    <w:p>
      <w:pPr>
        <w:spacing w:after="0" w:line="40" w:lineRule="exact"/>
        <w:rPr>
          <w:sz w:val="20"/>
          <w:szCs w:val="20"/>
          <w:color w:val="auto"/>
        </w:rPr>
      </w:pPr>
    </w:p>
    <w:p>
      <w:pPr>
        <w:ind w:left="140"/>
        <w:spacing w:after="0" w:line="246" w:lineRule="auto"/>
        <w:rPr>
          <w:sz w:val="20"/>
          <w:szCs w:val="20"/>
          <w:color w:val="auto"/>
        </w:rPr>
      </w:pPr>
      <w:r>
        <w:rPr>
          <w:rFonts w:ascii="Arial" w:cs="Arial" w:eastAsia="Arial" w:hAnsi="Arial"/>
          <w:sz w:val="18"/>
          <w:szCs w:val="18"/>
          <w:color w:val="auto"/>
        </w:rPr>
        <w:t>Cumulative effect of adoption of ASU 2020-06</w:t>
      </w:r>
    </w:p>
    <w:p>
      <w:pPr>
        <w:spacing w:after="0" w:line="8" w:lineRule="exact"/>
        <w:rPr>
          <w:sz w:val="20"/>
          <w:szCs w:val="20"/>
          <w:color w:val="auto"/>
        </w:rPr>
      </w:pPr>
    </w:p>
    <w:p>
      <w:pPr>
        <w:ind w:left="140" w:right="260"/>
        <w:spacing w:after="0" w:line="288" w:lineRule="auto"/>
        <w:rPr>
          <w:sz w:val="20"/>
          <w:szCs w:val="20"/>
          <w:color w:val="auto"/>
        </w:rPr>
      </w:pPr>
      <w:r>
        <w:rPr>
          <w:rFonts w:ascii="Arial" w:cs="Arial" w:eastAsia="Arial" w:hAnsi="Arial"/>
          <w:sz w:val="16"/>
          <w:szCs w:val="16"/>
          <w:color w:val="auto"/>
        </w:rPr>
        <w:t>Balance, January 1, 2022 Share-based compensation Issuance of common stock in</w:t>
      </w:r>
    </w:p>
    <w:p>
      <w:pPr>
        <w:spacing w:after="0" w:line="2" w:lineRule="exact"/>
        <w:rPr>
          <w:sz w:val="20"/>
          <w:szCs w:val="20"/>
          <w:color w:val="auto"/>
        </w:rPr>
      </w:pPr>
    </w:p>
    <w:p>
      <w:pPr>
        <w:ind w:left="140" w:right="60"/>
        <w:spacing w:after="0" w:line="254" w:lineRule="auto"/>
        <w:rPr>
          <w:sz w:val="20"/>
          <w:szCs w:val="20"/>
          <w:color w:val="auto"/>
        </w:rPr>
      </w:pPr>
      <w:r>
        <w:rPr>
          <w:rFonts w:ascii="Arial" w:cs="Arial" w:eastAsia="Arial" w:hAnsi="Arial"/>
          <w:sz w:val="16"/>
          <w:szCs w:val="16"/>
          <w:color w:val="auto"/>
        </w:rPr>
        <w:t>connection with the Company’s equity award plans</w:t>
      </w:r>
    </w:p>
    <w:p>
      <w:pPr>
        <w:ind w:left="140"/>
        <w:spacing w:after="0"/>
        <w:rPr>
          <w:sz w:val="20"/>
          <w:szCs w:val="20"/>
          <w:color w:val="auto"/>
        </w:rPr>
      </w:pPr>
      <w:r>
        <w:rPr>
          <w:rFonts w:ascii="Arial" w:cs="Arial" w:eastAsia="Arial" w:hAnsi="Arial"/>
          <w:sz w:val="18"/>
          <w:szCs w:val="18"/>
          <w:color w:val="auto"/>
        </w:rPr>
        <w:t>Net earnings</w:t>
      </w:r>
    </w:p>
    <w:p>
      <w:pPr>
        <w:spacing w:after="0" w:line="23" w:lineRule="exact"/>
        <w:rPr>
          <w:sz w:val="20"/>
          <w:szCs w:val="20"/>
          <w:color w:val="auto"/>
        </w:rPr>
      </w:pPr>
    </w:p>
    <w:p>
      <w:pPr>
        <w:ind w:left="140" w:right="160"/>
        <w:spacing w:after="0" w:line="272" w:lineRule="auto"/>
        <w:rPr>
          <w:sz w:val="20"/>
          <w:szCs w:val="20"/>
          <w:color w:val="auto"/>
        </w:rPr>
      </w:pPr>
      <w:r>
        <w:rPr>
          <w:rFonts w:ascii="Arial" w:cs="Arial" w:eastAsia="Arial" w:hAnsi="Arial"/>
          <w:sz w:val="16"/>
          <w:szCs w:val="16"/>
          <w:color w:val="auto"/>
        </w:rPr>
        <w:t>Unrealized loss on marketable securities, net of tax</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March 31, 2022</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Share-based compensation</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Issuance of common stock in</w:t>
      </w:r>
    </w:p>
    <w:p>
      <w:pPr>
        <w:ind w:left="140" w:right="60"/>
        <w:spacing w:after="0" w:line="254" w:lineRule="auto"/>
        <w:rPr>
          <w:sz w:val="20"/>
          <w:szCs w:val="20"/>
          <w:color w:val="auto"/>
        </w:rPr>
      </w:pPr>
      <w:r>
        <w:rPr>
          <w:rFonts w:ascii="Arial" w:cs="Arial" w:eastAsia="Arial" w:hAnsi="Arial"/>
          <w:sz w:val="16"/>
          <w:szCs w:val="16"/>
          <w:color w:val="auto"/>
        </w:rPr>
        <w:t>connection with the Company’s equity award plans</w:t>
      </w:r>
    </w:p>
    <w:p>
      <w:pPr>
        <w:ind w:left="140"/>
        <w:spacing w:after="0"/>
        <w:rPr>
          <w:sz w:val="20"/>
          <w:szCs w:val="20"/>
          <w:color w:val="auto"/>
        </w:rPr>
      </w:pPr>
      <w:r>
        <w:rPr>
          <w:rFonts w:ascii="Arial" w:cs="Arial" w:eastAsia="Arial" w:hAnsi="Arial"/>
          <w:sz w:val="18"/>
          <w:szCs w:val="18"/>
          <w:color w:val="auto"/>
        </w:rPr>
        <w:t>Net earnings</w:t>
      </w:r>
    </w:p>
    <w:p>
      <w:pPr>
        <w:spacing w:after="0" w:line="23" w:lineRule="exact"/>
        <w:rPr>
          <w:sz w:val="20"/>
          <w:szCs w:val="20"/>
          <w:color w:val="auto"/>
        </w:rPr>
      </w:pPr>
    </w:p>
    <w:p>
      <w:pPr>
        <w:ind w:left="140" w:right="160"/>
        <w:spacing w:after="0" w:line="272" w:lineRule="auto"/>
        <w:rPr>
          <w:sz w:val="20"/>
          <w:szCs w:val="20"/>
          <w:color w:val="auto"/>
        </w:rPr>
      </w:pPr>
      <w:r>
        <w:rPr>
          <w:rFonts w:ascii="Arial" w:cs="Arial" w:eastAsia="Arial" w:hAnsi="Arial"/>
          <w:sz w:val="16"/>
          <w:szCs w:val="16"/>
          <w:color w:val="auto"/>
        </w:rPr>
        <w:t>Unrealized loss on marketable securities, net of tax</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June 30, 2022</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Share-based compensation</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Issuance of common stock in</w:t>
      </w:r>
    </w:p>
    <w:p>
      <w:pPr>
        <w:ind w:left="140" w:right="60"/>
        <w:spacing w:after="0" w:line="254" w:lineRule="auto"/>
        <w:rPr>
          <w:sz w:val="20"/>
          <w:szCs w:val="20"/>
          <w:color w:val="auto"/>
        </w:rPr>
      </w:pPr>
      <w:r>
        <w:rPr>
          <w:rFonts w:ascii="Arial" w:cs="Arial" w:eastAsia="Arial" w:hAnsi="Arial"/>
          <w:sz w:val="16"/>
          <w:szCs w:val="16"/>
          <w:color w:val="auto"/>
        </w:rPr>
        <w:t>connection with the Company’s equity award plans</w:t>
      </w:r>
    </w:p>
    <w:p>
      <w:pPr>
        <w:ind w:left="140"/>
        <w:spacing w:after="0"/>
        <w:rPr>
          <w:sz w:val="20"/>
          <w:szCs w:val="20"/>
          <w:color w:val="auto"/>
        </w:rPr>
      </w:pPr>
      <w:r>
        <w:rPr>
          <w:rFonts w:ascii="Arial" w:cs="Arial" w:eastAsia="Arial" w:hAnsi="Arial"/>
          <w:sz w:val="18"/>
          <w:szCs w:val="18"/>
          <w:color w:val="auto"/>
        </w:rPr>
        <w:t>Net earnings</w:t>
      </w:r>
    </w:p>
    <w:p>
      <w:pPr>
        <w:spacing w:after="0" w:line="23" w:lineRule="exact"/>
        <w:rPr>
          <w:sz w:val="20"/>
          <w:szCs w:val="20"/>
          <w:color w:val="auto"/>
        </w:rPr>
      </w:pPr>
    </w:p>
    <w:p>
      <w:pPr>
        <w:ind w:left="140" w:right="160"/>
        <w:spacing w:after="0" w:line="272" w:lineRule="auto"/>
        <w:rPr>
          <w:sz w:val="20"/>
          <w:szCs w:val="20"/>
          <w:color w:val="auto"/>
        </w:rPr>
      </w:pPr>
      <w:r>
        <w:rPr>
          <w:rFonts w:ascii="Arial" w:cs="Arial" w:eastAsia="Arial" w:hAnsi="Arial"/>
          <w:sz w:val="16"/>
          <w:szCs w:val="16"/>
          <w:color w:val="auto"/>
        </w:rPr>
        <w:t>Unrealized loss on marketable securities, net of tax</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September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3"/>
            <w:vMerge w:val="restart"/>
          </w:tcPr>
          <w:p>
            <w:pPr>
              <w:jc w:val="right"/>
              <w:ind w:right="394"/>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2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80"/>
              <w:spacing w:after="0" w:line="125"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9"/>
                <w:szCs w:val="9"/>
                <w:color w:val="auto"/>
              </w:rPr>
            </w:pPr>
          </w:p>
        </w:tc>
        <w:tc>
          <w:tcPr>
            <w:tcW w:w="1660" w:type="dxa"/>
            <w:vAlign w:val="bottom"/>
            <w:gridSpan w:val="2"/>
            <w:vMerge w:val="restart"/>
          </w:tcPr>
          <w:p>
            <w:pPr>
              <w:jc w:val="center"/>
              <w:ind w:right="28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9"/>
                <w:szCs w:val="9"/>
                <w:color w:val="auto"/>
              </w:rPr>
            </w:pPr>
          </w:p>
        </w:tc>
        <w:tc>
          <w:tcPr>
            <w:tcW w:w="1060" w:type="dxa"/>
            <w:vAlign w:val="bottom"/>
            <w:gridSpan w:val="2"/>
            <w:vMerge w:val="restart"/>
          </w:tcPr>
          <w:p>
            <w:pPr>
              <w:ind w:left="100"/>
              <w:spacing w:after="0" w:line="12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9"/>
                <w:szCs w:val="9"/>
                <w:color w:val="auto"/>
              </w:rPr>
            </w:pPr>
          </w:p>
        </w:tc>
        <w:tc>
          <w:tcPr>
            <w:tcW w:w="1080" w:type="dxa"/>
            <w:vAlign w:val="bottom"/>
            <w:vMerge w:val="restart"/>
          </w:tcPr>
          <w:p>
            <w:pPr>
              <w:jc w:val="center"/>
              <w:ind w:right="73"/>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2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Paid-in Capital</w:t>
            </w:r>
          </w:p>
        </w:tc>
        <w:tc>
          <w:tcPr>
            <w:tcW w:w="18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Earnings (Loss)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0"/>
        </w:trPr>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53,256,094</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434,337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379,922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815,851</w:t>
            </w:r>
          </w:p>
        </w:tc>
        <w:tc>
          <w:tcPr>
            <w:tcW w:w="0" w:type="dxa"/>
            <w:vAlign w:val="bottom"/>
          </w:tcPr>
          <w:p>
            <w:pPr>
              <w:spacing w:after="0"/>
              <w:rPr>
                <w:sz w:val="1"/>
                <w:szCs w:val="1"/>
                <w:color w:val="auto"/>
              </w:rPr>
            </w:pPr>
          </w:p>
        </w:tc>
      </w:tr>
      <w:tr>
        <w:trPr>
          <w:trHeight w:val="418"/>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(15,600)</w:t>
            </w:r>
          </w:p>
        </w:tc>
        <w:tc>
          <w:tcPr>
            <w:tcW w:w="0" w:type="dxa"/>
            <w:vAlign w:val="bottom"/>
          </w:tcPr>
          <w:p>
            <w:pPr>
              <w:spacing w:after="0"/>
              <w:rPr>
                <w:sz w:val="1"/>
                <w:szCs w:val="1"/>
                <w:color w:val="auto"/>
              </w:rPr>
            </w:pPr>
          </w:p>
        </w:tc>
      </w:tr>
      <w:tr>
        <w:trPr>
          <w:trHeight w:val="222"/>
        </w:trPr>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53,256,094</w:t>
            </w: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53</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378,125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420,534</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800,251</w:t>
            </w:r>
          </w:p>
        </w:tc>
        <w:tc>
          <w:tcPr>
            <w:tcW w:w="0" w:type="dxa"/>
            <w:vAlign w:val="bottom"/>
          </w:tcPr>
          <w:p>
            <w:pPr>
              <w:spacing w:after="0"/>
              <w:rPr>
                <w:sz w:val="1"/>
                <w:szCs w:val="1"/>
                <w:color w:val="auto"/>
              </w:rPr>
            </w:pPr>
          </w:p>
        </w:tc>
      </w:tr>
      <w:tr>
        <w:trPr>
          <w:trHeight w:val="230"/>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593"/>
        </w:trPr>
        <w:tc>
          <w:tcPr>
            <w:tcW w:w="1200" w:type="dxa"/>
            <w:vAlign w:val="bottom"/>
          </w:tcPr>
          <w:p>
            <w:pPr>
              <w:jc w:val="right"/>
              <w:spacing w:after="0"/>
              <w:rPr>
                <w:sz w:val="20"/>
                <w:szCs w:val="20"/>
                <w:color w:val="auto"/>
              </w:rPr>
            </w:pPr>
            <w:r>
              <w:rPr>
                <w:rFonts w:ascii="Arial" w:cs="Arial" w:eastAsia="Arial" w:hAnsi="Arial"/>
                <w:sz w:val="18"/>
                <w:szCs w:val="18"/>
                <w:color w:val="auto"/>
              </w:rPr>
              <w:t>130,211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25,616</w:t>
            </w:r>
          </w:p>
        </w:tc>
        <w:tc>
          <w:tcPr>
            <w:tcW w:w="0" w:type="dxa"/>
            <w:vAlign w:val="bottom"/>
          </w:tcPr>
          <w:p>
            <w:pPr>
              <w:spacing w:after="0"/>
              <w:rPr>
                <w:sz w:val="1"/>
                <w:szCs w:val="1"/>
                <w:color w:val="auto"/>
              </w:rPr>
            </w:pPr>
          </w:p>
        </w:tc>
      </w:tr>
      <w:tr>
        <w:trPr>
          <w:trHeight w:val="418"/>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2"/>
        </w:trPr>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53,386,305</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383,016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446,150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828,446</w:t>
            </w:r>
          </w:p>
        </w:tc>
        <w:tc>
          <w:tcPr>
            <w:tcW w:w="0" w:type="dxa"/>
            <w:vAlign w:val="bottom"/>
          </w:tcPr>
          <w:p>
            <w:pPr>
              <w:spacing w:after="0"/>
              <w:rPr>
                <w:sz w:val="1"/>
                <w:szCs w:val="1"/>
                <w:color w:val="auto"/>
              </w:rPr>
            </w:pPr>
          </w:p>
        </w:tc>
      </w:tr>
      <w:tr>
        <w:trPr>
          <w:trHeight w:val="230"/>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593"/>
        </w:trPr>
        <w:tc>
          <w:tcPr>
            <w:tcW w:w="1200" w:type="dxa"/>
            <w:vAlign w:val="bottom"/>
          </w:tcPr>
          <w:p>
            <w:pPr>
              <w:jc w:val="right"/>
              <w:spacing w:after="0"/>
              <w:rPr>
                <w:sz w:val="20"/>
                <w:szCs w:val="20"/>
                <w:color w:val="auto"/>
              </w:rPr>
            </w:pPr>
            <w:r>
              <w:rPr>
                <w:rFonts w:ascii="Arial" w:cs="Arial" w:eastAsia="Arial" w:hAnsi="Arial"/>
                <w:sz w:val="18"/>
                <w:szCs w:val="18"/>
                <w:color w:val="auto"/>
              </w:rPr>
              <w:t>106,081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30"/>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418"/>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22"/>
        </w:trPr>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53,492,386</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389,586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454,015</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841,434</w:t>
            </w:r>
          </w:p>
        </w:tc>
        <w:tc>
          <w:tcPr>
            <w:tcW w:w="0" w:type="dxa"/>
            <w:vAlign w:val="bottom"/>
          </w:tcPr>
          <w:p>
            <w:pPr>
              <w:spacing w:after="0"/>
              <w:rPr>
                <w:sz w:val="1"/>
                <w:szCs w:val="1"/>
                <w:color w:val="auto"/>
              </w:rPr>
            </w:pPr>
          </w:p>
        </w:tc>
      </w:tr>
      <w:tr>
        <w:trPr>
          <w:trHeight w:val="230"/>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593"/>
        </w:trPr>
        <w:tc>
          <w:tcPr>
            <w:tcW w:w="1200" w:type="dxa"/>
            <w:vAlign w:val="bottom"/>
          </w:tcPr>
          <w:p>
            <w:pPr>
              <w:jc w:val="right"/>
              <w:spacing w:after="0"/>
              <w:rPr>
                <w:sz w:val="20"/>
                <w:szCs w:val="20"/>
                <w:color w:val="auto"/>
              </w:rPr>
            </w:pPr>
            <w:r>
              <w:rPr>
                <w:rFonts w:ascii="Arial" w:cs="Arial" w:eastAsia="Arial" w:hAnsi="Arial"/>
                <w:sz w:val="18"/>
                <w:szCs w:val="18"/>
                <w:color w:val="auto"/>
              </w:rPr>
              <w:t>561,127</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30"/>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418"/>
        </w:trPr>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54,053,513</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401,026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455,764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852,798</w:t>
            </w: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-3874135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-3453765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-3154045</wp:posOffset>
            </wp:positionV>
            <wp:extent cx="713232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-2630805</wp:posOffset>
            </wp:positionV>
            <wp:extent cx="713232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-2211070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-1687830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-1276350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-976630</wp:posOffset>
            </wp:positionV>
            <wp:extent cx="713232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-453390</wp:posOffset>
            </wp:positionV>
            <wp:extent cx="7132320"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420"/>
            <w:col w:w="832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accompanying notes.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4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194"/>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6"/>
                <w:szCs w:val="16"/>
                <w:color w:val="auto"/>
              </w:rPr>
            </w:pPr>
          </w:p>
        </w:tc>
      </w:tr>
      <w:tr>
        <w:trPr>
          <w:trHeight w:val="23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35,230</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4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64,694</w:t>
            </w:r>
          </w:p>
        </w:tc>
      </w:tr>
      <w:tr>
        <w:trPr>
          <w:trHeight w:val="230"/>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income from Navitor (see Note 4)</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(12,888)</w:t>
            </w:r>
          </w:p>
        </w:tc>
      </w:tr>
      <w:tr>
        <w:trPr>
          <w:trHeight w:val="229"/>
        </w:trPr>
        <w:tc>
          <w:tcPr>
            <w:tcW w:w="8460" w:type="dxa"/>
            <w:vAlign w:val="bottom"/>
          </w:tcPr>
          <w:p>
            <w:pPr>
              <w:ind w:left="300"/>
              <w:spacing w:after="0"/>
              <w:rPr>
                <w:sz w:val="20"/>
                <w:szCs w:val="20"/>
                <w:color w:val="auto"/>
              </w:rPr>
            </w:pPr>
            <w:r>
              <w:rPr>
                <w:rFonts w:ascii="Arial" w:cs="Arial" w:eastAsia="Arial" w:hAnsi="Arial"/>
                <w:sz w:val="18"/>
                <w:szCs w:val="18"/>
                <w:color w:val="auto"/>
              </w:rPr>
              <w:t>Amortization of deferred financing costs and debt discount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29"/>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Realized gains from sales of marketable securities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460" w:type="dxa"/>
            <w:vAlign w:val="bottom"/>
          </w:tcPr>
          <w:p>
            <w:pPr>
              <w:ind w:left="300"/>
              <w:spacing w:after="0"/>
              <w:rPr>
                <w:sz w:val="20"/>
                <w:szCs w:val="20"/>
                <w:color w:val="auto"/>
              </w:rPr>
            </w:pPr>
            <w:r>
              <w:rPr>
                <w:rFonts w:ascii="Arial" w:cs="Arial" w:eastAsia="Arial" w:hAnsi="Arial"/>
                <w:sz w:val="18"/>
                <w:szCs w:val="18"/>
                <w:color w:val="auto"/>
              </w:rPr>
              <w:t>Amortization of premium/discount on marketable securities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3,215</w:t>
            </w:r>
          </w:p>
        </w:tc>
      </w:tr>
      <w:tr>
        <w:trPr>
          <w:trHeight w:val="229"/>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30"/>
        </w:trPr>
        <w:tc>
          <w:tcPr>
            <w:tcW w:w="8460" w:type="dxa"/>
            <w:vAlign w:val="bottom"/>
          </w:tcPr>
          <w:p>
            <w:pPr>
              <w:ind w:left="300"/>
              <w:spacing w:after="0"/>
              <w:rPr>
                <w:sz w:val="20"/>
                <w:szCs w:val="20"/>
                <w:color w:val="auto"/>
              </w:rPr>
            </w:pPr>
            <w:r>
              <w:rPr>
                <w:rFonts w:ascii="Arial" w:cs="Arial" w:eastAsia="Arial" w:hAnsi="Arial"/>
                <w:sz w:val="18"/>
                <w:szCs w:val="18"/>
                <w:color w:val="auto"/>
              </w:rPr>
              <w:t>Other noncash adjustments,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7,983</w:t>
            </w:r>
          </w:p>
        </w:tc>
      </w:tr>
      <w:tr>
        <w:trPr>
          <w:trHeight w:val="229"/>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w:t>
            </w:r>
          </w:p>
        </w:tc>
      </w:tr>
      <w:tr>
        <w:trPr>
          <w:trHeight w:val="229"/>
        </w:trPr>
        <w:tc>
          <w:tcPr>
            <w:tcW w:w="8460" w:type="dxa"/>
            <w:vAlign w:val="bottom"/>
          </w:tcPr>
          <w:p>
            <w:pPr>
              <w:ind w:left="300"/>
              <w:spacing w:after="0"/>
              <w:rPr>
                <w:sz w:val="20"/>
                <w:szCs w:val="20"/>
                <w:color w:val="auto"/>
              </w:rPr>
            </w:pPr>
            <w:r>
              <w:rPr>
                <w:rFonts w:ascii="Arial" w:cs="Arial" w:eastAsia="Arial" w:hAnsi="Arial"/>
                <w:sz w:val="18"/>
                <w:szCs w:val="18"/>
                <w:color w:val="auto"/>
              </w:rPr>
              <w:t>Deferred income tax benefit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(18,564)</w:t>
            </w:r>
          </w:p>
        </w:tc>
      </w:tr>
      <w:tr>
        <w:trPr>
          <w:trHeight w:val="230"/>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4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(14,958)</w:t>
            </w:r>
          </w:p>
        </w:tc>
      </w:tr>
      <w:tr>
        <w:trPr>
          <w:trHeight w:val="229"/>
        </w:trPr>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r>
      <w:tr>
        <w:trPr>
          <w:trHeight w:val="230"/>
        </w:trPr>
        <w:tc>
          <w:tcPr>
            <w:tcW w:w="846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3,098</w:t>
            </w:r>
          </w:p>
        </w:tc>
      </w:tr>
      <w:tr>
        <w:trPr>
          <w:trHeight w:val="229"/>
        </w:trPr>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product returns and rebates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25,746</w:t>
            </w:r>
          </w:p>
        </w:tc>
      </w:tr>
      <w:tr>
        <w:trPr>
          <w:trHeight w:val="230"/>
        </w:trPr>
        <w:tc>
          <w:tcPr>
            <w:tcW w:w="8460" w:type="dxa"/>
            <w:vAlign w:val="bottom"/>
          </w:tcPr>
          <w:p>
            <w:pPr>
              <w:ind w:left="400"/>
              <w:spacing w:after="0"/>
              <w:rPr>
                <w:sz w:val="20"/>
                <w:szCs w:val="20"/>
                <w:color w:val="auto"/>
              </w:rPr>
            </w:pPr>
            <w:r>
              <w:rPr>
                <w:rFonts w:ascii="Arial" w:cs="Arial" w:eastAsia="Arial" w:hAnsi="Arial"/>
                <w:sz w:val="18"/>
                <w:szCs w:val="18"/>
                <w:color w:val="auto"/>
              </w:rPr>
              <w:t>Accounts payable and other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(12,659)</w:t>
            </w:r>
          </w:p>
        </w:tc>
      </w:tr>
      <w:tr>
        <w:trPr>
          <w:trHeight w:val="229"/>
        </w:trPr>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66,127</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89,262</w:t>
            </w:r>
          </w:p>
        </w:tc>
      </w:tr>
      <w:tr>
        <w:trPr>
          <w:trHeight w:val="128"/>
        </w:trPr>
        <w:tc>
          <w:tcPr>
            <w:tcW w:w="8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(340,665)</w:t>
            </w:r>
          </w:p>
        </w:tc>
      </w:tr>
      <w:tr>
        <w:trPr>
          <w:trHeight w:val="230"/>
        </w:trPr>
        <w:tc>
          <w:tcPr>
            <w:tcW w:w="8460" w:type="dxa"/>
            <w:vAlign w:val="bottom"/>
          </w:tcPr>
          <w:p>
            <w:pPr>
              <w:ind w:left="300"/>
              <w:spacing w:after="0"/>
              <w:rPr>
                <w:sz w:val="20"/>
                <w:szCs w:val="20"/>
                <w:color w:val="auto"/>
              </w:rPr>
            </w:pPr>
            <w:r>
              <w:rPr>
                <w:rFonts w:ascii="Arial" w:cs="Arial" w:eastAsia="Arial" w:hAnsi="Arial"/>
                <w:sz w:val="18"/>
                <w:szCs w:val="18"/>
                <w:color w:val="auto"/>
              </w:rPr>
              <w:t>Sales and maturities of marketable securities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335,297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173,189</w:t>
            </w:r>
          </w:p>
        </w:tc>
      </w:tr>
      <w:tr>
        <w:trPr>
          <w:trHeight w:val="229"/>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(167,898)</w:t>
            </w:r>
          </w:p>
        </w:tc>
      </w:tr>
      <w:tr>
        <w:trPr>
          <w:trHeight w:val="128"/>
        </w:trPr>
        <w:tc>
          <w:tcPr>
            <w:tcW w:w="8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Line of Credit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ind w:left="300"/>
              <w:spacing w:after="0"/>
              <w:rPr>
                <w:sz w:val="20"/>
                <w:szCs w:val="20"/>
                <w:color w:val="auto"/>
              </w:rPr>
            </w:pPr>
            <w:r>
              <w:rPr>
                <w:rFonts w:ascii="Arial" w:cs="Arial" w:eastAsia="Arial" w:hAnsi="Arial"/>
                <w:sz w:val="18"/>
                <w:szCs w:val="18"/>
                <w:color w:val="auto"/>
              </w:rPr>
              <w:t>Payments on Line of Credit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 on convertible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ind w:left="300"/>
              <w:spacing w:after="0"/>
              <w:rPr>
                <w:sz w:val="20"/>
                <w:szCs w:val="20"/>
                <w:color w:val="auto"/>
              </w:rPr>
            </w:pPr>
            <w:r>
              <w:rPr>
                <w:rFonts w:ascii="Arial" w:cs="Arial" w:eastAsia="Arial" w:hAnsi="Arial"/>
                <w:sz w:val="18"/>
                <w:szCs w:val="18"/>
                <w:color w:val="auto"/>
              </w:rPr>
              <w:t>Payment of contingent consideration</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(22,900)</w:t>
            </w:r>
          </w:p>
        </w:tc>
      </w:tr>
      <w:tr>
        <w:trPr>
          <w:trHeight w:val="229"/>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(13,306)</w:t>
            </w:r>
          </w:p>
        </w:tc>
      </w:tr>
      <w:tr>
        <w:trPr>
          <w:trHeight w:val="128"/>
        </w:trPr>
        <w:tc>
          <w:tcPr>
            <w:tcW w:w="8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(91,942)</w:t>
            </w:r>
          </w:p>
        </w:tc>
      </w:tr>
      <w:tr>
        <w:trPr>
          <w:trHeight w:val="230"/>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203,434</w:t>
            </w:r>
          </w:p>
        </w:tc>
      </w:tr>
      <w:tr>
        <w:trPr>
          <w:trHeight w:val="223"/>
        </w:trPr>
        <w:tc>
          <w:tcPr>
            <w:tcW w:w="8460" w:type="dxa"/>
            <w:vAlign w:val="bottom"/>
          </w:tcPr>
          <w:p>
            <w:pPr>
              <w:ind w:left="30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111,492</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5"/>
        </w:trPr>
        <w:tc>
          <w:tcPr>
            <w:tcW w:w="8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paid for interest on debt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30"/>
        </w:trPr>
        <w:tc>
          <w:tcPr>
            <w:tcW w:w="8460" w:type="dxa"/>
            <w:vAlign w:val="bottom"/>
          </w:tcPr>
          <w:p>
            <w:pPr>
              <w:ind w:left="30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14,558</w:t>
            </w:r>
          </w:p>
        </w:tc>
      </w:tr>
      <w:tr>
        <w:trPr>
          <w:trHeight w:val="230"/>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paid for operating leases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r>
      <w:tr>
        <w:trPr>
          <w:trHeight w:val="148"/>
        </w:trPr>
        <w:tc>
          <w:tcPr>
            <w:tcW w:w="8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460" w:type="dxa"/>
            <w:vAlign w:val="bottom"/>
          </w:tcPr>
          <w:p>
            <w:pPr>
              <w:ind w:left="300"/>
              <w:spacing w:after="0"/>
              <w:rPr>
                <w:sz w:val="20"/>
                <w:szCs w:val="20"/>
                <w:color w:val="auto"/>
              </w:rPr>
            </w:pPr>
            <w:r>
              <w:rPr>
                <w:rFonts w:ascii="Arial" w:cs="Arial" w:eastAsia="Arial" w:hAnsi="Arial"/>
                <w:sz w:val="18"/>
                <w:szCs w:val="18"/>
                <w:color w:val="auto"/>
              </w:rPr>
              <w:t>Lease assets obtained for new 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30"/>
        </w:trPr>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legal fees and fixed assets included in accounts payable and accrued expenses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8460" w:type="dxa"/>
            <w:vAlign w:val="bottom"/>
          </w:tcPr>
          <w:p>
            <w:pPr>
              <w:ind w:left="300"/>
              <w:spacing w:after="0"/>
              <w:rPr>
                <w:sz w:val="20"/>
                <w:szCs w:val="20"/>
                <w:color w:val="auto"/>
              </w:rPr>
            </w:pPr>
            <w:r>
              <w:rPr>
                <w:rFonts w:ascii="Arial" w:cs="Arial" w:eastAsia="Arial" w:hAnsi="Arial"/>
                <w:sz w:val="18"/>
                <w:szCs w:val="18"/>
                <w:color w:val="auto"/>
              </w:rPr>
              <w:t>Property and equipment additions from utilization of tenant improvement allowance</w:t>
            </w: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w:t>
            </w: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Business Organization</w:t>
      </w:r>
    </w:p>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Supernus Pharmaceuticals, Inc. (the "Company", see Note 2, </w:t>
      </w:r>
      <w:r>
        <w:rPr>
          <w:rFonts w:ascii="Arial" w:cs="Arial" w:eastAsia="Arial" w:hAnsi="Arial"/>
          <w:sz w:val="18"/>
          <w:szCs w:val="18"/>
          <w:i w:val="1"/>
          <w:iCs w:val="1"/>
          <w:color w:val="auto"/>
        </w:rPr>
        <w:t>Consolidation</w:t>
      </w:r>
      <w:r>
        <w:rPr>
          <w:rFonts w:ascii="Arial" w:cs="Arial" w:eastAsia="Arial" w:hAnsi="Arial"/>
          <w:sz w:val="18"/>
          <w:szCs w:val="18"/>
          <w:color w:val="auto"/>
        </w:rPr>
        <w:t>)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spacing w:after="0" w:line="147"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The Company has eight commercial products that it markets: Qelbree</w:t>
      </w:r>
      <w:r>
        <w:rPr>
          <w:rFonts w:ascii="Arial" w:cs="Arial" w:eastAsia="Arial" w:hAnsi="Arial"/>
          <w:sz w:val="23"/>
          <w:szCs w:val="23"/>
          <w:color w:val="auto"/>
          <w:vertAlign w:val="superscript"/>
        </w:rPr>
        <w:t>®</w:t>
      </w:r>
      <w:r>
        <w:rPr>
          <w:rFonts w:ascii="Arial" w:cs="Arial" w:eastAsia="Arial" w:hAnsi="Arial"/>
          <w:sz w:val="18"/>
          <w:szCs w:val="18"/>
          <w:color w:val="auto"/>
        </w:rPr>
        <w:t>, GOCOVRI</w:t>
      </w:r>
      <w:r>
        <w:rPr>
          <w:rFonts w:ascii="Arial" w:cs="Arial" w:eastAsia="Arial" w:hAnsi="Arial"/>
          <w:sz w:val="23"/>
          <w:szCs w:val="23"/>
          <w:color w:val="auto"/>
          <w:vertAlign w:val="superscript"/>
        </w:rPr>
        <w:t>®</w:t>
      </w:r>
      <w:r>
        <w:rPr>
          <w:rFonts w:ascii="Arial" w:cs="Arial" w:eastAsia="Arial" w:hAnsi="Arial"/>
          <w:sz w:val="18"/>
          <w:szCs w:val="18"/>
          <w:color w:val="auto"/>
        </w:rPr>
        <w:t>, Trokendi XR</w:t>
      </w:r>
      <w:r>
        <w:rPr>
          <w:rFonts w:ascii="Arial" w:cs="Arial" w:eastAsia="Arial" w:hAnsi="Arial"/>
          <w:sz w:val="23"/>
          <w:szCs w:val="23"/>
          <w:color w:val="auto"/>
          <w:vertAlign w:val="superscript"/>
        </w:rPr>
        <w:t>®</w:t>
      </w:r>
      <w:r>
        <w:rPr>
          <w:rFonts w:ascii="Arial" w:cs="Arial" w:eastAsia="Arial" w:hAnsi="Arial"/>
          <w:sz w:val="18"/>
          <w:szCs w:val="18"/>
          <w:color w:val="auto"/>
        </w:rPr>
        <w:t>, Oxtellar XR</w:t>
      </w:r>
      <w:r>
        <w:rPr>
          <w:rFonts w:ascii="Arial" w:cs="Arial" w:eastAsia="Arial" w:hAnsi="Arial"/>
          <w:sz w:val="23"/>
          <w:szCs w:val="23"/>
          <w:color w:val="auto"/>
          <w:vertAlign w:val="superscript"/>
        </w:rPr>
        <w:t>®</w:t>
      </w:r>
      <w:r>
        <w:rPr>
          <w:rFonts w:ascii="Arial" w:cs="Arial" w:eastAsia="Arial" w:hAnsi="Arial"/>
          <w:sz w:val="18"/>
          <w:szCs w:val="18"/>
          <w:color w:val="auto"/>
        </w:rPr>
        <w:t>, APOKYN</w:t>
      </w:r>
      <w:r>
        <w:rPr>
          <w:rFonts w:ascii="Arial" w:cs="Arial" w:eastAsia="Arial" w:hAnsi="Arial"/>
          <w:sz w:val="23"/>
          <w:szCs w:val="23"/>
          <w:color w:val="auto"/>
          <w:vertAlign w:val="superscript"/>
        </w:rPr>
        <w:t>®</w:t>
      </w:r>
      <w:r>
        <w:rPr>
          <w:rFonts w:ascii="Arial" w:cs="Arial" w:eastAsia="Arial" w:hAnsi="Arial"/>
          <w:sz w:val="18"/>
          <w:szCs w:val="18"/>
          <w:color w:val="auto"/>
        </w:rPr>
        <w:t>, XADAGO</w:t>
      </w:r>
      <w:r>
        <w:rPr>
          <w:rFonts w:ascii="Arial" w:cs="Arial" w:eastAsia="Arial" w:hAnsi="Arial"/>
          <w:sz w:val="23"/>
          <w:szCs w:val="23"/>
          <w:color w:val="auto"/>
          <w:vertAlign w:val="superscript"/>
        </w:rPr>
        <w:t>®</w:t>
      </w:r>
      <w:r>
        <w:rPr>
          <w:rFonts w:ascii="Arial" w:cs="Arial" w:eastAsia="Arial" w:hAnsi="Arial"/>
          <w:sz w:val="18"/>
          <w:szCs w:val="18"/>
          <w:color w:val="auto"/>
        </w:rPr>
        <w:t>, Osmolex ER</w:t>
      </w:r>
      <w:r>
        <w:rPr>
          <w:rFonts w:ascii="Arial" w:cs="Arial" w:eastAsia="Arial" w:hAnsi="Arial"/>
          <w:sz w:val="23"/>
          <w:szCs w:val="23"/>
          <w:color w:val="auto"/>
          <w:vertAlign w:val="superscript"/>
        </w:rPr>
        <w:t>®</w:t>
      </w:r>
      <w:r>
        <w:rPr>
          <w:rFonts w:ascii="Arial" w:cs="Arial" w:eastAsia="Arial" w:hAnsi="Arial"/>
          <w:sz w:val="18"/>
          <w:szCs w:val="18"/>
          <w:color w:val="auto"/>
        </w:rPr>
        <w:t>, and MYOBLOC</w:t>
      </w:r>
      <w:r>
        <w:rPr>
          <w:rFonts w:ascii="Arial" w:cs="Arial" w:eastAsia="Arial" w:hAnsi="Arial"/>
          <w:sz w:val="23"/>
          <w:szCs w:val="23"/>
          <w:color w:val="auto"/>
          <w:vertAlign w:val="superscript"/>
        </w:rPr>
        <w:t>®</w:t>
      </w:r>
      <w:r>
        <w:rPr>
          <w:rFonts w:ascii="Arial" w:cs="Arial" w:eastAsia="Arial" w:hAnsi="Arial"/>
          <w:sz w:val="18"/>
          <w:szCs w:val="18"/>
          <w:color w:val="auto"/>
        </w:rPr>
        <w:t>. In addition, SPN-830 (apomorphine infusion device) is a late-stage drug/device combination product candidate for the continuous treatment of motor fluctuations ("off" episodes) in PD patients that are not adequately controlled with oral levodopa and one or more adjunct PD medications.</w:t>
      </w:r>
    </w:p>
    <w:p>
      <w:pPr>
        <w:spacing w:after="0" w:line="161" w:lineRule="exact"/>
        <w:rPr>
          <w:sz w:val="20"/>
          <w:szCs w:val="20"/>
          <w:color w:val="auto"/>
        </w:rPr>
      </w:pPr>
    </w:p>
    <w:p>
      <w:pPr>
        <w:ind w:right="7520" w:firstLine="8"/>
        <w:spacing w:after="0" w:line="464"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0" w:firstLine="648"/>
        <w:spacing w:after="0" w:line="275" w:lineRule="auto"/>
        <w:rPr>
          <w:sz w:val="20"/>
          <w:szCs w:val="20"/>
          <w:color w:val="auto"/>
        </w:rPr>
      </w:pPr>
      <w:r>
        <w:rPr>
          <w:rFonts w:ascii="Arial" w:cs="Arial" w:eastAsia="Arial" w:hAnsi="Arial"/>
          <w:sz w:val="17"/>
          <w:szCs w:val="17"/>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2022, filed with the SEC.</w:t>
      </w:r>
    </w:p>
    <w:p>
      <w:pPr>
        <w:spacing w:after="0" w:line="13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management’s opinion, the unaudited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which is primarily located in the U.S., operates in one operating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8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Company's unaudited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significant intercompany transactions and balances have been eliminated in consolidation.</w:t>
      </w:r>
    </w:p>
    <w:p>
      <w:pPr>
        <w:spacing w:after="0" w:line="13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unaudited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w:t>
      </w:r>
    </w:p>
    <w:p>
      <w:pPr>
        <w:spacing w:after="0" w:line="14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continuously assesses whether it is the primary beneficiary of a VIE as changes to existing relationships or future transactions may affect its conclusions.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Advertising expense includes the cost of promotional materials and activities, such as printed materials and digital marketing, marketing programs and speaker programs. The costs of the Company's advertising efforts are expensed as incurred.</w:t>
      </w:r>
    </w:p>
    <w:p>
      <w:pPr>
        <w:spacing w:after="0" w:line="143"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 xml:space="preserve">The Company incurred approximately $25.1 million and $76.9 million in advertising expense for the three and nine months ended September 30, 2023, respectively, and approximately $52.0 million and $112.8 million for the three and nine months ended September 30, 2022. These expenses are recorded as a component of </w:t>
      </w: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xml:space="preserve"> in the unaudited condensed consolidated statements of earnings (loss).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89"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 xml:space="preserve">On March 30, 2023, the Company transferred funds totaling $403.8 million, which was reported as restricted cash in the first quarter of 2023, to the Trustee (Wilmington Trust) related to the repayment of the 2023 Notes. On April 1, 2023, the Company paid the total principal amount due of $402.5 million under the 2023 Notes and the remaining outstanding interest due of $1.3 million with the restricted cash. Refer to Note 8, </w:t>
      </w:r>
      <w:r>
        <w:rPr>
          <w:rFonts w:ascii="Arial" w:cs="Arial" w:eastAsia="Arial" w:hAnsi="Arial"/>
          <w:sz w:val="16"/>
          <w:szCs w:val="16"/>
          <w:i w:val="1"/>
          <w:iCs w:val="1"/>
          <w:color w:val="auto"/>
        </w:rPr>
        <w:t>Debt</w:t>
      </w:r>
      <w:r>
        <w:rPr>
          <w:rFonts w:ascii="Arial" w:cs="Arial" w:eastAsia="Arial" w:hAnsi="Arial"/>
          <w:sz w:val="16"/>
          <w:szCs w:val="16"/>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of Credit</w:t>
      </w:r>
    </w:p>
    <w:p>
      <w:pPr>
        <w:spacing w:after="0" w:line="18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 xml:space="preserve">Line of credit includes borrowings under the uncommitted demand secured line of credit. On February 8, 2023, the Company entered into a credit line agreement (the “Credit Line”) with UBS Bank USA (“UBS”). The Credit Line provides for a revolving line of credit of up to $150 million, which can be drawn at any time. Refer to Note 8,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Accounting Standards Update (ASU) 2020-06,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w:t>
      </w:r>
      <w:r>
        <w:rPr>
          <w:rFonts w:ascii="Arial" w:cs="Arial" w:eastAsia="Arial" w:hAnsi="Arial"/>
          <w:sz w:val="16"/>
          <w:szCs w:val="16"/>
          <w:i w:val="1"/>
          <w:iCs w:val="1"/>
          <w:color w:val="auto"/>
        </w:rPr>
        <w:t xml:space="preserve"> Accounting for Convertible Instruments and Contracts in an Entity's Own Equity </w:t>
      </w:r>
      <w:r>
        <w:rPr>
          <w:rFonts w:ascii="Arial" w:cs="Arial" w:eastAsia="Arial" w:hAnsi="Arial"/>
          <w:sz w:val="16"/>
          <w:szCs w:val="16"/>
          <w:color w:val="auto"/>
        </w:rPr>
        <w:t>- The new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issued in August 2020, simplifies the accounting for certain financial instruments with characteristics of liabilities and equity, including convertible debt instruments with cash conversion and beneficial conversion features. ASU 2020-06 eliminates requirements to separately account for liability and equity components of such convertible debt instruments and eliminates the ability to use the treasury stock method for calculating diluted earnings per share for convertible instruments whose principal amount may be settled in whole or in part with equity. Instead, ASU 2020-06 requires (i) the entire amount of the security to be presented as a liability on the balance sheet and (ii) application of the “if-converted” method for calculating diluted earnings per share. This new standard also removes certain settlement conditions required for equity contracts to qualify for the derivative scope exception.</w:t>
      </w:r>
    </w:p>
    <w:p>
      <w:pPr>
        <w:spacing w:after="0" w:line="1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adopted the new guidance as of January 1, 2022 using the modified retrospective method of transition which allows for a cumulative-effect adjustment to the opening balance of retained earnings in the period of adoption. As a result, the cumulative effect of the accounting change increased the carrying amount of the convertible notes, net by $20.6 million, increased retained earnings by $40.6 million, reduced additional paid-in capital by $56.2 million, and decreased deferred tax liabilities by $5.0 million as of January 1, 2022. Upon adoption, the Company began calculating diluted earnings per share under the if-converted method.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Disaggregated Revenues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disaggregation of revenues by product or source,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3"/>
              </w:rPr>
              <w:t>Nine Months Ended</w:t>
            </w:r>
          </w:p>
        </w:tc>
        <w:tc>
          <w:tcPr>
            <w:tcW w:w="1000" w:type="dxa"/>
            <w:vAlign w:val="bottom"/>
          </w:tcPr>
          <w:p>
            <w:pPr>
              <w:spacing w:after="0"/>
              <w:rPr>
                <w:sz w:val="14"/>
                <w:szCs w:val="14"/>
                <w:color w:val="auto"/>
              </w:rPr>
            </w:pPr>
          </w:p>
        </w:tc>
      </w:tr>
      <w:tr>
        <w:trPr>
          <w:trHeight w:val="192"/>
        </w:trPr>
        <w:tc>
          <w:tcPr>
            <w:tcW w:w="45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r>
      <w:tr>
        <w:trPr>
          <w:trHeight w:val="196"/>
        </w:trPr>
        <w:tc>
          <w:tcPr>
            <w:tcW w:w="45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194"/>
        </w:trPr>
        <w:tc>
          <w:tcPr>
            <w:tcW w:w="4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4"/>
              </w:rPr>
              <w:t>(unaudited)</w:t>
            </w:r>
          </w:p>
        </w:tc>
        <w:tc>
          <w:tcPr>
            <w:tcW w:w="1000" w:type="dxa"/>
            <w:vAlign w:val="bottom"/>
          </w:tcPr>
          <w:p>
            <w:pPr>
              <w:spacing w:after="0"/>
              <w:rPr>
                <w:sz w:val="16"/>
                <w:szCs w:val="16"/>
                <w:color w:val="auto"/>
              </w:rPr>
            </w:pPr>
          </w:p>
        </w:tc>
      </w:tr>
      <w:tr>
        <w:trPr>
          <w:trHeight w:val="23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Qelbree</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37,081</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18,326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93,840</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37,708</w:t>
            </w: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GOCOVRI</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75,179</w:t>
            </w: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Oxtellar XR</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29,644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82,359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88,007</w:t>
            </w: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Trokendi XR</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204,033</w:t>
            </w: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APOKYN</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21,510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57,156</w:t>
            </w:r>
          </w:p>
        </w:tc>
      </w:tr>
      <w:tr>
        <w:trPr>
          <w:trHeight w:val="229"/>
        </w:trPr>
        <w:tc>
          <w:tcPr>
            <w:tcW w:w="45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23,564</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 net product sales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149,004</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172,724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417,915</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485,647</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14,263</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153,880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177,353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443,207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499,910</w:t>
            </w:r>
          </w:p>
        </w:tc>
      </w:tr>
      <w:tr>
        <w:trPr>
          <w:trHeight w:val="20"/>
        </w:trPr>
        <w:tc>
          <w:tcPr>
            <w:tcW w:w="4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ind w:left="340" w:hanging="170"/>
        <w:spacing w:after="0" w:line="225" w:lineRule="auto"/>
        <w:tabs>
          <w:tab w:leader="none" w:pos="34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Includes net product sales of MYOBLOC, XADAGO and Osmolex ER.</w:t>
      </w:r>
    </w:p>
    <w:p>
      <w:pPr>
        <w:spacing w:after="0" w:line="168" w:lineRule="exact"/>
        <w:rPr>
          <w:sz w:val="20"/>
          <w:szCs w:val="20"/>
          <w:color w:val="auto"/>
        </w:rPr>
      </w:pPr>
    </w:p>
    <w:p>
      <w:pPr>
        <w:ind w:left="180" w:right="160" w:firstLine="648"/>
        <w:spacing w:after="0" w:line="277" w:lineRule="auto"/>
        <w:rPr>
          <w:sz w:val="20"/>
          <w:szCs w:val="20"/>
          <w:color w:val="auto"/>
        </w:rPr>
      </w:pPr>
      <w:r>
        <w:rPr>
          <w:rFonts w:ascii="Arial" w:cs="Arial" w:eastAsia="Arial" w:hAnsi="Arial"/>
          <w:sz w:val="18"/>
          <w:szCs w:val="18"/>
          <w:color w:val="auto"/>
        </w:rPr>
        <w:t>The decrease in Trokendi XR net product sales for the three and nine months ended September 30, 2023, compared to the same period in 2022 was primarily attributable to the loss of exclusivity with generic entrants in January 2023.</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the percentage of net product sales to total net product sales:</w:t>
      </w:r>
    </w:p>
    <w:p>
      <w:pPr>
        <w:spacing w:after="0" w:line="221"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Percentage of Net Product Sales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540" w:type="dxa"/>
            <w:vAlign w:val="bottom"/>
          </w:tcPr>
          <w:p>
            <w:pPr>
              <w:spacing w:after="0"/>
              <w:rPr>
                <w:sz w:val="11"/>
                <w:szCs w:val="11"/>
                <w:color w:val="auto"/>
              </w:rPr>
            </w:pPr>
          </w:p>
        </w:tc>
        <w:tc>
          <w:tcPr>
            <w:tcW w:w="3400" w:type="dxa"/>
            <w:vAlign w:val="bottom"/>
            <w:tcBorders>
              <w:top w:val="single" w:sz="8" w:color="auto"/>
            </w:tcBorders>
            <w:gridSpan w:val="5"/>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Three Months Ended</w:t>
            </w:r>
          </w:p>
        </w:tc>
        <w:tc>
          <w:tcPr>
            <w:tcW w:w="102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gridSpan w:val="3"/>
          </w:tcPr>
          <w:p>
            <w:pPr>
              <w:jc w:val="center"/>
              <w:ind w:right="930"/>
              <w:spacing w:after="0" w:line="133" w:lineRule="exact"/>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4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0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Pr>
          <w:p>
            <w:pPr>
              <w:spacing w:after="0"/>
              <w:rPr>
                <w:sz w:val="16"/>
                <w:szCs w:val="16"/>
                <w:color w:val="auto"/>
              </w:rPr>
            </w:pPr>
          </w:p>
        </w:tc>
        <w:tc>
          <w:tcPr>
            <w:tcW w:w="2280" w:type="dxa"/>
            <w:vAlign w:val="bottom"/>
            <w:gridSpan w:val="3"/>
          </w:tcPr>
          <w:p>
            <w:pPr>
              <w:jc w:val="center"/>
              <w:ind w:right="950"/>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4540" w:type="dxa"/>
            <w:vAlign w:val="bottom"/>
          </w:tcPr>
          <w:p>
            <w:pPr>
              <w:spacing w:after="0"/>
              <w:rPr>
                <w:sz w:val="17"/>
                <w:szCs w:val="17"/>
                <w:color w:val="auto"/>
              </w:rPr>
            </w:pPr>
          </w:p>
        </w:tc>
        <w:tc>
          <w:tcPr>
            <w:tcW w:w="1100" w:type="dxa"/>
            <w:vAlign w:val="bottom"/>
            <w:tcBorders>
              <w:top w:val="single" w:sz="8" w:color="auto"/>
            </w:tcBorders>
          </w:tcPr>
          <w:p>
            <w:pPr>
              <w:jc w:val="center"/>
              <w:ind w:left="394"/>
              <w:spacing w:after="0"/>
              <w:rPr>
                <w:sz w:val="20"/>
                <w:szCs w:val="20"/>
                <w:color w:val="auto"/>
              </w:rPr>
            </w:pPr>
            <w:r>
              <w:rPr>
                <w:rFonts w:ascii="Arial" w:cs="Arial" w:eastAsia="Arial" w:hAnsi="Arial"/>
                <w:sz w:val="14"/>
                <w:szCs w:val="14"/>
                <w:b w:val="1"/>
                <w:bCs w:val="1"/>
                <w:color w:val="auto"/>
                <w:w w:val="96"/>
              </w:rPr>
              <w:t>2023</w:t>
            </w:r>
          </w:p>
        </w:tc>
        <w:tc>
          <w:tcPr>
            <w:tcW w:w="2200" w:type="dxa"/>
            <w:vAlign w:val="bottom"/>
            <w:tcBorders>
              <w:top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center"/>
              <w:ind w:left="492"/>
              <w:spacing w:after="0"/>
              <w:rPr>
                <w:sz w:val="20"/>
                <w:szCs w:val="20"/>
                <w:color w:val="auto"/>
              </w:rPr>
            </w:pPr>
            <w:r>
              <w:rPr>
                <w:rFonts w:ascii="Arial" w:cs="Arial" w:eastAsia="Arial" w:hAnsi="Arial"/>
                <w:sz w:val="14"/>
                <w:szCs w:val="14"/>
                <w:b w:val="1"/>
                <w:bCs w:val="1"/>
                <w:color w:val="auto"/>
                <w:w w:val="89"/>
              </w:rPr>
              <w:t>2023</w:t>
            </w:r>
          </w:p>
        </w:tc>
        <w:tc>
          <w:tcPr>
            <w:tcW w:w="2280" w:type="dxa"/>
            <w:vAlign w:val="bottom"/>
            <w:tcBorders>
              <w:top w:val="single" w:sz="8" w:color="auto"/>
            </w:tcBorders>
            <w:gridSpan w:val="3"/>
          </w:tcPr>
          <w:p>
            <w:pPr>
              <w:jc w:val="center"/>
              <w:ind w:left="597"/>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Qelbree</w:t>
            </w:r>
          </w:p>
        </w:tc>
        <w:tc>
          <w:tcPr>
            <w:tcW w:w="1100" w:type="dxa"/>
            <w:vAlign w:val="bottom"/>
            <w:tcBorders>
              <w:top w:val="single" w:sz="8" w:color="auto"/>
            </w:tcBorders>
            <w:shd w:val="clear" w:color="auto" w:fill="CCEEFF"/>
          </w:tcPr>
          <w:p>
            <w:pPr>
              <w:jc w:val="center"/>
              <w:ind w:left="394"/>
              <w:spacing w:after="0"/>
              <w:rPr>
                <w:sz w:val="20"/>
                <w:szCs w:val="20"/>
                <w:color w:val="auto"/>
              </w:rPr>
            </w:pPr>
            <w:r>
              <w:rPr>
                <w:rFonts w:ascii="Arial" w:cs="Arial" w:eastAsia="Arial" w:hAnsi="Arial"/>
                <w:sz w:val="18"/>
                <w:szCs w:val="18"/>
                <w:color w:val="auto"/>
                <w:w w:val="94"/>
              </w:rPr>
              <w:t>25%</w:t>
            </w: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color w:val="auto"/>
                <w:w w:val="88"/>
              </w:rPr>
              <w:t>22%</w:t>
            </w: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GOCOVRI</w:t>
            </w:r>
          </w:p>
        </w:tc>
        <w:tc>
          <w:tcPr>
            <w:tcW w:w="1100" w:type="dxa"/>
            <w:vAlign w:val="bottom"/>
          </w:tcPr>
          <w:p>
            <w:pPr>
              <w:jc w:val="center"/>
              <w:ind w:left="394"/>
              <w:spacing w:after="0"/>
              <w:rPr>
                <w:sz w:val="20"/>
                <w:szCs w:val="20"/>
                <w:color w:val="auto"/>
              </w:rPr>
            </w:pPr>
            <w:r>
              <w:rPr>
                <w:rFonts w:ascii="Arial" w:cs="Arial" w:eastAsia="Arial" w:hAnsi="Arial"/>
                <w:sz w:val="18"/>
                <w:szCs w:val="18"/>
                <w:color w:val="auto"/>
                <w:w w:val="94"/>
              </w:rPr>
              <w:t>22%</w:t>
            </w:r>
          </w:p>
        </w:tc>
        <w:tc>
          <w:tcPr>
            <w:tcW w:w="2200" w:type="dxa"/>
            <w:vAlign w:val="bottom"/>
            <w:gridSpan w:val="3"/>
          </w:tcPr>
          <w:p>
            <w:pPr>
              <w:jc w:val="center"/>
              <w:ind w:left="495"/>
              <w:spacing w:after="0"/>
              <w:rPr>
                <w:sz w:val="20"/>
                <w:szCs w:val="20"/>
                <w:color w:val="auto"/>
              </w:rPr>
            </w:pPr>
            <w:r>
              <w:rPr>
                <w:rFonts w:ascii="Arial" w:cs="Arial" w:eastAsia="Arial" w:hAnsi="Arial"/>
                <w:sz w:val="18"/>
                <w:szCs w:val="18"/>
                <w:color w:val="auto"/>
                <w:w w:val="94"/>
              </w:rPr>
              <w:t>16%</w:t>
            </w:r>
          </w:p>
        </w:tc>
        <w:tc>
          <w:tcPr>
            <w:tcW w:w="100" w:type="dxa"/>
            <w:vAlign w:val="bottom"/>
          </w:tcPr>
          <w:p>
            <w:pPr>
              <w:spacing w:after="0"/>
              <w:rPr>
                <w:sz w:val="19"/>
                <w:szCs w:val="19"/>
                <w:color w:val="auto"/>
              </w:rPr>
            </w:pPr>
          </w:p>
        </w:tc>
        <w:tc>
          <w:tcPr>
            <w:tcW w:w="1020" w:type="dxa"/>
            <w:vAlign w:val="bottom"/>
          </w:tcPr>
          <w:p>
            <w:pPr>
              <w:jc w:val="center"/>
              <w:ind w:left="492"/>
              <w:spacing w:after="0"/>
              <w:rPr>
                <w:sz w:val="20"/>
                <w:szCs w:val="20"/>
                <w:color w:val="auto"/>
              </w:rPr>
            </w:pPr>
            <w:r>
              <w:rPr>
                <w:rFonts w:ascii="Arial" w:cs="Arial" w:eastAsia="Arial" w:hAnsi="Arial"/>
                <w:sz w:val="18"/>
                <w:szCs w:val="18"/>
                <w:color w:val="auto"/>
                <w:w w:val="88"/>
              </w:rPr>
              <w:t>21%</w:t>
            </w:r>
          </w:p>
        </w:tc>
        <w:tc>
          <w:tcPr>
            <w:tcW w:w="2280" w:type="dxa"/>
            <w:vAlign w:val="bottom"/>
            <w:gridSpan w:val="3"/>
          </w:tcPr>
          <w:p>
            <w:pPr>
              <w:jc w:val="center"/>
              <w:ind w:left="597"/>
              <w:spacing w:after="0"/>
              <w:rPr>
                <w:sz w:val="20"/>
                <w:szCs w:val="20"/>
                <w:color w:val="auto"/>
              </w:rPr>
            </w:pPr>
            <w:r>
              <w:rPr>
                <w:rFonts w:ascii="Arial" w:cs="Arial" w:eastAsia="Arial" w:hAnsi="Arial"/>
                <w:sz w:val="18"/>
                <w:szCs w:val="18"/>
                <w:color w:val="auto"/>
                <w:w w:val="88"/>
              </w:rPr>
              <w:t>15%</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Oxtellar XR</w:t>
            </w:r>
          </w:p>
        </w:tc>
        <w:tc>
          <w:tcPr>
            <w:tcW w:w="110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94"/>
              </w:rPr>
              <w:t>20%</w:t>
            </w:r>
          </w:p>
        </w:tc>
        <w:tc>
          <w:tcPr>
            <w:tcW w:w="2200" w:type="dxa"/>
            <w:vAlign w:val="bottom"/>
            <w:gridSpan w:val="3"/>
            <w:shd w:val="clear" w:color="auto" w:fill="CCEEFF"/>
          </w:tcPr>
          <w:p>
            <w:pPr>
              <w:jc w:val="center"/>
              <w:ind w:left="495"/>
              <w:spacing w:after="0"/>
              <w:rPr>
                <w:sz w:val="20"/>
                <w:szCs w:val="20"/>
                <w:color w:val="auto"/>
              </w:rPr>
            </w:pPr>
            <w:r>
              <w:rPr>
                <w:rFonts w:ascii="Arial" w:cs="Arial" w:eastAsia="Arial" w:hAnsi="Arial"/>
                <w:sz w:val="18"/>
                <w:szCs w:val="18"/>
                <w:color w:val="auto"/>
                <w:w w:val="94"/>
              </w:rPr>
              <w:t>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8"/>
              </w:rPr>
              <w:t>20%</w:t>
            </w:r>
          </w:p>
        </w:tc>
        <w:tc>
          <w:tcPr>
            <w:tcW w:w="2280" w:type="dxa"/>
            <w:vAlign w:val="bottom"/>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18%</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Trokendi XR</w:t>
            </w:r>
          </w:p>
        </w:tc>
        <w:tc>
          <w:tcPr>
            <w:tcW w:w="1100" w:type="dxa"/>
            <w:vAlign w:val="bottom"/>
          </w:tcPr>
          <w:p>
            <w:pPr>
              <w:jc w:val="center"/>
              <w:ind w:left="394"/>
              <w:spacing w:after="0"/>
              <w:rPr>
                <w:sz w:val="20"/>
                <w:szCs w:val="20"/>
                <w:color w:val="auto"/>
              </w:rPr>
            </w:pPr>
            <w:r>
              <w:rPr>
                <w:rFonts w:ascii="Arial" w:cs="Arial" w:eastAsia="Arial" w:hAnsi="Arial"/>
                <w:sz w:val="18"/>
                <w:szCs w:val="18"/>
                <w:color w:val="auto"/>
                <w:w w:val="94"/>
              </w:rPr>
              <w:t>14%</w:t>
            </w:r>
          </w:p>
        </w:tc>
        <w:tc>
          <w:tcPr>
            <w:tcW w:w="2200" w:type="dxa"/>
            <w:vAlign w:val="bottom"/>
            <w:gridSpan w:val="3"/>
          </w:tcPr>
          <w:p>
            <w:pPr>
              <w:jc w:val="center"/>
              <w:ind w:left="495"/>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19"/>
                <w:szCs w:val="19"/>
                <w:color w:val="auto"/>
              </w:rPr>
            </w:pPr>
          </w:p>
        </w:tc>
        <w:tc>
          <w:tcPr>
            <w:tcW w:w="1020" w:type="dxa"/>
            <w:vAlign w:val="bottom"/>
          </w:tcPr>
          <w:p>
            <w:pPr>
              <w:jc w:val="center"/>
              <w:ind w:left="492"/>
              <w:spacing w:after="0"/>
              <w:rPr>
                <w:sz w:val="20"/>
                <w:szCs w:val="20"/>
                <w:color w:val="auto"/>
              </w:rPr>
            </w:pPr>
            <w:r>
              <w:rPr>
                <w:rFonts w:ascii="Arial" w:cs="Arial" w:eastAsia="Arial" w:hAnsi="Arial"/>
                <w:sz w:val="18"/>
                <w:szCs w:val="18"/>
                <w:color w:val="auto"/>
                <w:w w:val="88"/>
              </w:rPr>
              <w:t>18%</w:t>
            </w:r>
          </w:p>
        </w:tc>
        <w:tc>
          <w:tcPr>
            <w:tcW w:w="2280" w:type="dxa"/>
            <w:vAlign w:val="bottom"/>
            <w:gridSpan w:val="3"/>
          </w:tcPr>
          <w:p>
            <w:pPr>
              <w:jc w:val="center"/>
              <w:ind w:left="597"/>
              <w:spacing w:after="0"/>
              <w:rPr>
                <w:sz w:val="20"/>
                <w:szCs w:val="20"/>
                <w:color w:val="auto"/>
              </w:rPr>
            </w:pPr>
            <w:r>
              <w:rPr>
                <w:rFonts w:ascii="Arial" w:cs="Arial" w:eastAsia="Arial" w:hAnsi="Arial"/>
                <w:sz w:val="18"/>
                <w:szCs w:val="18"/>
                <w:color w:val="auto"/>
                <w:w w:val="88"/>
              </w:rPr>
              <w:t>42%</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APOKYN</w:t>
            </w:r>
          </w:p>
        </w:tc>
        <w:tc>
          <w:tcPr>
            <w:tcW w:w="110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94"/>
              </w:rPr>
              <w:t>14%</w:t>
            </w:r>
          </w:p>
        </w:tc>
        <w:tc>
          <w:tcPr>
            <w:tcW w:w="2200" w:type="dxa"/>
            <w:vAlign w:val="bottom"/>
            <w:gridSpan w:val="3"/>
            <w:shd w:val="clear" w:color="auto" w:fill="CCEEFF"/>
          </w:tcPr>
          <w:p>
            <w:pPr>
              <w:jc w:val="center"/>
              <w:ind w:left="495"/>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8"/>
              </w:rPr>
              <w:t>13%</w:t>
            </w:r>
          </w:p>
        </w:tc>
        <w:tc>
          <w:tcPr>
            <w:tcW w:w="2280" w:type="dxa"/>
            <w:vAlign w:val="bottom"/>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12%</w:t>
            </w:r>
          </w:p>
        </w:tc>
      </w:tr>
      <w:tr>
        <w:trPr>
          <w:trHeight w:val="229"/>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100" w:type="dxa"/>
            <w:vAlign w:val="bottom"/>
          </w:tcPr>
          <w:p>
            <w:pPr>
              <w:jc w:val="center"/>
              <w:ind w:left="414"/>
              <w:spacing w:after="0"/>
              <w:rPr>
                <w:sz w:val="20"/>
                <w:szCs w:val="20"/>
                <w:color w:val="auto"/>
              </w:rPr>
            </w:pPr>
            <w:r>
              <w:rPr>
                <w:rFonts w:ascii="Arial" w:cs="Arial" w:eastAsia="Arial" w:hAnsi="Arial"/>
                <w:sz w:val="18"/>
                <w:szCs w:val="18"/>
                <w:color w:val="auto"/>
                <w:w w:val="92"/>
              </w:rPr>
              <w:t>5%</w:t>
            </w:r>
          </w:p>
        </w:tc>
        <w:tc>
          <w:tcPr>
            <w:tcW w:w="2200" w:type="dxa"/>
            <w:vAlign w:val="bottom"/>
            <w:gridSpan w:val="3"/>
          </w:tcPr>
          <w:p>
            <w:pPr>
              <w:jc w:val="center"/>
              <w:ind w:left="515"/>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19"/>
                <w:szCs w:val="19"/>
                <w:color w:val="auto"/>
              </w:rPr>
            </w:pPr>
          </w:p>
        </w:tc>
        <w:tc>
          <w:tcPr>
            <w:tcW w:w="1020" w:type="dxa"/>
            <w:vAlign w:val="bottom"/>
          </w:tcPr>
          <w:p>
            <w:pPr>
              <w:jc w:val="center"/>
              <w:ind w:left="492"/>
              <w:spacing w:after="0"/>
              <w:rPr>
                <w:sz w:val="20"/>
                <w:szCs w:val="20"/>
                <w:color w:val="auto"/>
              </w:rPr>
            </w:pPr>
            <w:r>
              <w:rPr>
                <w:rFonts w:ascii="Arial" w:cs="Arial" w:eastAsia="Arial" w:hAnsi="Arial"/>
                <w:sz w:val="18"/>
                <w:szCs w:val="18"/>
                <w:color w:val="auto"/>
                <w:w w:val="92"/>
              </w:rPr>
              <w:t>6%</w:t>
            </w:r>
          </w:p>
        </w:tc>
        <w:tc>
          <w:tcPr>
            <w:tcW w:w="2280" w:type="dxa"/>
            <w:vAlign w:val="bottom"/>
            <w:gridSpan w:val="3"/>
          </w:tcPr>
          <w:p>
            <w:pPr>
              <w:jc w:val="center"/>
              <w:ind w:left="597"/>
              <w:spacing w:after="0"/>
              <w:rPr>
                <w:sz w:val="20"/>
                <w:szCs w:val="20"/>
                <w:color w:val="auto"/>
              </w:rPr>
            </w:pPr>
            <w:r>
              <w:rPr>
                <w:rFonts w:ascii="Arial" w:cs="Arial" w:eastAsia="Arial" w:hAnsi="Arial"/>
                <w:sz w:val="18"/>
                <w:szCs w:val="18"/>
                <w:color w:val="auto"/>
                <w:w w:val="92"/>
              </w:rPr>
              <w:t>5%</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jc w:val="center"/>
              <w:ind w:left="394"/>
              <w:spacing w:after="0"/>
              <w:rPr>
                <w:sz w:val="20"/>
                <w:szCs w:val="20"/>
                <w:color w:val="auto"/>
              </w:rPr>
            </w:pPr>
            <w:r>
              <w:rPr>
                <w:rFonts w:ascii="Arial" w:cs="Arial" w:eastAsia="Arial" w:hAnsi="Arial"/>
                <w:sz w:val="18"/>
                <w:szCs w:val="18"/>
                <w:color w:val="auto"/>
                <w:w w:val="91"/>
              </w:rPr>
              <w:t>100%</w:t>
            </w: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91"/>
              </w:rPr>
              <w:t>100%</w:t>
            </w: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ind w:left="340" w:hanging="170"/>
        <w:spacing w:after="0"/>
        <w:tabs>
          <w:tab w:leader="none" w:pos="34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Includes net product sales of MYOBLOC, XADAGO and Osmolex ER.</w:t>
      </w:r>
    </w:p>
    <w:p>
      <w:pPr>
        <w:spacing w:after="0" w:line="153"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Each of our three major customers, AmerisourceBergen Drug Corporation, Cardinal Health, Inc. and McKesson Corporation, individually accounted for more than 20% of our total net product sales and collectively accounted for more than 70% of our total net product sales for the three and nine months ended September 30, 2023 and 2022.</w:t>
      </w:r>
    </w:p>
    <w:p>
      <w:pPr>
        <w:spacing w:after="0" w:line="157"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 xml:space="preserve">The Company recognized noncash royalty revenue of $4.0 million for the nine months ended September 30, 2023. The Company recognized noncash royalty revenue of $2.5 million and $7.2 million for the three and nine months ended September 30, 2022, respectively. Refer to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Unrestricted available-for-sale marketable securities held by the Company are as follows,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8"/>
        </w:trPr>
        <w:tc>
          <w:tcPr>
            <w:tcW w:w="79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38"/>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municipal debt securities</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7900" w:type="dxa"/>
            <w:vAlign w:val="bottom"/>
          </w:tcPr>
          <w:p>
            <w:pPr>
              <w:ind w:left="140"/>
              <w:spacing w:after="0"/>
              <w:rPr>
                <w:sz w:val="20"/>
                <w:szCs w:val="20"/>
                <w:color w:val="auto"/>
              </w:rPr>
            </w:pPr>
            <w:r>
              <w:rPr>
                <w:rFonts w:ascii="Arial" w:cs="Arial" w:eastAsia="Arial" w:hAnsi="Arial"/>
                <w:sz w:val="18"/>
                <w:szCs w:val="18"/>
                <w:color w:val="auto"/>
              </w:rPr>
              <w:t>Amortized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131,891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466,333</w:t>
            </w: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unrealized gains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Gross unrealized losses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462,110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contractual maturities of the unrestricted available-for-sale marketable securities held by the Company are as follows,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than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year to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46" w:lineRule="exact"/>
        <w:rPr>
          <w:sz w:val="20"/>
          <w:szCs w:val="20"/>
          <w:color w:val="auto"/>
        </w:rPr>
      </w:pPr>
    </w:p>
    <w:p>
      <w:pPr>
        <w:ind w:firstLine="648"/>
        <w:spacing w:after="0" w:line="461" w:lineRule="auto"/>
        <w:rPr>
          <w:sz w:val="20"/>
          <w:szCs w:val="20"/>
          <w:color w:val="auto"/>
        </w:rPr>
      </w:pPr>
      <w:r>
        <w:rPr>
          <w:rFonts w:ascii="Arial" w:cs="Arial" w:eastAsia="Arial" w:hAnsi="Arial"/>
          <w:sz w:val="18"/>
          <w:szCs w:val="18"/>
          <w:color w:val="auto"/>
        </w:rPr>
        <w:t xml:space="preserve">As of September 30, 2023, there was no impairment due to credit loss on any available-for-sale marketable securities. </w:t>
      </w:r>
      <w:r>
        <w:rPr>
          <w:rFonts w:ascii="Arial" w:cs="Arial" w:eastAsia="Arial" w:hAnsi="Arial"/>
          <w:sz w:val="18"/>
          <w:szCs w:val="18"/>
          <w:i w:val="1"/>
          <w:iCs w:val="1"/>
          <w:color w:val="auto"/>
        </w:rPr>
        <w:t>Investment in Navitor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Agreement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ind w:right="18"/>
        <w:spacing w:after="0"/>
        <w:rPr>
          <w:sz w:val="20"/>
          <w:szCs w:val="20"/>
          <w:color w:val="auto"/>
        </w:rPr>
      </w:pPr>
      <w:r>
        <w:rPr>
          <w:rFonts w:ascii="Arial" w:cs="Arial" w:eastAsia="Arial" w:hAnsi="Arial"/>
          <w:sz w:val="14"/>
          <w:szCs w:val="14"/>
          <w:b w:val="1"/>
          <w:bCs w:val="1"/>
          <w:color w:val="auto"/>
        </w:rPr>
        <w:t>September 30,</w:t>
      </w:r>
    </w:p>
    <w:p>
      <w:pPr>
        <w:spacing w:after="0" w:line="4" w:lineRule="exact"/>
        <w:rPr>
          <w:sz w:val="20"/>
          <w:szCs w:val="20"/>
          <w:color w:val="auto"/>
        </w:rPr>
      </w:pPr>
    </w:p>
    <w:p>
      <w:pPr>
        <w:jc w:val="center"/>
        <w:ind w:right="18"/>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1028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6" w:lineRule="exact"/>
        <w:rPr>
          <w:sz w:val="20"/>
          <w:szCs w:val="20"/>
          <w:color w:val="auto"/>
        </w:rPr>
      </w:pPr>
    </w:p>
    <w:p>
      <w:pPr>
        <w:ind w:left="442"/>
        <w:spacing w:after="0"/>
        <w:rPr>
          <w:sz w:val="20"/>
          <w:szCs w:val="20"/>
          <w:color w:val="auto"/>
        </w:rPr>
      </w:pPr>
      <w:r>
        <w:rPr>
          <w:rFonts w:ascii="Arial" w:cs="Arial" w:eastAsia="Arial" w:hAnsi="Arial"/>
          <w:sz w:val="14"/>
          <w:szCs w:val="14"/>
          <w:b w:val="1"/>
          <w:bCs w:val="1"/>
          <w:color w:val="auto"/>
        </w:rPr>
        <w:t>(unaudited)</w:t>
      </w:r>
    </w:p>
    <w:p>
      <w:pPr>
        <w:spacing w:after="0" w:line="50" w:lineRule="exact"/>
        <w:rPr>
          <w:sz w:val="20"/>
          <w:szCs w:val="20"/>
          <w:color w:val="auto"/>
        </w:rPr>
      </w:pPr>
    </w:p>
    <w:p>
      <w:pPr>
        <w:ind w:left="942" w:hanging="942"/>
        <w:spacing w:after="0"/>
        <w:tabs>
          <w:tab w:leader="none" w:pos="942" w:val="left"/>
        </w:tabs>
        <w:numPr>
          <w:ilvl w:val="0"/>
          <w:numId w:val="7"/>
        </w:numPr>
        <w:rPr>
          <w:rFonts w:ascii="Arial" w:cs="Arial" w:eastAsia="Arial" w:hAnsi="Arial"/>
          <w:sz w:val="16"/>
          <w:szCs w:val="16"/>
          <w:color w:val="auto"/>
        </w:rPr>
      </w:pPr>
      <w:r>
        <w:rPr>
          <w:rFonts w:ascii="Arial" w:cs="Arial" w:eastAsia="Arial" w:hAnsi="Arial"/>
          <w:sz w:val="16"/>
          <w:szCs w:val="16"/>
          <w:color w:val="auto"/>
        </w:rPr>
        <w:t>105,204</w:t>
      </w:r>
    </w:p>
    <w:p>
      <w:pPr>
        <w:spacing w:after="0" w:line="46" w:lineRule="exact"/>
        <w:rPr>
          <w:rFonts w:ascii="Arial" w:cs="Arial" w:eastAsia="Arial" w:hAnsi="Arial"/>
          <w:sz w:val="16"/>
          <w:szCs w:val="16"/>
          <w:color w:val="auto"/>
        </w:rPr>
      </w:pPr>
    </w:p>
    <w:p>
      <w:pPr>
        <w:ind w:left="1042"/>
        <w:spacing w:after="0"/>
        <w:rPr>
          <w:rFonts w:ascii="Arial" w:cs="Arial" w:eastAsia="Arial" w:hAnsi="Arial"/>
          <w:sz w:val="16"/>
          <w:szCs w:val="16"/>
          <w:color w:val="auto"/>
        </w:rPr>
      </w:pPr>
      <w:r>
        <w:rPr>
          <w:rFonts w:ascii="Arial" w:cs="Arial" w:eastAsia="Arial" w:hAnsi="Arial"/>
          <w:sz w:val="15"/>
          <w:szCs w:val="15"/>
          <w:color w:val="auto"/>
        </w:rPr>
        <w:t>25,125</w:t>
      </w:r>
    </w:p>
    <w:p>
      <w:pPr>
        <w:spacing w:after="0" w:line="70" w:lineRule="exact"/>
        <w:rPr>
          <w:sz w:val="20"/>
          <w:szCs w:val="20"/>
          <w:color w:val="auto"/>
        </w:rPr>
      </w:pPr>
    </w:p>
    <w:p>
      <w:pPr>
        <w:ind w:left="942" w:hanging="942"/>
        <w:spacing w:after="0"/>
        <w:tabs>
          <w:tab w:leader="none" w:pos="942" w:val="left"/>
        </w:tabs>
        <w:numPr>
          <w:ilvl w:val="0"/>
          <w:numId w:val="8"/>
        </w:numPr>
        <w:rPr>
          <w:rFonts w:ascii="Arial" w:cs="Arial" w:eastAsia="Arial" w:hAnsi="Arial"/>
          <w:sz w:val="16"/>
          <w:szCs w:val="16"/>
          <w:color w:val="auto"/>
        </w:rPr>
      </w:pPr>
      <w:r>
        <w:rPr>
          <w:rFonts w:ascii="Arial" w:cs="Arial" w:eastAsia="Arial" w:hAnsi="Arial"/>
          <w:sz w:val="16"/>
          <w:szCs w:val="16"/>
          <w:color w:val="auto"/>
        </w:rPr>
        <w:t>130,329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1028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544" w:lineRule="exact"/>
        <w:rPr>
          <w:sz w:val="20"/>
          <w:szCs w:val="20"/>
          <w:color w:val="auto"/>
        </w:rPr>
      </w:pPr>
    </w:p>
    <w:p>
      <w:pPr>
        <w:sectPr>
          <w:pgSz w:w="11900" w:h="16838" w:orient="portrait"/>
          <w:cols w:equalWidth="0" w:num="2">
            <w:col w:w="9120" w:space="518"/>
            <w:col w:w="1602"/>
          </w:cols>
          <w:pgMar w:left="320" w:top="125" w:right="339" w:bottom="1440" w:gutter="0" w:footer="0" w:header="0"/>
          <w:type w:val="continuous"/>
        </w:sectPr>
      </w:pPr>
    </w:p>
    <w:p>
      <w:pPr>
        <w:ind w:right="100" w:firstLine="648"/>
        <w:spacing w:after="0" w:line="254" w:lineRule="auto"/>
        <w:rPr>
          <w:sz w:val="20"/>
          <w:szCs w:val="20"/>
          <w:color w:val="auto"/>
        </w:rPr>
      </w:pPr>
      <w:r>
        <w:rPr>
          <w:rFonts w:ascii="Arial" w:cs="Arial" w:eastAsia="Arial" w:hAnsi="Arial"/>
          <w:sz w:val="18"/>
          <w:szCs w:val="18"/>
          <w:color w:val="auto"/>
        </w:rPr>
        <w:t>In April 2020, the Company entered into a development agreement (the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will bear all of the Phase I and Phase II development costs incurred by either party, up to a maximum of $50 million. In addition, the Company will incur certain other research and development support costs. There are certain additional payment amounts which could be incurred by the Company. These costs are contingent upon Navitor Inc. achieving defined development milestones. The Company has an option to acquire or license NV-5138 (SPN-820), for which additional payments would be required.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w:t>
      </w:r>
    </w:p>
    <w:p>
      <w:pPr>
        <w:spacing w:after="0" w:line="19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to entering into the Development Agreement in April 2020, the Company acquired Series D Preferred Shares of Navitor Inc. for $15 million, representing an approximately 13% ownership position in Navitor Inc.</w:t>
      </w:r>
    </w:p>
    <w:p>
      <w:pPr>
        <w:spacing w:after="0" w:line="13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 March 2021, Navitor Inc. underwent a legal restructuring. In the restructuring, Navitor Inc. became a wholly owned subsidiary of a newly formed limited liability company, Navitor Pharmaceuticals LLC (Navitor LLC), and the outstanding shares of stock in Navitor Inc. were exchanged for units of membership in Navitor LLC having equivalent rights and preferences (Navitor Restructuring). As part of the Navitor Restructuring, the Series D Preferred Shares previously held by the Company were exchanged for Series D Preferred Shares in Navitor LLC. In addition, certain assets that did not relate to NV-5138 (SPN-820) were transferred from Navitor Inc. to a newly formed entity that became a separate, wholly owned subsidiary of Navitor LLC.</w:t>
      </w:r>
    </w:p>
    <w:p>
      <w:pPr>
        <w:spacing w:after="0" w:line="1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had determined that Navitor LLC is a VIE. The Company does not consolidate this VIE because the Company lacks the power to direct the activities that most significantly impact Navitor’s economic performance.</w:t>
      </w:r>
    </w:p>
    <w:p>
      <w:pPr>
        <w:spacing w:after="0" w:line="14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Prior to the Navitor Restructuring, the investment was accounted for under the practical expedient allowed for equity securities without readily determinable fair value, which is cost minus impairment plus any changes in observable price changes from an orderly transaction of similar investments in Navitor Inc. Following the legal restructuring and exchange of the preferred shares for member equity units of Navitor LLC, the investment was accounted for under the equity method of accounting due to the Company's ability to exert significant influence over but not control the financial and operating decisions of Navitor LLC. As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 result of the change from a cost method investment to an equity method investment, the Company was required to measure its investment initially in accordance with the guidance in ASC 805. The majority of the assets and liabilities recorded in Navitor LLC's financial statements represent working capital items and cash that are being used for research and development purposes and are significantly lower than the Company's investment in Navitor LLC, which created a significant basis difference for the Company's investment in the underlying net assets. The Company determined that substantially all of the fair value of the investment was attributable to a single in-process research and development (IPR&amp;D) asset. As a result, Navitor LLC was not considered a business as defined in ASC 805. In the first quarter of 2021, the $15 million investment, which was previously recorded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unaudited condensed consolidated balance sheets, was expensed and recorded in </w:t>
      </w:r>
      <w:r>
        <w:rPr>
          <w:rFonts w:ascii="Arial" w:cs="Arial" w:eastAsia="Arial" w:hAnsi="Arial"/>
          <w:sz w:val="16"/>
          <w:szCs w:val="16"/>
          <w:i w:val="1"/>
          <w:iCs w:val="1"/>
          <w:color w:val="auto"/>
        </w:rPr>
        <w:t>Research and development expense.</w:t>
      </w:r>
    </w:p>
    <w:p>
      <w:pPr>
        <w:spacing w:after="0" w:line="139"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The Company records its share of the results of Navitor LLC, a private company, on a quarter lag as the financial information of Navitor LLC is not available on a sufficiently timely basis for the Company to apply the equity method of accounting. In December 2021, Navitor LLC sold one of its subsidiaries and distributed cash to its members in accordance with each member's share of the proceeds from the sale. The Company received</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$12.9 million in December 2021 from Navitor LLC in connection with this sale. As the Company's policy is to record its share of the results in its equity method investment on a quarter lag as previously indicated, the Company recorded the cash amount received in </w:t>
      </w:r>
      <w:r>
        <w:rPr>
          <w:rFonts w:ascii="Arial" w:cs="Arial" w:eastAsia="Arial" w:hAnsi="Arial"/>
          <w:sz w:val="16"/>
          <w:szCs w:val="16"/>
          <w:i w:val="1"/>
          <w:iCs w:val="1"/>
          <w:color w:val="auto"/>
        </w:rPr>
        <w:t>Other current liabilities</w:t>
      </w:r>
      <w:r>
        <w:rPr>
          <w:rFonts w:ascii="Arial" w:cs="Arial" w:eastAsia="Arial" w:hAnsi="Arial"/>
          <w:sz w:val="16"/>
          <w:szCs w:val="16"/>
          <w:color w:val="auto"/>
        </w:rPr>
        <w:t xml:space="preserve"> in the consolidated balance sheets as of December 31, 2021. In the first quarter of 2022, the Company determined its estimated share of Navitor LLC's year-end 2021 earnings and recorded a gain of $12.9 million in </w:t>
      </w:r>
      <w:r>
        <w:rPr>
          <w:rFonts w:ascii="Arial" w:cs="Arial" w:eastAsia="Arial" w:hAnsi="Arial"/>
          <w:sz w:val="16"/>
          <w:szCs w:val="16"/>
          <w:i w:val="1"/>
          <w:iCs w:val="1"/>
          <w:color w:val="auto"/>
        </w:rPr>
        <w:t>Interest and other income, net</w:t>
      </w:r>
      <w:r>
        <w:rPr>
          <w:rFonts w:ascii="Arial" w:cs="Arial" w:eastAsia="Arial" w:hAnsi="Arial"/>
          <w:sz w:val="16"/>
          <w:szCs w:val="16"/>
          <w:color w:val="auto"/>
        </w:rPr>
        <w:t xml:space="preserve"> in the unaudited condensed consolidated statement of earnings (loss).</w:t>
      </w:r>
    </w:p>
    <w:p>
      <w:pPr>
        <w:spacing w:after="0" w:line="12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maximum exposure to losses related to Navitor LLC is a maximum of approximately $50 million in expense for Phase I and Phase II development of NV-5138 (SPN-820), and the cost of other development and formulation activities provided by the Company.</w:t>
      </w:r>
    </w:p>
    <w:p>
      <w:pPr>
        <w:spacing w:after="0" w:line="10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Subsequent to the Development Agreement entered into in 2020, no additional equity investment has been made or financing has been provided to Navitor LLC.</w:t>
      </w:r>
    </w:p>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of Financial Measurements</w:t>
      </w:r>
    </w:p>
    <w:p>
      <w:pPr>
        <w:spacing w:after="0" w:line="18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unrelated market participants.</w:t>
      </w:r>
    </w:p>
    <w:p>
      <w:pPr>
        <w:spacing w:after="0" w:line="13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reports the fair value of assets and liabilities using a three level measurement hierarchy that prioritizes the inputs used to measure fair value. Fair value hierarchy consists of the following three levels:</w:t>
      </w:r>
    </w:p>
    <w:p>
      <w:pPr>
        <w:spacing w:after="0" w:line="14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1—Valuations based on unadjusted quoted prices in active markets that are accessible at measurement date for identical assets.</w:t>
      </w:r>
    </w:p>
    <w:p>
      <w:pPr>
        <w:spacing w:after="0" w:line="196" w:lineRule="exact"/>
        <w:rPr>
          <w:rFonts w:ascii="Arial" w:cs="Arial" w:eastAsia="Arial" w:hAnsi="Arial"/>
          <w:sz w:val="17"/>
          <w:szCs w:val="17"/>
          <w:color w:val="auto"/>
        </w:rPr>
      </w:pPr>
    </w:p>
    <w:p>
      <w:pPr>
        <w:ind w:left="980" w:right="2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143"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3—Valuations using significant inputs that are unobservable in the market and inputs that reflect the Company’s own assumptions. These are based on the best information available, including the Company’s own data.</w:t>
      </w:r>
    </w:p>
    <w:p>
      <w:pPr>
        <w:spacing w:after="0" w:line="14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The fair value of the restricted marketable securities is recorded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unaudited condensed consolidated balance sheets. There have been no transfers of assets or liabilities into or out of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 and Liabilities Recorded at Fair Value</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Company’s financial assets that are required to be measured at fair value on a recurring basis are as follows (dollars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Fair Value Measurements as of September 30, 2023 (unaudited)</w:t>
            </w: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Total Fair Value as of</w:t>
            </w: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September 30, 2023</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Level 2</w:t>
            </w:r>
          </w:p>
        </w:tc>
        <w:tc>
          <w:tcPr>
            <w:tcW w:w="620" w:type="dxa"/>
            <w:vAlign w:val="bottom"/>
          </w:tcPr>
          <w:p>
            <w:pPr>
              <w:spacing w:after="0"/>
              <w:rPr>
                <w:sz w:val="12"/>
                <w:szCs w:val="12"/>
                <w:color w:val="auto"/>
              </w:rPr>
            </w:pPr>
          </w:p>
        </w:tc>
        <w:tc>
          <w:tcPr>
            <w:tcW w:w="11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1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Arial" w:cs="Arial" w:eastAsia="Arial" w:hAnsi="Arial"/>
                <w:sz w:val="18"/>
                <w:szCs w:val="18"/>
                <w:color w:val="auto"/>
              </w:rPr>
              <w:t>Money market securities and funds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56,683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56,683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Arial" w:cs="Arial" w:eastAsia="Arial" w:hAnsi="Arial"/>
                <w:sz w:val="18"/>
                <w:szCs w:val="18"/>
                <w:color w:val="auto"/>
              </w:rPr>
              <w:t>Corporate and municipal debt securities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105,204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105,204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Corporate and municipal debt securities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25,125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25,125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225,826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94,999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130,827</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53,654</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53,654</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8"/>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 2022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Total Fair Value as of</w:t>
            </w: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Level 2</w:t>
            </w:r>
          </w:p>
        </w:tc>
        <w:tc>
          <w:tcPr>
            <w:tcW w:w="620" w:type="dxa"/>
            <w:vAlign w:val="bottom"/>
          </w:tcPr>
          <w:p>
            <w:pPr>
              <w:spacing w:after="0"/>
              <w:rPr>
                <w:sz w:val="10"/>
                <w:szCs w:val="10"/>
                <w:color w:val="auto"/>
              </w:rPr>
            </w:pPr>
          </w:p>
        </w:tc>
        <w:tc>
          <w:tcPr>
            <w:tcW w:w="11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2022</w:t>
            </w:r>
          </w:p>
        </w:tc>
        <w:tc>
          <w:tcPr>
            <w:tcW w:w="11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52,181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Money market securities and funds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40,939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40,939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Corporate and municipal debt securities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368,214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368,214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Corporate and municipal debt securities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93,896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93,896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555,726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93,131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462,595</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54,967</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54,967</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18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Liabilities Recorded at Carrying Value</w:t>
      </w:r>
    </w:p>
    <w:p>
      <w:pPr>
        <w:spacing w:after="0" w:line="19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April 1, 2023, the Company paid the total principal amount due of $402.5 million under the 2023 Notes and the outstanding interest due of $1.3 million.</w:t>
      </w:r>
    </w:p>
    <w:p>
      <w:pPr>
        <w:spacing w:after="0" w:line="13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December 31, 2022, the carrying value and fair value of the 2023 Notes which were not carried at fair value was as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4"/>
          </w:tcPr>
          <w:p>
            <w:pPr>
              <w:jc w:val="right"/>
              <w:ind w:right="899"/>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4"/>
                <w:szCs w:val="14"/>
                <w:b w:val="1"/>
                <w:bCs w:val="1"/>
                <w:color w:val="auto"/>
                <w:w w:val="95"/>
              </w:rPr>
              <w:t>Fair Value (Level 2)</w:t>
            </w:r>
          </w:p>
        </w:tc>
      </w:tr>
      <w:tr>
        <w:trPr>
          <w:trHeight w:val="203"/>
        </w:trPr>
        <w:tc>
          <w:tcPr>
            <w:tcW w:w="8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401,968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395,959</w:t>
            </w: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has been estimated based on actual trading information, and quoted prices, both provided by bond traders.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Contingent Consideration</w:t>
      </w:r>
    </w:p>
    <w:p>
      <w:pPr>
        <w:spacing w:after="0" w:line="1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the current and long-term portions related to the contingent consideration for the USWM Acquisition and Adamas Acquisition (dollars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38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Reported under the following captions in the condensed consolidated balance sheets:</w:t>
            </w:r>
          </w:p>
        </w:tc>
        <w:tc>
          <w:tcPr>
            <w:tcW w:w="2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long-term</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33,847</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The Company's contingent consideration liabilities are related to the USWM Acquisition in 2020 and the Adamas Acquisition in 2021 (each acquisition as defined below). The contingent consideration liabilities are measured at fair value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condensed consolidated statement of earnings (loss) in </w:t>
      </w:r>
      <w:r>
        <w:rPr>
          <w:rFonts w:ascii="Arial" w:cs="Arial" w:eastAsia="Arial" w:hAnsi="Arial"/>
          <w:sz w:val="17"/>
          <w:szCs w:val="17"/>
          <w:i w:val="1"/>
          <w:iCs w:val="1"/>
          <w:color w:val="auto"/>
        </w:rPr>
        <w:t>Contingent consideration (gain) expense</w:t>
      </w:r>
      <w:r>
        <w:rPr>
          <w:rFonts w:ascii="Arial" w:cs="Arial" w:eastAsia="Arial" w:hAnsi="Arial"/>
          <w:sz w:val="17"/>
          <w:szCs w:val="17"/>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USWM Contingent Consideration</w:t>
      </w:r>
    </w:p>
    <w:p>
      <w:pPr>
        <w:spacing w:after="0" w:line="185"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As of September 30, 2023, the potential contingent consideration payments are up to $85 million, which is comprised of the potential $55 million in regulatory and development milestones and $30 million in sales-based milestones.</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and development milestones:</w:t>
      </w:r>
    </w:p>
    <w:p>
      <w:pPr>
        <w:spacing w:after="0" w:line="198" w:lineRule="exact"/>
        <w:rPr>
          <w:rFonts w:ascii="Arial" w:cs="Arial" w:eastAsia="Arial" w:hAnsi="Arial"/>
          <w:sz w:val="18"/>
          <w:szCs w:val="18"/>
          <w:color w:val="auto"/>
        </w:rPr>
      </w:pPr>
    </w:p>
    <w:p>
      <w:pPr>
        <w:ind w:left="660" w:right="60"/>
        <w:spacing w:after="0" w:line="277" w:lineRule="auto"/>
        <w:rPr>
          <w:rFonts w:ascii="Arial" w:cs="Arial" w:eastAsia="Arial" w:hAnsi="Arial"/>
          <w:sz w:val="18"/>
          <w:szCs w:val="18"/>
          <w:color w:val="auto"/>
        </w:rPr>
      </w:pPr>
      <w:r>
        <w:rPr>
          <w:rFonts w:ascii="Arial" w:cs="Arial" w:eastAsia="Arial" w:hAnsi="Arial"/>
          <w:sz w:val="18"/>
          <w:szCs w:val="18"/>
          <w:color w:val="auto"/>
        </w:rPr>
        <w:t>The potential $55 million in regulatory and development milestones is comprised of (1) $25 million related to the FDA's approval of the SPN-830 NDA and (2) $30 million related to the subsequent commercial product launch.</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Sales-based milestones:</w:t>
      </w:r>
    </w:p>
    <w:p>
      <w:pPr>
        <w:spacing w:after="0" w:line="184" w:lineRule="exact"/>
        <w:rPr>
          <w:rFonts w:ascii="Arial" w:cs="Arial" w:eastAsia="Arial" w:hAnsi="Arial"/>
          <w:sz w:val="18"/>
          <w:szCs w:val="18"/>
          <w:color w:val="auto"/>
        </w:rPr>
      </w:pPr>
    </w:p>
    <w:p>
      <w:pPr>
        <w:jc w:val="both"/>
        <w:ind w:left="660" w:right="220"/>
        <w:spacing w:after="0" w:line="263" w:lineRule="auto"/>
        <w:rPr>
          <w:rFonts w:ascii="Arial" w:cs="Arial" w:eastAsia="Arial" w:hAnsi="Arial"/>
          <w:sz w:val="18"/>
          <w:szCs w:val="18"/>
          <w:color w:val="auto"/>
        </w:rPr>
      </w:pPr>
      <w:r>
        <w:rPr>
          <w:rFonts w:ascii="Arial" w:cs="Arial" w:eastAsia="Arial" w:hAnsi="Arial"/>
          <w:sz w:val="18"/>
          <w:szCs w:val="18"/>
          <w:color w:val="auto"/>
        </w:rPr>
        <w:t>The potential $30 million sales-based milestone relates to the achievement of certain net product sales of the acquired USWM products in 2023. As of September 30, 2023, the Company assessed that this remaining $30 million sales-based milestone will not be achieved based on net sales projections.</w:t>
      </w:r>
    </w:p>
    <w:p>
      <w:pPr>
        <w:spacing w:after="0" w:line="157"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key assumptions considered in estimating the fair value include the estimated probability and timing of milestone achievement, such as the probability and timing of obtaining regulatory approval, discount rate, and the estimated amount and timing of projected revenues from the acquired USWM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Adamas Contingent Consideration</w:t>
      </w:r>
    </w:p>
    <w:p>
      <w:pPr>
        <w:spacing w:after="0" w:line="19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November 24, 2021 (the Adamas Closing Date), the Company completed its acquisition of all the outstanding equity of Adamas (Adamas Acquisition). The Adamas Acquisition included payment of two non-tradable contingent value rights (CVRs) each of which represents the contractual right to receive a contingent payment upon the achievement of the applicable aggregate worldwide net product sales of GOCOVRI.</w:t>
      </w:r>
    </w:p>
    <w:p>
      <w:pPr>
        <w:spacing w:after="0" w:line="1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 The possible outcomes for the contingent consideration range from $0 to $50.9 million on an undiscounted basis.</w:t>
      </w:r>
    </w:p>
    <w:p>
      <w:pPr>
        <w:spacing w:after="0" w:line="14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key assumptions considered in estimating the fair value of the Adamas sales-based milestones include the estimated revenue projections, volatility, estimated discount rates and risk-free interest 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the Fair Value of Contingent Consideration</w:t>
      </w:r>
    </w:p>
    <w:p>
      <w:pPr>
        <w:spacing w:after="0" w:line="185" w:lineRule="exact"/>
        <w:rPr>
          <w:sz w:val="20"/>
          <w:szCs w:val="20"/>
          <w:color w:val="auto"/>
        </w:rPr>
      </w:pPr>
    </w:p>
    <w:p>
      <w:pPr>
        <w:ind w:right="680" w:firstLine="648"/>
        <w:spacing w:after="0" w:line="269" w:lineRule="auto"/>
        <w:rPr>
          <w:sz w:val="20"/>
          <w:szCs w:val="20"/>
          <w:color w:val="auto"/>
        </w:rPr>
      </w:pPr>
      <w:r>
        <w:rPr>
          <w:rFonts w:ascii="Arial" w:cs="Arial" w:eastAsia="Arial" w:hAnsi="Arial"/>
          <w:sz w:val="18"/>
          <w:szCs w:val="18"/>
          <w:color w:val="auto"/>
        </w:rPr>
        <w:t>The following tables provide a reconciliation of the beginning and ending balances related to the contingent consideration for the USWM Acquisition and Adamas Acquisition (dollars in thousands):</w:t>
      </w: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USWM Acquisition</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Adamas Acquisition</w:t>
            </w:r>
          </w:p>
        </w:tc>
        <w:tc>
          <w:tcPr>
            <w:tcW w:w="38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26"/>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54,967</w:t>
            </w:r>
          </w:p>
        </w:tc>
      </w:tr>
      <w:tr>
        <w:trPr>
          <w:trHeight w:val="22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2023 (unaudited)</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53,320</w:t>
            </w:r>
          </w:p>
        </w:tc>
      </w:tr>
      <w:tr>
        <w:trPr>
          <w:trHeight w:val="23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2023 (unaudited)</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54,110</w:t>
            </w:r>
          </w:p>
        </w:tc>
      </w:tr>
      <w:tr>
        <w:trPr>
          <w:trHeight w:val="23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 (unaudited)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48"/>
        </w:trPr>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USWM Acquisition</w:t>
            </w: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Adamas Acquisition</w:t>
            </w:r>
          </w:p>
        </w:tc>
        <w:tc>
          <w:tcPr>
            <w:tcW w:w="38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25"/>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80,477</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Milestone payments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Balance at March 31, 2022 (unaudited)</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46,890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56,142</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Balance at June 30, 2022 (unaudited)</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47,240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56,885</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Balance at September 30, 2022 (unaudited)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57,371</w:t>
            </w: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recorded a $0.7 million expense and a $0.4 million gain due to the change in the fair value of the contingent consideration liabilities for the USWM milestones for the three and nine months ended September 30, 2023 primarily driven by the passage of time in both periods, as well as the change in timing of milestone achievement and estimated discount rate in the first quarter of 2023. The Company recorded a $0.4 million expense and a $2.4 million expense due to the change in the fair value of the contingent consideration liabilities for the USWM milestones for the three and nine months ended September 30, 2022 primarily driven by the passage of time and the accretion to the payout amount related to the milestone achieved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recorded a $1.1 million gain and a $0.9 million gain due to the change in fair value of the contingent consideration liabilities for the Adamas CVRs for the three and nine months ended September 30, 2023 primarily driven by the passage of time. The Company recorded a $0.1 million expense and a $0.5 million gain due to the change in fair value of the contingent consideration liabilities for the Adamas CVRs for the three and nine months ended September 30, 2022 primarily driven by the passage of time.</w:t>
      </w:r>
    </w:p>
    <w:p>
      <w:pPr>
        <w:spacing w:after="0" w:line="16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paid $25 million in the first quarter of 2022 of which $22.9 million represents the acquisition date fair value of the contingent consideration liability and was reported under cash flows from financing activities. The remaining $2.1 million represents the excess of the acquisition date fair value and was reported under cash flows from operating activities. The amount paid was for the milestone that was due upon the FDA acceptance of the SPN-830 NDA for review, which was achieved in the first quarter of 2022.</w:t>
      </w:r>
    </w:p>
    <w:p>
      <w:pPr>
        <w:spacing w:after="0" w:line="1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Intangible Assets,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gross carrying amounts and related accumulated amortization of intangibles assets (dollars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120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9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Average Life</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Amount, Gross</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Amount, Net</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Amount, Gross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7"/>
                <w:szCs w:val="17"/>
                <w:color w:val="auto"/>
              </w:rPr>
            </w:pPr>
          </w:p>
        </w:tc>
        <w:tc>
          <w:tcPr>
            <w:tcW w:w="9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Amount, Net</w:t>
            </w:r>
          </w:p>
        </w:tc>
        <w:tc>
          <w:tcPr>
            <w:tcW w:w="0" w:type="dxa"/>
            <w:vAlign w:val="bottom"/>
          </w:tcPr>
          <w:p>
            <w:pPr>
              <w:spacing w:after="0"/>
              <w:rPr>
                <w:sz w:val="1"/>
                <w:szCs w:val="1"/>
                <w:color w:val="auto"/>
              </w:rPr>
            </w:pPr>
          </w:p>
        </w:tc>
      </w:tr>
      <w:tr>
        <w:trPr>
          <w:trHeight w:val="174"/>
        </w:trPr>
        <w:tc>
          <w:tcPr>
            <w:tcW w:w="2920" w:type="dxa"/>
            <w:vAlign w:val="bottom"/>
            <w:tcBorders>
              <w:top w:val="single" w:sz="8" w:color="CCEEFF"/>
            </w:tcBorders>
            <w:shd w:val="clear" w:color="auto" w:fill="CCEEFF"/>
          </w:tcPr>
          <w:p>
            <w:pPr>
              <w:ind w:left="20"/>
              <w:spacing w:after="0" w:line="174" w:lineRule="exact"/>
              <w:rPr>
                <w:sz w:val="20"/>
                <w:szCs w:val="20"/>
                <w:color w:val="auto"/>
              </w:rPr>
            </w:pPr>
            <w:r>
              <w:rPr>
                <w:rFonts w:ascii="Arial" w:cs="Arial" w:eastAsia="Arial" w:hAnsi="Arial"/>
                <w:sz w:val="18"/>
                <w:szCs w:val="18"/>
                <w:color w:val="auto"/>
              </w:rPr>
              <w:t>Acquired in-process research and</w:t>
            </w: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0" w:type="dxa"/>
            <w:vAlign w:val="bottom"/>
          </w:tcPr>
          <w:p>
            <w:pPr>
              <w:spacing w:after="0"/>
              <w:rPr>
                <w:sz w:val="1"/>
                <w:szCs w:val="1"/>
                <w:color w:val="auto"/>
              </w:rPr>
            </w:pPr>
          </w:p>
        </w:tc>
      </w:tr>
      <w:tr>
        <w:trPr>
          <w:trHeight w:val="188"/>
        </w:trPr>
        <w:tc>
          <w:tcPr>
            <w:tcW w:w="2920" w:type="dxa"/>
            <w:vAlign w:val="bottom"/>
          </w:tcPr>
          <w:p>
            <w:pPr>
              <w:ind w:left="20"/>
              <w:spacing w:after="0" w:line="189" w:lineRule="exact"/>
              <w:rPr>
                <w:sz w:val="20"/>
                <w:szCs w:val="20"/>
                <w:color w:val="auto"/>
              </w:rPr>
            </w:pPr>
            <w:r>
              <w:rPr>
                <w:rFonts w:ascii="Arial" w:cs="Arial" w:eastAsia="Arial" w:hAnsi="Arial"/>
                <w:sz w:val="18"/>
                <w:szCs w:val="18"/>
                <w:color w:val="auto"/>
              </w:rPr>
              <w:t>Intangible assets subject to</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Acquired developed technology and</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rights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568,439</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Capitalized patent defense costs</w:t>
            </w: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0.92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849,320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849,320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702,463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Amortization expense for intangible assets was approximately $21.2 million and $61.3 million, for the three and nine months ended September 30, 2023 and approximately $20.6 million and $61.9 million for the three and nine months ended September 30, 2022, respectively.</w:t>
      </w:r>
    </w:p>
    <w:p>
      <w:pPr>
        <w:spacing w:after="0" w:line="11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U.S. patents covering Trokendi XR and Oxtellar XR will expire no earlier than 2027. In regard to Trokendi XR, the Company entered into settlement agreements that allowed third parties to enter the market on January 1, 2023. In regard to Oxtellar XR, the Company entered into settlement and license agreements that allows a third party to enter the market in September 2024, or sooner under certain conditions.</w:t>
      </w:r>
    </w:p>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 Due 2023</w:t>
      </w:r>
    </w:p>
    <w:p>
      <w:pPr>
        <w:spacing w:after="0" w:line="198"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The 0.625% Convertible Senior Notes Due 2023 (2023 Notes), which were issued in March 2018, bore interest at an annual rate of 0.625%, payable semi-annually in arrears on April 1 and October 1 of each year. The 2023 Notes matured on April 1, 2023. On March 30, 2023, the Company transferred funds totaling $403.8 million to the Trustee (Wilmington Trust) related to the repayment of the 2023 Notes which was reported as restricted cash in the first quarter of 2023. On April 1, 2023, the Company paid the total principal amount due of $402.5 million under the 2023 Notes and the remaining outstanding interest due of $1.3 million with the restricted cash.</w:t>
      </w:r>
    </w:p>
    <w:p>
      <w:pPr>
        <w:spacing w:after="0" w:line="14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As of March 31, 2023, the Convertible Note Hedges have expired.</w:t>
      </w:r>
    </w:p>
    <w:p>
      <w:pPr>
        <w:spacing w:after="0" w:line="14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Company issued a total of 6,783,939 warrants. The warrants entitle the holder to one share per warrant. The strike price of the Warrant Transactions will initially be $80.91 per share of the Company’s common stock, and is subject to adjustment.</w:t>
      </w:r>
    </w:p>
    <w:p>
      <w:pPr>
        <w:spacing w:after="0" w:line="14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 The warrants expire in tranches, if unexercised, on or before November 22, 2023.</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the liability component of the 2023 Notes consisted of the following,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9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r>
      <w:tr>
        <w:trPr>
          <w:trHeight w:val="67"/>
        </w:trPr>
        <w:tc>
          <w:tcPr>
            <w:tcW w:w="9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30"/>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Notes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r>
      <w:tr>
        <w:trPr>
          <w:trHeight w:val="229"/>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 and deferred financing costs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48"/>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carrying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401,968</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Uncommitted Demand Secured Line of Credit</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February 8, 2023, the Company entered into a credit line agreement with UBS.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spacing w:after="0" w:line="161"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w:t>
      </w:r>
    </w:p>
    <w:p>
      <w:pPr>
        <w:spacing w:after="0" w:line="14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spacing w:after="0" w:line="143"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spacing w:after="0" w:line="13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March 30, 2023, the Company borrowed $93.0 million under the Credit Line, which bore a variable interest rate. The funds from this borrowing were used to repay outstanding indebtedness under the 2023 Notes as discussed above under the Convertible Senior Notes Due 2023. As of June 30, 2023, the Company repaid the total principal balance of $93.0 million under the Credit Line and the interest incurred on the Credit Line of $0.7 million. As of September 30, 2023, there was no outstanding debt under the Credit Line.</w:t>
      </w:r>
    </w:p>
    <w:p>
      <w:pPr>
        <w:spacing w:after="0" w:line="1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Share-Based Payments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expense is as follows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center"/>
              <w:ind w:left="540"/>
              <w:spacing w:after="0"/>
              <w:rPr>
                <w:sz w:val="20"/>
                <w:szCs w:val="20"/>
                <w:color w:val="auto"/>
              </w:rPr>
            </w:pPr>
            <w:r>
              <w:rPr>
                <w:rFonts w:ascii="Arial" w:cs="Arial" w:eastAsia="Arial" w:hAnsi="Arial"/>
                <w:sz w:val="14"/>
                <w:szCs w:val="14"/>
                <w:b w:val="1"/>
                <w:bCs w:val="1"/>
                <w:color w:val="auto"/>
                <w:w w:val="93"/>
              </w:rPr>
              <w:t>Nine Months Ended</w:t>
            </w:r>
          </w:p>
        </w:tc>
        <w:tc>
          <w:tcPr>
            <w:tcW w:w="1000" w:type="dxa"/>
            <w:vAlign w:val="bottom"/>
          </w:tcPr>
          <w:p>
            <w:pPr>
              <w:spacing w:after="0"/>
              <w:rPr>
                <w:sz w:val="14"/>
                <w:szCs w:val="14"/>
                <w:color w:val="auto"/>
              </w:rPr>
            </w:pPr>
          </w:p>
        </w:tc>
      </w:tr>
      <w:tr>
        <w:trPr>
          <w:trHeight w:val="192"/>
        </w:trPr>
        <w:tc>
          <w:tcPr>
            <w:tcW w:w="4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20"/>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r>
      <w:tr>
        <w:trPr>
          <w:trHeight w:val="195"/>
        </w:trPr>
        <w:tc>
          <w:tcPr>
            <w:tcW w:w="45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194"/>
        </w:trPr>
        <w:tc>
          <w:tcPr>
            <w:tcW w:w="4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center"/>
              <w:ind w:left="520"/>
              <w:spacing w:after="0"/>
              <w:rPr>
                <w:sz w:val="20"/>
                <w:szCs w:val="20"/>
                <w:color w:val="auto"/>
              </w:rPr>
            </w:pPr>
            <w:r>
              <w:rPr>
                <w:rFonts w:ascii="Arial" w:cs="Arial" w:eastAsia="Arial" w:hAnsi="Arial"/>
                <w:sz w:val="14"/>
                <w:szCs w:val="14"/>
                <w:b w:val="1"/>
                <w:bCs w:val="1"/>
                <w:color w:val="auto"/>
                <w:w w:val="94"/>
              </w:rPr>
              <w:t>(unaudited)</w:t>
            </w:r>
          </w:p>
        </w:tc>
        <w:tc>
          <w:tcPr>
            <w:tcW w:w="1000" w:type="dxa"/>
            <w:vAlign w:val="bottom"/>
          </w:tcPr>
          <w:p>
            <w:pPr>
              <w:spacing w:after="0"/>
              <w:rPr>
                <w:sz w:val="16"/>
                <w:szCs w:val="16"/>
                <w:color w:val="auto"/>
              </w:rPr>
            </w:pPr>
          </w:p>
        </w:tc>
      </w:tr>
      <w:tr>
        <w:trPr>
          <w:trHeight w:val="23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11,023</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4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jc w:val="right"/>
              <w:ind w:right="338"/>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Stock Appreciation Rights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stock appreciation rights (SAR) activities: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5"/>
            <w:vMerge w:val="restart"/>
          </w:tcPr>
          <w:p>
            <w:pPr>
              <w:jc w:val="center"/>
              <w:ind w:right="6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gridSpan w:val="3"/>
            <w:vMerge w:val="restart"/>
          </w:tcPr>
          <w:p>
            <w:pPr>
              <w:jc w:val="right"/>
              <w:ind w:right="40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7"/>
                <w:szCs w:val="17"/>
                <w:color w:val="auto"/>
              </w:rPr>
            </w:pPr>
          </w:p>
        </w:tc>
        <w:tc>
          <w:tcPr>
            <w:tcW w:w="17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30"/>
        </w:trPr>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8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5,797,569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26.99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9"/>
        </w:trPr>
        <w:tc>
          <w:tcPr>
            <w:tcW w:w="33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2"/>
              </w:rPr>
              <w:t>1,148,143</w:t>
            </w:r>
          </w:p>
        </w:tc>
        <w:tc>
          <w:tcPr>
            <w:tcW w:w="580" w:type="dxa"/>
            <w:vAlign w:val="bottom"/>
            <w:gridSpan w:val="2"/>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38.28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(228,628)</w:t>
            </w:r>
          </w:p>
        </w:tc>
        <w:tc>
          <w:tcPr>
            <w:tcW w:w="58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Forfeited</w:t>
            </w:r>
          </w:p>
        </w:tc>
        <w:tc>
          <w:tcPr>
            <w:tcW w:w="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(91,986)</w:t>
            </w:r>
          </w:p>
        </w:tc>
        <w:tc>
          <w:tcPr>
            <w:tcW w:w="580" w:type="dxa"/>
            <w:vAlign w:val="bottom"/>
            <w:tcBorders>
              <w:bottom w:val="single" w:sz="8" w:color="CCEEFF"/>
            </w:tcBorders>
            <w:gridSpan w:val="2"/>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8"/>
                <w:szCs w:val="18"/>
                <w:color w:val="auto"/>
              </w:rPr>
              <w:t>33.24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Outstanding, September 30, 2023 (unaudited)</w:t>
            </w: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6,625,098</w:t>
            </w:r>
          </w:p>
        </w:tc>
        <w:tc>
          <w:tcPr>
            <w:tcW w:w="580" w:type="dxa"/>
            <w:vAlign w:val="bottom"/>
            <w:tcBorders>
              <w:bottom w:val="single" w:sz="8" w:color="CCEEFF"/>
            </w:tcBorders>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2023 (unaudited):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tcPr>
          <w:p>
            <w:pPr>
              <w:ind w:left="140"/>
              <w:spacing w:after="0"/>
              <w:rPr>
                <w:sz w:val="20"/>
                <w:szCs w:val="20"/>
                <w:color w:val="auto"/>
              </w:rPr>
            </w:pPr>
            <w:r>
              <w:rPr>
                <w:rFonts w:ascii="Arial" w:cs="Arial" w:eastAsia="Arial" w:hAnsi="Arial"/>
                <w:sz w:val="18"/>
                <w:szCs w:val="18"/>
                <w:color w:val="auto"/>
              </w:rPr>
              <w:t>Vested and expected to vest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2"/>
              </w:rPr>
              <w:t>6,625,098</w:t>
            </w:r>
          </w:p>
        </w:tc>
        <w:tc>
          <w:tcPr>
            <w:tcW w:w="580" w:type="dxa"/>
            <w:vAlign w:val="bottom"/>
            <w:gridSpan w:val="2"/>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29.17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4,116,000</w:t>
            </w:r>
          </w:p>
        </w:tc>
        <w:tc>
          <w:tcPr>
            <w:tcW w:w="58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December 31, 2022:</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tcPr>
          <w:p>
            <w:pPr>
              <w:ind w:left="140"/>
              <w:spacing w:after="0"/>
              <w:rPr>
                <w:sz w:val="20"/>
                <w:szCs w:val="20"/>
                <w:color w:val="auto"/>
              </w:rPr>
            </w:pPr>
            <w:r>
              <w:rPr>
                <w:rFonts w:ascii="Arial" w:cs="Arial" w:eastAsia="Arial" w:hAnsi="Arial"/>
                <w:sz w:val="18"/>
                <w:szCs w:val="18"/>
                <w:color w:val="auto"/>
              </w:rPr>
              <w:t>Vested and expected to vest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2"/>
              </w:rPr>
              <w:t>5,797,569</w:t>
            </w:r>
          </w:p>
        </w:tc>
        <w:tc>
          <w:tcPr>
            <w:tcW w:w="580" w:type="dxa"/>
            <w:vAlign w:val="bottom"/>
            <w:gridSpan w:val="2"/>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26.99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3,541,395</w:t>
            </w:r>
          </w:p>
        </w:tc>
        <w:tc>
          <w:tcPr>
            <w:tcW w:w="58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486"/>
        </w:trPr>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Restricted Stock Units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60" w:type="dxa"/>
            <w:vAlign w:val="bottom"/>
            <w:gridSpan w:val="8"/>
          </w:tcPr>
          <w:p>
            <w:pPr>
              <w:ind w:left="660"/>
              <w:spacing w:after="0"/>
              <w:rPr>
                <w:sz w:val="20"/>
                <w:szCs w:val="20"/>
                <w:color w:val="auto"/>
              </w:rPr>
            </w:pPr>
            <w:r>
              <w:rPr>
                <w:rFonts w:ascii="Arial" w:cs="Arial" w:eastAsia="Arial" w:hAnsi="Arial"/>
                <w:sz w:val="18"/>
                <w:szCs w:val="18"/>
                <w:color w:val="auto"/>
                <w:w w:val="93"/>
              </w:rPr>
              <w:t>The following table summarizes restricted stock unit (RSU) activities:</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gridSpan w:val="5"/>
            <w:vMerge w:val="restart"/>
          </w:tcPr>
          <w:p>
            <w:pPr>
              <w:jc w:val="center"/>
              <w:ind w:right="58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60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0"/>
              </w:rPr>
              <w:t>RSUs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per Share</w:t>
            </w:r>
          </w:p>
        </w:tc>
        <w:tc>
          <w:tcPr>
            <w:tcW w:w="0" w:type="dxa"/>
            <w:vAlign w:val="bottom"/>
          </w:tcPr>
          <w:p>
            <w:pPr>
              <w:spacing w:after="0"/>
              <w:rPr>
                <w:sz w:val="1"/>
                <w:szCs w:val="1"/>
                <w:color w:val="auto"/>
              </w:rPr>
            </w:pPr>
          </w:p>
        </w:tc>
      </w:tr>
      <w:tr>
        <w:trPr>
          <w:trHeight w:val="229"/>
        </w:trPr>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December 31, 2022</w:t>
            </w:r>
          </w:p>
        </w:tc>
        <w:tc>
          <w:tcPr>
            <w:tcW w:w="8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131,960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227,980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Forfeited</w:t>
            </w:r>
          </w:p>
        </w:tc>
        <w:tc>
          <w:tcPr>
            <w:tcW w:w="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(6,375)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34.63</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3"/>
              </w:rPr>
              <w:t>Nonvested, September 30, 2023 (unaudited)</w:t>
            </w: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306,516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Performance Share Units</w:t>
            </w: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960" w:type="dxa"/>
            <w:vAlign w:val="bottom"/>
            <w:gridSpan w:val="10"/>
          </w:tcPr>
          <w:p>
            <w:pPr>
              <w:ind w:left="660"/>
              <w:spacing w:after="0"/>
              <w:rPr>
                <w:sz w:val="20"/>
                <w:szCs w:val="20"/>
                <w:color w:val="auto"/>
              </w:rPr>
            </w:pPr>
            <w:r>
              <w:rPr>
                <w:rFonts w:ascii="Arial" w:cs="Arial" w:eastAsia="Arial" w:hAnsi="Arial"/>
                <w:sz w:val="18"/>
                <w:szCs w:val="18"/>
                <w:color w:val="auto"/>
              </w:rPr>
              <w:t>The following table summarizes performance share unit (PSU) activities: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3"/>
              </w:rPr>
              <w:t>Performance-Based Units</w:t>
            </w:r>
          </w:p>
        </w:tc>
        <w:tc>
          <w:tcPr>
            <w:tcW w:w="400" w:type="dxa"/>
            <w:vAlign w:val="bottom"/>
          </w:tcPr>
          <w:p>
            <w:pPr>
              <w:spacing w:after="0"/>
              <w:rPr>
                <w:sz w:val="24"/>
                <w:szCs w:val="24"/>
                <w:color w:val="auto"/>
              </w:rPr>
            </w:pPr>
          </w:p>
        </w:tc>
        <w:tc>
          <w:tcPr>
            <w:tcW w:w="162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Market-Based Units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9"/>
          </w:tcPr>
          <w:p>
            <w:pPr>
              <w:jc w:val="right"/>
              <w:ind w:right="1080"/>
              <w:spacing w:after="0"/>
              <w:rPr>
                <w:sz w:val="20"/>
                <w:szCs w:val="20"/>
                <w:color w:val="auto"/>
              </w:rPr>
            </w:pPr>
            <w:r>
              <w:rPr>
                <w:rFonts w:ascii="Arial" w:cs="Arial" w:eastAsia="Arial" w:hAnsi="Arial"/>
                <w:sz w:val="14"/>
                <w:szCs w:val="14"/>
                <w:b w:val="1"/>
                <w:bCs w:val="1"/>
                <w:color w:val="auto"/>
              </w:rPr>
              <w:t>Total PSUs</w:t>
            </w: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jc w:val="right"/>
              <w:ind w:right="274"/>
              <w:spacing w:after="0" w:line="13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14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Number of PSUs</w:t>
            </w:r>
          </w:p>
        </w:tc>
        <w:tc>
          <w:tcPr>
            <w:tcW w:w="140" w:type="dxa"/>
            <w:vAlign w:val="bottom"/>
          </w:tcPr>
          <w:p>
            <w:pPr>
              <w:spacing w:after="0"/>
              <w:rPr>
                <w:sz w:val="12"/>
                <w:szCs w:val="12"/>
                <w:color w:val="auto"/>
              </w:rPr>
            </w:pPr>
          </w:p>
        </w:tc>
        <w:tc>
          <w:tcPr>
            <w:tcW w:w="1380" w:type="dxa"/>
            <w:vAlign w:val="bottom"/>
            <w:gridSpan w:val="3"/>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Grant Date Fair</w:t>
            </w:r>
          </w:p>
        </w:tc>
        <w:tc>
          <w:tcPr>
            <w:tcW w:w="120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w w:val="94"/>
              </w:rPr>
              <w:t>Number of PSUs</w:t>
            </w:r>
          </w:p>
        </w:tc>
        <w:tc>
          <w:tcPr>
            <w:tcW w:w="100" w:type="dxa"/>
            <w:vAlign w:val="bottom"/>
          </w:tcPr>
          <w:p>
            <w:pPr>
              <w:spacing w:after="0"/>
              <w:rPr>
                <w:sz w:val="12"/>
                <w:szCs w:val="12"/>
                <w:color w:val="auto"/>
              </w:rPr>
            </w:pPr>
          </w:p>
        </w:tc>
        <w:tc>
          <w:tcPr>
            <w:tcW w:w="130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w w:val="96"/>
              </w:rPr>
              <w:t>Grant Date Fair</w:t>
            </w:r>
          </w:p>
        </w:tc>
        <w:tc>
          <w:tcPr>
            <w:tcW w:w="100" w:type="dxa"/>
            <w:vAlign w:val="bottom"/>
          </w:tcPr>
          <w:p>
            <w:pPr>
              <w:spacing w:after="0"/>
              <w:rPr>
                <w:sz w:val="12"/>
                <w:szCs w:val="12"/>
                <w:color w:val="auto"/>
              </w:rPr>
            </w:pPr>
          </w:p>
        </w:tc>
        <w:tc>
          <w:tcPr>
            <w:tcW w:w="11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2"/>
              </w:rPr>
              <w:t>Number of PSUs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Value per Share</w:t>
            </w: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Value per Share</w:t>
            </w:r>
          </w:p>
        </w:tc>
        <w:tc>
          <w:tcPr>
            <w:tcW w:w="10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Value per Share</w:t>
            </w:r>
          </w:p>
        </w:tc>
        <w:tc>
          <w:tcPr>
            <w:tcW w:w="0" w:type="dxa"/>
            <w:vAlign w:val="bottom"/>
          </w:tcPr>
          <w:p>
            <w:pPr>
              <w:spacing w:after="0"/>
              <w:rPr>
                <w:sz w:val="1"/>
                <w:szCs w:val="1"/>
                <w:color w:val="auto"/>
              </w:rPr>
            </w:pPr>
          </w:p>
        </w:tc>
      </w:tr>
      <w:tr>
        <w:trPr>
          <w:trHeight w:val="25"/>
        </w:trPr>
        <w:tc>
          <w:tcPr>
            <w:tcW w:w="2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December 31, 2022</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CEEFF"/>
          </w:tcPr>
          <w:p>
            <w:pPr>
              <w:spacing w:after="0"/>
              <w:rPr>
                <w:sz w:val="19"/>
                <w:szCs w:val="19"/>
                <w:color w:val="auto"/>
              </w:rPr>
            </w:pP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201,750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205,000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4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6"/>
          </w:tcPr>
          <w:p>
            <w:pPr>
              <w:jc w:val="right"/>
              <w:spacing w:after="0"/>
              <w:rPr>
                <w:sz w:val="20"/>
                <w:szCs w:val="20"/>
                <w:color w:val="auto"/>
              </w:rPr>
            </w:pPr>
            <w:r>
              <w:rPr>
                <w:rFonts w:ascii="Arial" w:cs="Arial" w:eastAsia="Arial" w:hAnsi="Arial"/>
                <w:sz w:val="18"/>
                <w:szCs w:val="18"/>
                <w:color w:val="auto"/>
              </w:rPr>
              <w:t>205,000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(102,520)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54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Nonvested, September 30, 2023</w:t>
            </w:r>
          </w:p>
        </w:tc>
        <w:tc>
          <w:tcPr>
            <w:tcW w:w="5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281,230</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20" w:type="dxa"/>
            <w:vAlign w:val="bottom"/>
            <w:gridSpan w:val="2"/>
            <w:vMerge w:val="restart"/>
            <w:shd w:val="clear" w:color="auto" w:fill="CCEEFF"/>
          </w:tcPr>
          <w:p>
            <w:pPr>
              <w:jc w:val="right"/>
              <w:ind w:right="542"/>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400" w:type="dxa"/>
            <w:vAlign w:val="bottom"/>
            <w:gridSpan w:val="6"/>
            <w:vMerge w:val="restart"/>
            <w:shd w:val="clear" w:color="auto" w:fill="CCEEFF"/>
          </w:tcPr>
          <w:p>
            <w:pPr>
              <w:jc w:val="right"/>
              <w:spacing w:after="0"/>
              <w:rPr>
                <w:sz w:val="20"/>
                <w:szCs w:val="20"/>
                <w:color w:val="auto"/>
              </w:rPr>
            </w:pPr>
            <w:r>
              <w:rPr>
                <w:rFonts w:ascii="Arial" w:cs="Arial" w:eastAsia="Arial" w:hAnsi="Arial"/>
                <w:sz w:val="18"/>
                <w:szCs w:val="18"/>
                <w:color w:val="auto"/>
              </w:rPr>
              <w:t>301,230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(unaudited)</w:t>
            </w:r>
          </w:p>
        </w:tc>
        <w:tc>
          <w:tcPr>
            <w:tcW w:w="8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0" w:type="dxa"/>
            <w:vAlign w:val="bottom"/>
            <w:gridSpan w:val="6"/>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Earnings (Loss) per Share</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Basic earnings (loss) per share is calculated using the weighted average number of common shares outstanding. Diluted earnings (loss) per share is calculated using the weighted average number of common shares outstanding, including the dilutive effect of the Company’s stock option grants, SARs, RSUs, employee stock purchase plan (ESPP) awards as determined per the treasury method, and the 2023 Notes, as determined per the if-converted method.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Convertible Notes and Related Convertible Note Hedges and Warrants</w:t>
      </w:r>
    </w:p>
    <w:p>
      <w:pPr>
        <w:spacing w:after="0" w:line="185"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8"/>
          <w:szCs w:val="18"/>
          <w:color w:val="auto"/>
        </w:rPr>
        <w:t xml:space="preserve">In connection with the issuance of the 2023 Notes, the Company entered into Convertible Note Hedge and Warrant Transactions as described further in Note 8, </w:t>
      </w:r>
      <w:r>
        <w:rPr>
          <w:rFonts w:ascii="Arial" w:cs="Arial" w:eastAsia="Arial" w:hAnsi="Arial"/>
          <w:sz w:val="18"/>
          <w:szCs w:val="18"/>
          <w:i w:val="1"/>
          <w:iCs w:val="1"/>
          <w:color w:val="auto"/>
        </w:rPr>
        <w:t>Debt</w:t>
      </w:r>
      <w:r>
        <w:rPr>
          <w:rFonts w:ascii="Arial" w:cs="Arial" w:eastAsia="Arial" w:hAnsi="Arial"/>
          <w:sz w:val="18"/>
          <w:szCs w:val="18"/>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$80.91 per share.</w:t>
      </w:r>
    </w:p>
    <w:p>
      <w:pPr>
        <w:spacing w:after="0" w:line="16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Diluted earnings (loss) per share related to the 2023 Notes is calculated using the if-converted method. The number of dilutive shares is based on the initial conversion rate associated with the 2023 Notes. The Convertible Note Hedge and Warrant Transactions are excluded in the calculation of diluted earnings (loss) per share because inclusion would be anti-dilutive. Specifically, the denominator of the diluted earnings (loss) per share calculation excludes the additional shares related to the warrants because the average price of the Company's common stock was less than the strike price of the warrants of $80.91 per share. The Convertible Note Hedge Transactions are not considered in calculating diluted earnings (loss) per share as their impact would be anti-dilutive.</w:t>
      </w:r>
    </w:p>
    <w:p>
      <w:pPr>
        <w:spacing w:after="0" w:line="152" w:lineRule="exact"/>
        <w:rPr>
          <w:sz w:val="20"/>
          <w:szCs w:val="20"/>
          <w:color w:val="auto"/>
        </w:rPr>
      </w:pPr>
    </w:p>
    <w:p>
      <w:pPr>
        <w:jc w:val="both"/>
        <w:ind w:right="180" w:firstLine="648"/>
        <w:spacing w:after="0" w:line="262" w:lineRule="auto"/>
        <w:rPr>
          <w:sz w:val="20"/>
          <w:szCs w:val="20"/>
          <w:color w:val="auto"/>
        </w:rPr>
      </w:pPr>
      <w:r>
        <w:rPr>
          <w:rFonts w:ascii="Arial" w:cs="Arial" w:eastAsia="Arial" w:hAnsi="Arial"/>
          <w:sz w:val="18"/>
          <w:szCs w:val="18"/>
          <w:color w:val="auto"/>
        </w:rPr>
        <w:t>In addition to the above described effect of the 2023 Notes and the related Convertible Note Hedge and Warrant Transactions, the Company also excluded the common stock equivalents of the following outstanding stock-based awards and shares associated with the conversion of the 2023 Notes in the calculation of diluted earnings (loss) per share, because their inclusion would be anti-dilutive:</w:t>
      </w:r>
    </w:p>
    <w:tbl>
      <w:tblPr>
        <w:tblLayout w:type="fixed"/>
        <w:tblInd w:w="0" w:type="dxa"/>
        <w:tblCellMar>
          <w:top w:w="0" w:type="dxa"/>
          <w:left w:w="0" w:type="dxa"/>
          <w:bottom w:w="0" w:type="dxa"/>
          <w:right w:w="0" w:type="dxa"/>
        </w:tblCellMar>
      </w:tblPr>
      <w:tr>
        <w:trPr>
          <w:trHeight w:val="151"/>
        </w:trPr>
        <w:tc>
          <w:tcPr>
            <w:tcW w:w="4500" w:type="dxa"/>
            <w:vAlign w:val="bottom"/>
          </w:tcPr>
          <w:p>
            <w:pPr>
              <w:spacing w:after="0"/>
              <w:rPr>
                <w:sz w:val="13"/>
                <w:szCs w:val="13"/>
                <w:color w:val="auto"/>
              </w:rPr>
            </w:pPr>
          </w:p>
        </w:tc>
        <w:tc>
          <w:tcPr>
            <w:tcW w:w="2340" w:type="dxa"/>
            <w:vAlign w:val="bottom"/>
          </w:tcPr>
          <w:p>
            <w:pPr>
              <w:jc w:val="center"/>
              <w:ind w:left="902"/>
              <w:spacing w:after="0" w:line="151" w:lineRule="exact"/>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jc w:val="center"/>
              <w:ind w:left="922"/>
              <w:spacing w:after="0" w:line="151" w:lineRule="exact"/>
              <w:rPr>
                <w:sz w:val="20"/>
                <w:szCs w:val="20"/>
                <w:color w:val="auto"/>
              </w:rPr>
            </w:pPr>
            <w:r>
              <w:rPr>
                <w:rFonts w:ascii="Arial" w:cs="Arial" w:eastAsia="Arial" w:hAnsi="Arial"/>
                <w:sz w:val="14"/>
                <w:szCs w:val="14"/>
                <w:b w:val="1"/>
                <w:bCs w:val="1"/>
                <w:color w:val="auto"/>
                <w:w w:val="94"/>
              </w:rPr>
              <w:t>Nine Months Ended</w:t>
            </w:r>
          </w:p>
        </w:tc>
        <w:tc>
          <w:tcPr>
            <w:tcW w:w="1000" w:type="dxa"/>
            <w:vAlign w:val="bottom"/>
          </w:tcPr>
          <w:p>
            <w:pPr>
              <w:spacing w:after="0"/>
              <w:rPr>
                <w:sz w:val="13"/>
                <w:szCs w:val="13"/>
                <w:color w:val="auto"/>
              </w:rPr>
            </w:pPr>
          </w:p>
        </w:tc>
      </w:tr>
      <w:tr>
        <w:trPr>
          <w:trHeight w:val="192"/>
        </w:trPr>
        <w:tc>
          <w:tcPr>
            <w:tcW w:w="4500" w:type="dxa"/>
            <w:vAlign w:val="bottom"/>
          </w:tcPr>
          <w:p>
            <w:pPr>
              <w:spacing w:after="0"/>
              <w:rPr>
                <w:sz w:val="16"/>
                <w:szCs w:val="16"/>
                <w:color w:val="auto"/>
              </w:rPr>
            </w:pPr>
          </w:p>
        </w:tc>
        <w:tc>
          <w:tcPr>
            <w:tcW w:w="2340" w:type="dxa"/>
            <w:vAlign w:val="bottom"/>
            <w:tcBorders>
              <w:bottom w:val="single" w:sz="8" w:color="auto"/>
            </w:tcBorders>
          </w:tcPr>
          <w:p>
            <w:pPr>
              <w:jc w:val="center"/>
              <w:ind w:left="902"/>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center"/>
              <w:ind w:left="922"/>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r>
      <w:tr>
        <w:trPr>
          <w:trHeight w:val="196"/>
        </w:trPr>
        <w:tc>
          <w:tcPr>
            <w:tcW w:w="4500" w:type="dxa"/>
            <w:vAlign w:val="bottom"/>
          </w:tcPr>
          <w:p>
            <w:pPr>
              <w:spacing w:after="0"/>
              <w:rPr>
                <w:sz w:val="17"/>
                <w:szCs w:val="17"/>
                <w:color w:val="auto"/>
              </w:rPr>
            </w:pPr>
          </w:p>
        </w:tc>
        <w:tc>
          <w:tcPr>
            <w:tcW w:w="2340" w:type="dxa"/>
            <w:vAlign w:val="bottom"/>
            <w:tcBorders>
              <w:bottom w:val="single" w:sz="8" w:color="auto"/>
            </w:tcBorders>
          </w:tcPr>
          <w:p>
            <w:pPr>
              <w:jc w:val="right"/>
              <w:ind w:right="1302"/>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2320" w:type="dxa"/>
            <w:vAlign w:val="bottom"/>
            <w:tcBorders>
              <w:bottom w:val="single" w:sz="8" w:color="auto"/>
            </w:tcBorders>
          </w:tcPr>
          <w:p>
            <w:pPr>
              <w:jc w:val="right"/>
              <w:ind w:right="1282"/>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r>
      <w:tr>
        <w:trPr>
          <w:trHeight w:val="194"/>
        </w:trPr>
        <w:tc>
          <w:tcPr>
            <w:tcW w:w="4500" w:type="dxa"/>
            <w:vAlign w:val="bottom"/>
          </w:tcPr>
          <w:p>
            <w:pPr>
              <w:spacing w:after="0"/>
              <w:rPr>
                <w:sz w:val="16"/>
                <w:szCs w:val="16"/>
                <w:color w:val="auto"/>
              </w:rPr>
            </w:pPr>
          </w:p>
        </w:tc>
        <w:tc>
          <w:tcPr>
            <w:tcW w:w="2340" w:type="dxa"/>
            <w:vAlign w:val="bottom"/>
          </w:tcPr>
          <w:p>
            <w:pPr>
              <w:jc w:val="center"/>
              <w:ind w:left="902"/>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jc w:val="center"/>
              <w:ind w:left="922"/>
              <w:spacing w:after="0"/>
              <w:rPr>
                <w:sz w:val="20"/>
                <w:szCs w:val="20"/>
                <w:color w:val="auto"/>
              </w:rPr>
            </w:pPr>
            <w:r>
              <w:rPr>
                <w:rFonts w:ascii="Arial" w:cs="Arial" w:eastAsia="Arial" w:hAnsi="Arial"/>
                <w:sz w:val="14"/>
                <w:szCs w:val="14"/>
                <w:b w:val="1"/>
                <w:bCs w:val="1"/>
                <w:color w:val="auto"/>
                <w:w w:val="94"/>
              </w:rPr>
              <w:t>(unaudited)</w:t>
            </w:r>
          </w:p>
        </w:tc>
        <w:tc>
          <w:tcPr>
            <w:tcW w:w="1000" w:type="dxa"/>
            <w:vAlign w:val="bottom"/>
          </w:tcPr>
          <w:p>
            <w:pPr>
              <w:spacing w:after="0"/>
              <w:rPr>
                <w:sz w:val="16"/>
                <w:szCs w:val="16"/>
                <w:color w:val="auto"/>
              </w:rPr>
            </w:pPr>
          </w:p>
        </w:tc>
      </w:tr>
      <w:tr>
        <w:trPr>
          <w:trHeight w:val="23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Notes</w:t>
            </w:r>
          </w:p>
        </w:tc>
        <w:tc>
          <w:tcPr>
            <w:tcW w:w="234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6,783,936</w:t>
            </w:r>
          </w:p>
        </w:tc>
        <w:tc>
          <w:tcPr>
            <w:tcW w:w="100" w:type="dxa"/>
            <w:vAlign w:val="bottom"/>
            <w:shd w:val="clear" w:color="auto" w:fill="CCEEFF"/>
          </w:tcPr>
          <w:p>
            <w:pPr>
              <w:spacing w:after="0"/>
              <w:rPr>
                <w:sz w:val="20"/>
                <w:szCs w:val="20"/>
                <w:color w:val="auto"/>
              </w:rPr>
            </w:pPr>
          </w:p>
        </w:tc>
        <w:tc>
          <w:tcPr>
            <w:tcW w:w="232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rPr>
              <w:t>2,261,312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Stock options, RSUs, PSUs</w:t>
            </w:r>
          </w:p>
        </w:tc>
        <w:tc>
          <w:tcPr>
            <w:tcW w:w="2340" w:type="dxa"/>
            <w:vAlign w:val="bottom"/>
          </w:tcPr>
          <w:p>
            <w:pPr>
              <w:jc w:val="right"/>
              <w:ind w:right="722"/>
              <w:spacing w:after="0"/>
              <w:rPr>
                <w:sz w:val="20"/>
                <w:szCs w:val="20"/>
                <w:color w:val="auto"/>
              </w:rPr>
            </w:pPr>
            <w:r>
              <w:rPr>
                <w:rFonts w:ascii="Arial" w:cs="Arial" w:eastAsia="Arial" w:hAnsi="Arial"/>
                <w:sz w:val="18"/>
                <w:szCs w:val="18"/>
                <w:color w:val="auto"/>
              </w:rPr>
              <w:t>411,506</w:t>
            </w:r>
          </w:p>
        </w:tc>
        <w:tc>
          <w:tcPr>
            <w:tcW w:w="980" w:type="dxa"/>
            <w:vAlign w:val="bottom"/>
          </w:tcPr>
          <w:p>
            <w:pPr>
              <w:jc w:val="right"/>
              <w:spacing w:after="0"/>
              <w:rPr>
                <w:sz w:val="20"/>
                <w:szCs w:val="20"/>
                <w:color w:val="auto"/>
              </w:rPr>
            </w:pPr>
            <w:r>
              <w:rPr>
                <w:rFonts w:ascii="Arial" w:cs="Arial" w:eastAsia="Arial" w:hAnsi="Arial"/>
                <w:sz w:val="18"/>
                <w:szCs w:val="18"/>
                <w:color w:val="auto"/>
              </w:rPr>
              <w:t>792,904</w:t>
            </w:r>
          </w:p>
        </w:tc>
        <w:tc>
          <w:tcPr>
            <w:tcW w:w="100" w:type="dxa"/>
            <w:vAlign w:val="bottom"/>
          </w:tcPr>
          <w:p>
            <w:pPr>
              <w:spacing w:after="0"/>
              <w:rPr>
                <w:sz w:val="20"/>
                <w:szCs w:val="20"/>
                <w:color w:val="auto"/>
              </w:rPr>
            </w:pPr>
          </w:p>
        </w:tc>
        <w:tc>
          <w:tcPr>
            <w:tcW w:w="2320" w:type="dxa"/>
            <w:vAlign w:val="bottom"/>
          </w:tcPr>
          <w:p>
            <w:pPr>
              <w:jc w:val="right"/>
              <w:ind w:right="702"/>
              <w:spacing w:after="0"/>
              <w:rPr>
                <w:sz w:val="20"/>
                <w:szCs w:val="20"/>
                <w:color w:val="auto"/>
              </w:rPr>
            </w:pPr>
            <w:r>
              <w:rPr>
                <w:rFonts w:ascii="Arial" w:cs="Arial" w:eastAsia="Arial" w:hAnsi="Arial"/>
                <w:sz w:val="18"/>
                <w:szCs w:val="18"/>
                <w:color w:val="auto"/>
              </w:rPr>
              <w:t>486,080</w:t>
            </w:r>
          </w:p>
        </w:tc>
        <w:tc>
          <w:tcPr>
            <w:tcW w:w="1000" w:type="dxa"/>
            <w:vAlign w:val="bottom"/>
          </w:tcPr>
          <w:p>
            <w:pPr>
              <w:jc w:val="right"/>
              <w:spacing w:after="0"/>
              <w:rPr>
                <w:sz w:val="20"/>
                <w:szCs w:val="20"/>
                <w:color w:val="auto"/>
              </w:rPr>
            </w:pPr>
            <w:r>
              <w:rPr>
                <w:rFonts w:ascii="Arial" w:cs="Arial" w:eastAsia="Arial" w:hAnsi="Arial"/>
                <w:sz w:val="18"/>
                <w:szCs w:val="18"/>
                <w:color w:val="auto"/>
              </w:rPr>
              <w:t>470,822</w:t>
            </w:r>
          </w:p>
        </w:tc>
      </w:tr>
    </w:tbl>
    <w:p>
      <w:pPr>
        <w:spacing w:after="0" w:line="25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(loss) per share for the three and nine months ended September 30, 2023 and 2022 under the if-converted method (dollars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4"/>
              </w:rPr>
              <w:t>Nine Months Ended</w:t>
            </w:r>
          </w:p>
        </w:tc>
        <w:tc>
          <w:tcPr>
            <w:tcW w:w="1000" w:type="dxa"/>
            <w:vAlign w:val="bottom"/>
          </w:tcPr>
          <w:p>
            <w:pPr>
              <w:spacing w:after="0"/>
              <w:rPr>
                <w:sz w:val="14"/>
                <w:szCs w:val="14"/>
                <w:color w:val="auto"/>
              </w:rPr>
            </w:pPr>
          </w:p>
        </w:tc>
      </w:tr>
      <w:tr>
        <w:trPr>
          <w:trHeight w:val="192"/>
        </w:trPr>
        <w:tc>
          <w:tcPr>
            <w:tcW w:w="4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r>
      <w:tr>
        <w:trPr>
          <w:trHeight w:val="195"/>
        </w:trPr>
        <w:tc>
          <w:tcPr>
            <w:tcW w:w="4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194"/>
        </w:trPr>
        <w:tc>
          <w:tcPr>
            <w:tcW w:w="4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4"/>
              </w:rPr>
              <w:t>(unaudited)</w:t>
            </w:r>
          </w:p>
        </w:tc>
        <w:tc>
          <w:tcPr>
            <w:tcW w:w="1000" w:type="dxa"/>
            <w:vAlign w:val="bottom"/>
          </w:tcPr>
          <w:p>
            <w:pPr>
              <w:spacing w:after="0"/>
              <w:rPr>
                <w:sz w:val="16"/>
                <w:szCs w:val="16"/>
                <w:color w:val="auto"/>
              </w:rPr>
            </w:pPr>
          </w:p>
        </w:tc>
      </w:tr>
      <w:tr>
        <w:trPr>
          <w:trHeight w:val="23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Net earnings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(15,976)</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35,230</w:t>
            </w: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After-tax interest expense for 2023 Notes</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Numerator for dilutive earnings (loss) per share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(15,976)</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37,894</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4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Weighted average shares outstanding, basic</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54,608,963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53,789,674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54,498,687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53,517,838</w:t>
            </w: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500" w:type="dxa"/>
            <w:vAlign w:val="bottom"/>
          </w:tcPr>
          <w:p>
            <w:pPr>
              <w:ind w:left="360"/>
              <w:spacing w:after="0"/>
              <w:rPr>
                <w:sz w:val="20"/>
                <w:szCs w:val="20"/>
                <w:color w:val="auto"/>
              </w:rPr>
            </w:pPr>
            <w:r>
              <w:rPr>
                <w:rFonts w:ascii="Arial" w:cs="Arial" w:eastAsia="Arial" w:hAnsi="Arial"/>
                <w:sz w:val="18"/>
                <w:szCs w:val="18"/>
                <w:color w:val="auto"/>
              </w:rPr>
              <w:t>Stock options, RSUs and SARs</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1,245,164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1,076,235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1,241,347</w:t>
            </w:r>
          </w:p>
        </w:tc>
      </w:tr>
      <w:tr>
        <w:trPr>
          <w:trHeight w:val="230"/>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6,783,936</w:t>
            </w: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Weighted average shares outstanding, diluted</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54,608,963</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55,034,838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55,574,922</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61,543,121</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4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Earnings (loss) per share,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share,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904"/>
        </w:trPr>
        <w:tc>
          <w:tcPr>
            <w:tcW w:w="4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29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 (Benefit)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the Company’s income tax expense (benefit)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(dollars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gridSpan w:val="2"/>
          </w:tcPr>
          <w:p>
            <w:pPr>
              <w:jc w:val="center"/>
              <w:ind w:left="542"/>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040" w:type="dxa"/>
            <w:vAlign w:val="bottom"/>
          </w:tcPr>
          <w:p>
            <w:pPr>
              <w:spacing w:after="0"/>
              <w:rPr>
                <w:sz w:val="14"/>
                <w:szCs w:val="14"/>
                <w:color w:val="auto"/>
              </w:rPr>
            </w:pPr>
          </w:p>
        </w:tc>
      </w:tr>
      <w:tr>
        <w:trPr>
          <w:trHeight w:val="196"/>
        </w:trPr>
        <w:tc>
          <w:tcPr>
            <w:tcW w:w="4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center"/>
              <w:ind w:left="522"/>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r>
      <w:tr>
        <w:trPr>
          <w:trHeight w:val="194"/>
        </w:trPr>
        <w:tc>
          <w:tcPr>
            <w:tcW w:w="4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40" w:type="dxa"/>
            <w:vAlign w:val="bottom"/>
            <w:gridSpan w:val="2"/>
          </w:tcPr>
          <w:p>
            <w:pPr>
              <w:jc w:val="center"/>
              <w:ind w:left="522"/>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040" w:type="dxa"/>
            <w:vAlign w:val="bottom"/>
          </w:tcPr>
          <w:p>
            <w:pPr>
              <w:spacing w:after="0"/>
              <w:rPr>
                <w:sz w:val="16"/>
                <w:szCs w:val="16"/>
                <w:color w:val="auto"/>
              </w:rPr>
            </w:pPr>
          </w:p>
        </w:tc>
      </w:tr>
      <w:tr>
        <w:trPr>
          <w:trHeight w:val="238"/>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25,865</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(2,193)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w w:val="93"/>
              </w:rPr>
              <w:t>1,638</w:t>
            </w:r>
          </w:p>
        </w:tc>
        <w:tc>
          <w:tcPr>
            <w:tcW w:w="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(9,627)</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261.6 %</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493.9 %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92.1 %</w:t>
            </w:r>
          </w:p>
        </w:tc>
        <w:tc>
          <w:tcPr>
            <w:tcW w:w="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r>
    </w:tbl>
    <w:p>
      <w:pPr>
        <w:spacing w:after="0" w:line="25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Income tax expense was $25.9 million for the three months ended September 30, 2023, as compared to income tax benefit of $2.2 million for the same period in the prior year. The change was primarily due to the larger pretax income in the third quarter of 2023. Income tax expense was $1.6 million for the nine months ended September 30, 2023, as compared to income tax benefit of $9.6 million for the same period in the prior year. The change was primarily due to certain tax benefits recognized with certain reorganization activities that occurred during the first quarter of 2022.</w:t>
      </w:r>
    </w:p>
    <w:p>
      <w:pPr>
        <w:spacing w:after="0" w:line="11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The change in the effective tax rates for both the three months ended September 30, 2023 and nine months ended September 30, 2023, as compared to the same periods in prior year, were primarily due to lower pretax earnings forecasted for 2023.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requires an estimate of the annual effective income tax rate for the full year and apply it to pretax income (loss) for each interim period, taking into account year-to-date amounts and projected results for the full year. The annual forecasted earnings represent the Company's best estimate as of September 30, 2023 and is subject to changes, which could have a material impact on the effective tax rate in subsequent periods.</w:t>
      </w:r>
    </w:p>
    <w:p>
      <w:pPr>
        <w:spacing w:after="0" w:line="1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3"/>
          <w:szCs w:val="13"/>
          <w:b w:val="1"/>
          <w:bCs w:val="1"/>
          <w:color w:val="auto"/>
        </w:rPr>
        <w:t>Leases</w:t>
      </w:r>
    </w:p>
    <w:p>
      <w:pPr>
        <w:spacing w:after="0" w:line="20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Operating lease assets and lease liabilities as reported on the unaudited condensed consolidated balance sheets are as follows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Balance Sheet Classification</w:t>
            </w: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54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428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428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15"/>
              <w:spacing w:after="0"/>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34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Other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28,904</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28,904</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 current portion</w:t>
            </w:r>
          </w:p>
        </w:tc>
        <w:tc>
          <w:tcPr>
            <w:tcW w:w="3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Accounts payable and accrued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liabilities, long-term</w:t>
            </w:r>
          </w:p>
        </w:tc>
        <w:tc>
          <w:tcPr>
            <w:tcW w:w="34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2"/>
              </w:rPr>
              <w:t>Operating lease liabilities, long-term</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35,998</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3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Composition of Other Balance Sheet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details the composition of other balance sheet items (dollars in thousands for amounts in tables):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Receivables, Net</w:t>
      </w:r>
    </w:p>
    <w:p>
      <w:pPr>
        <w:spacing w:after="0" w:line="19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As of September 30, 2023 and December 31, 2022, the Company has reduced accounts receivable by approximately $10.8 million and $13.0 million, respectively. Prompt pay discount and contractual service fees, which were originally recorded as a reduction to revenues, represents estimated amounts not expected to be paid by our customers. The Company's customers are primarily pharmaceutical wholesalers and distributors and specialty pharmacies.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4"/>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26,966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31,710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35,011</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91,541</w:t>
            </w:r>
          </w:p>
        </w:tc>
        <w:tc>
          <w:tcPr>
            <w:tcW w:w="0" w:type="dxa"/>
            <w:vAlign w:val="bottom"/>
          </w:tcPr>
          <w:p>
            <w:pPr>
              <w:spacing w:after="0"/>
              <w:rPr>
                <w:sz w:val="1"/>
                <w:szCs w:val="1"/>
                <w:color w:val="auto"/>
              </w:rPr>
            </w:pPr>
          </w:p>
        </w:tc>
      </w:tr>
      <w:tr>
        <w:trPr>
          <w:trHeight w:val="21"/>
        </w:trPr>
        <w:tc>
          <w:tcPr>
            <w:tcW w:w="7900" w:type="dxa"/>
            <w:vAlign w:val="bottom"/>
            <w:vMerge w:val="restart"/>
          </w:tcPr>
          <w:p>
            <w:pPr>
              <w:spacing w:after="0"/>
              <w:rPr>
                <w:sz w:val="20"/>
                <w:szCs w:val="20"/>
                <w:color w:val="auto"/>
              </w:rPr>
            </w:pPr>
            <w:r>
              <w:rPr>
                <w:rFonts w:ascii="Arial" w:cs="Arial" w:eastAsia="Arial" w:hAnsi="Arial"/>
                <w:sz w:val="18"/>
                <w:szCs w:val="18"/>
                <w:i w:val="1"/>
                <w:iCs w:val="1"/>
                <w:color w:val="auto"/>
              </w:rPr>
              <w:t>Property and Equipment</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4"/>
                <w:szCs w:val="2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4"/>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 and furniture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28,604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(13,049)</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15,173</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Depreciation and amortization expense on property and equipment was approximately $0.6 million and $1.9 million for the three and nine months ended September 30, 2023, and approximately $0.8 million and $2.2 million for the three and nine months ended September 30, 2022,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Accrued Liabilities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4"/>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Accrued compensation, benefits, &amp; related accruals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16,963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&amp; marketing</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Accrued R&amp;D expenses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manufacturing expenses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15,216</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royalties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12,022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liabilities, current portion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9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900" w:type="dxa"/>
            <w:vAlign w:val="bottom"/>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Refer to Note 15,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900" w:type="dxa"/>
            <w:vAlign w:val="bottom"/>
          </w:tcPr>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6"/>
                <w:szCs w:val="16"/>
                <w:color w:val="auto"/>
              </w:rPr>
              <w:t xml:space="preserve"> Refer to Note 12, </w:t>
            </w:r>
            <w:r>
              <w:rPr>
                <w:rFonts w:ascii="Arial" w:cs="Arial" w:eastAsia="Arial" w:hAnsi="Arial"/>
                <w:sz w:val="16"/>
                <w:szCs w:val="16"/>
                <w:i w:val="1"/>
                <w:iCs w:val="1"/>
                <w:color w:val="auto"/>
              </w:rPr>
              <w:t>Leases</w:t>
            </w: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900" w:type="dxa"/>
            <w:vAlign w:val="bottom"/>
          </w:tcPr>
          <w:p>
            <w:pPr>
              <w:spacing w:after="0"/>
              <w:rPr>
                <w:sz w:val="20"/>
                <w:szCs w:val="20"/>
                <w:color w:val="auto"/>
              </w:rPr>
            </w:pPr>
            <w:r>
              <w:rPr>
                <w:rFonts w:ascii="Arial" w:cs="Arial" w:eastAsia="Arial" w:hAnsi="Arial"/>
                <w:sz w:val="18"/>
                <w:szCs w:val="18"/>
                <w:i w:val="1"/>
                <w:iCs w:val="1"/>
                <w:color w:val="auto"/>
              </w:rPr>
              <w:t>Accrued Product Returns and Rebates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4"/>
                <w:szCs w:val="2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4"/>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product rebates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106,657</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product returns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45,008</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151,665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Interest Expense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details the composition of interest expense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w w:val="93"/>
              </w:rPr>
              <w:t>Nine Months Ended</w:t>
            </w:r>
          </w:p>
        </w:tc>
        <w:tc>
          <w:tcPr>
            <w:tcW w:w="1000" w:type="dxa"/>
            <w:vAlign w:val="bottom"/>
          </w:tcPr>
          <w:p>
            <w:pPr>
              <w:spacing w:after="0"/>
              <w:rPr>
                <w:sz w:val="14"/>
                <w:szCs w:val="14"/>
                <w:color w:val="auto"/>
              </w:rPr>
            </w:pPr>
          </w:p>
        </w:tc>
      </w:tr>
      <w:tr>
        <w:trPr>
          <w:trHeight w:val="192"/>
        </w:trPr>
        <w:tc>
          <w:tcPr>
            <w:tcW w:w="45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r>
      <w:tr>
        <w:trPr>
          <w:trHeight w:val="196"/>
        </w:trPr>
        <w:tc>
          <w:tcPr>
            <w:tcW w:w="45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r>
      <w:tr>
        <w:trPr>
          <w:trHeight w:val="194"/>
        </w:trPr>
        <w:tc>
          <w:tcPr>
            <w:tcW w:w="4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4"/>
              </w:rPr>
              <w:t>(unaudited)</w:t>
            </w:r>
          </w:p>
        </w:tc>
        <w:tc>
          <w:tcPr>
            <w:tcW w:w="1000" w:type="dxa"/>
            <w:vAlign w:val="bottom"/>
          </w:tcPr>
          <w:p>
            <w:pPr>
              <w:spacing w:after="0"/>
              <w:rPr>
                <w:sz w:val="16"/>
                <w:szCs w:val="16"/>
                <w:color w:val="auto"/>
              </w:rPr>
            </w:pPr>
          </w:p>
        </w:tc>
      </w:tr>
      <w:tr>
        <w:trPr>
          <w:trHeight w:val="23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176"/>
        </w:trPr>
        <w:tc>
          <w:tcPr>
            <w:tcW w:w="4520" w:type="dxa"/>
            <w:vAlign w:val="bottom"/>
          </w:tcPr>
          <w:p>
            <w:pPr>
              <w:ind w:left="20"/>
              <w:spacing w:after="0" w:line="176" w:lineRule="exact"/>
              <w:rPr>
                <w:sz w:val="20"/>
                <w:szCs w:val="20"/>
                <w:color w:val="auto"/>
              </w:rPr>
            </w:pPr>
            <w:r>
              <w:rPr>
                <w:rFonts w:ascii="Arial" w:cs="Arial" w:eastAsia="Arial" w:hAnsi="Arial"/>
                <w:sz w:val="18"/>
                <w:szCs w:val="18"/>
                <w:color w:val="auto"/>
                <w:w w:val="93"/>
              </w:rPr>
              <w:t>Noncash interest expense on nonrecourse liability related to</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sale of future royalties</w:t>
            </w:r>
          </w:p>
        </w:tc>
        <w:tc>
          <w:tcPr>
            <w:tcW w:w="98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 on debt</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(5,476)</w:t>
            </w:r>
          </w:p>
        </w:tc>
      </w:tr>
      <w:tr>
        <w:trPr>
          <w:trHeight w:val="21"/>
        </w:trPr>
        <w:tc>
          <w:tcPr>
            <w:tcW w:w="4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Noncash interest expense on debt is related to amortization of deferred financing costs on the 2023 Notes. The Company fully amortized the deferred financing costs on the 2023 Notes in the first quarter of 2023.</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Licenses</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146"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unaudited condensed consolidated statements of earnings (loss).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w:t>
      </w:r>
    </w:p>
    <w:p>
      <w:pPr>
        <w:spacing w:after="0" w:line="185"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 xml:space="preserve">In the third quarter of 2014, the Company received $30 million pursuant to a Royalty Interest Acquisition Agreement related to the purchase by HC Royalty of certain of the Company's rights under the Company's agreement with United Therapeutics related to the commercialization of Orenitram (treprostinil) Extended-Release Tablets. Full ownership of the royalty rights have reverted back to the Company as the cumulative payment threshold has been reached as of June 30, 2023 (see Note 3, </w:t>
      </w:r>
      <w:r>
        <w:rPr>
          <w:rFonts w:ascii="Arial" w:cs="Arial" w:eastAsia="Arial" w:hAnsi="Arial"/>
          <w:sz w:val="18"/>
          <w:szCs w:val="18"/>
          <w:i w:val="1"/>
          <w:iCs w:val="1"/>
          <w:color w:val="auto"/>
        </w:rPr>
        <w:t>Disaggregated Revenues</w:t>
      </w:r>
      <w:r>
        <w:rPr>
          <w:rFonts w:ascii="Arial" w:cs="Arial" w:eastAsia="Arial" w:hAnsi="Arial"/>
          <w:sz w:val="18"/>
          <w:szCs w:val="18"/>
          <w:color w:val="auto"/>
        </w:rPr>
        <w:t>).</w:t>
      </w:r>
    </w:p>
    <w:p>
      <w:pPr>
        <w:spacing w:after="0" w:line="14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As of December 31, 2022, the nonrecourse liability related to the sale of future royalties was $6.0 million and was included in </w:t>
      </w:r>
      <w:r>
        <w:rPr>
          <w:rFonts w:ascii="Arial" w:cs="Arial" w:eastAsia="Arial" w:hAnsi="Arial"/>
          <w:sz w:val="18"/>
          <w:szCs w:val="18"/>
          <w:i w:val="1"/>
          <w:iCs w:val="1"/>
          <w:color w:val="auto"/>
        </w:rPr>
        <w:t>Other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 reported on the condensed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USWM Enterprise Commitments Assumed</w:t>
      </w:r>
    </w:p>
    <w:p>
      <w:pPr>
        <w:spacing w:after="0" w:line="18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part of the USWM Acquisition, the Company assumed the remaining commitments of USWM Enterprises and its subsidiaries, which are discussed below.</w:t>
      </w:r>
    </w:p>
    <w:p>
      <w:pPr>
        <w:spacing w:after="0" w:line="13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assumed the annual minimum purchase requirement of MYOBLOC, amounting to an estimated €3.9 million annually, under the contract manufacturing agreement with Merz for manufacture and supply.</w:t>
      </w:r>
    </w:p>
    <w:p>
      <w:pPr>
        <w:spacing w:after="0" w:line="14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will continue to maintain a broad array of processes, policies and procedures necessary to comply with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CIA through March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Breach-related Contingency</w:t>
      </w:r>
    </w:p>
    <w:p>
      <w:pPr>
        <w:spacing w:after="0" w:line="18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November 24, 2021, the Company announced that we were the target of a ransomware attack. The attack had no significant impact on our business and did not cause any long-term disruption to our operations. Based on its internal investigation, the Company believes the criminal ransomware groups ("criminal groups") copied certain data from our systems, encrypted certain data on the Company's systems, and then deployed malware designed to impede access to our systems. Thereafter the criminal groups contacted the Company and threatened to publish certain data copied from the Company's systems. Upon detection of the ransomware attack, the Company notified government authorities, engaged third-party cybersecurity experts through our outside counsel, and commenced its recovery process. The Company maintains redundant off-site data backups, which were verified to have not been compromised by the ransomware attack and were utilized to restore the data encrypted by the criminal groups. In the fourth quarter of 2021, the Company had successfully recovered the impacted files and took additional steps designed to further protect its networks and files.</w:t>
      </w:r>
    </w:p>
    <w:p>
      <w:pPr>
        <w:spacing w:after="0" w:line="1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Furthermore,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 The Company continues to monitor the situation.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18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NAMENDA XR/Namzaric Qui Tam Litigation</w:t>
      </w:r>
    </w:p>
    <w:p>
      <w:pPr>
        <w:spacing w:after="0" w:line="19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was heard by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On March 20, 2023, the District Court entered an order and final judgment dismissing with prejudice Silbersher’s Federal False Claims Act claim while declining to exercise supplemental jurisdiction over the state false claims act claims which were dismissed without prejudice. On April 19, 2023, the plaintiff appealed the District Court's dismissal of the Federal False Claims Act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APOKYN Litigation</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January 10, 2023, the Company filed motions to dismiss all claims. On January 25, 2023, Defendants filed a motion to stay discovery and stay the deadline to submit a proposed scheduling order pending resolutions of Defendants’ motions to dismiss. On March 7, 2023, the Court denied the Company's motion to stay and ordered that the parties commence discovery. On April 10, 2023, the Court issued a scheduling order that provides for a Pretrial Conference on March 7, 2025 and a jury trial beginning on March 24, 2025. Pretrial discovery is ongoing as the date of this letter. The Company intends to defend itself vigorously. However, the Company can offer no assurances that it will be successful in a litigation.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Apotex Settlement and License Agreements</w:t>
      </w:r>
    </w:p>
    <w:p>
      <w:pPr>
        <w:spacing w:after="0" w:line="18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Company entered into a settlement and license agreements dated June 21, 2023 with Apotex Inc. to settle ongoing patent litigation regarding Apotex ANDA filings seeking approval to market a generic version of the Company's 150mg, 300mg, and 600mg strength Oxtellar XR (extended-release oxcarbazepine) tablets in September 2024, or sooner under certain conditions.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2023, the Company resubmitted its New Drug Application (NDA) for its apomorphine infusion device (SPN-830) for the continuous treatment of motor fluctuations ("off" episodes) in Parkinson’s disease. In November 2023. the FDA accepted the resubmission of the NDA for SPN-830. The NDA is now considered filed, with a user fee goal date (PDUFA date) of April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2022 and the related Management’s Discussion and Analysis of Financial Condition and Results of Operations, both of which are contained in our Annual Report on Form 10-K, filed with the Securities and Exchange Commission on March 9, 2023.</w:t>
      </w:r>
    </w:p>
    <w:p>
      <w:pPr>
        <w:spacing w:after="0" w:line="1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3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spacing w:after="0" w:line="13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185" w:lineRule="exact"/>
        <w:rPr>
          <w:sz w:val="20"/>
          <w:szCs w:val="20"/>
          <w:color w:val="auto"/>
        </w:rPr>
      </w:pPr>
    </w:p>
    <w:p>
      <w:pPr>
        <w:ind w:left="660" w:right="20" w:hanging="328"/>
        <w:spacing w:after="0" w:line="23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Qelbree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w:t>
      </w:r>
    </w:p>
    <w:p>
      <w:pPr>
        <w:spacing w:after="0" w:line="169" w:lineRule="exact"/>
        <w:rPr>
          <w:rFonts w:ascii="Arial" w:cs="Arial" w:eastAsia="Arial" w:hAnsi="Arial"/>
          <w:sz w:val="18"/>
          <w:szCs w:val="18"/>
          <w:color w:val="auto"/>
        </w:rPr>
      </w:pPr>
    </w:p>
    <w:p>
      <w:pPr>
        <w:jc w:val="both"/>
        <w:ind w:left="660" w:right="320" w:hanging="328"/>
        <w:spacing w:after="0" w:line="23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GOCOVRI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spacing w:after="0" w:line="156" w:lineRule="exact"/>
        <w:rPr>
          <w:rFonts w:ascii="Arial" w:cs="Arial" w:eastAsia="Arial" w:hAnsi="Arial"/>
          <w:sz w:val="18"/>
          <w:szCs w:val="18"/>
          <w:color w:val="auto"/>
        </w:rPr>
      </w:pPr>
    </w:p>
    <w:p>
      <w:pPr>
        <w:ind w:left="660" w:hanging="328"/>
        <w:spacing w:after="0" w:line="289"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Trokendi XR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spacing w:after="0" w:line="114" w:lineRule="exact"/>
        <w:rPr>
          <w:rFonts w:ascii="Arial" w:cs="Arial" w:eastAsia="Arial" w:hAnsi="Arial"/>
          <w:sz w:val="16"/>
          <w:szCs w:val="16"/>
          <w:color w:val="auto"/>
        </w:rPr>
      </w:pPr>
    </w:p>
    <w:p>
      <w:pPr>
        <w:ind w:left="660" w:right="200" w:hanging="328"/>
        <w:spacing w:after="0" w:line="23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Oxtellar XR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(oxcarbazepine) is indicated as therapy for the treatment of partial onset seizures in patients 6 years of age and older. It is also the first once-daily extended-release oxcarbazepine product indicated for the treatment of epilepsy in the U.S. market.</w:t>
      </w:r>
    </w:p>
    <w:p>
      <w:pPr>
        <w:spacing w:after="0" w:line="170" w:lineRule="exact"/>
        <w:rPr>
          <w:rFonts w:ascii="Arial" w:cs="Arial" w:eastAsia="Arial" w:hAnsi="Arial"/>
          <w:sz w:val="17"/>
          <w:szCs w:val="17"/>
          <w:color w:val="auto"/>
        </w:rPr>
      </w:pPr>
    </w:p>
    <w:p>
      <w:pPr>
        <w:ind w:left="660" w:right="360" w:hanging="328"/>
        <w:spacing w:after="0" w:line="22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APOKYN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(apomorphine hydrochloride injection) is a product indicated for the acute, intermittent treatment of hypomobility, "off" episodes ("end-of-dose wearing off" and unpredictable "on/off" episodes) in patients with advanced PD.</w:t>
      </w:r>
    </w:p>
    <w:p>
      <w:pPr>
        <w:spacing w:after="0" w:line="157" w:lineRule="exact"/>
        <w:rPr>
          <w:rFonts w:ascii="Arial" w:cs="Arial" w:eastAsia="Arial" w:hAnsi="Arial"/>
          <w:sz w:val="18"/>
          <w:szCs w:val="18"/>
          <w:color w:val="auto"/>
        </w:rPr>
      </w:pPr>
    </w:p>
    <w:p>
      <w:pPr>
        <w:ind w:left="660" w:right="140" w:hanging="328"/>
        <w:spacing w:after="0" w:line="22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XADAGO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(safinamide) is a once-daily product indicated as adjunctive treatment to levodopa/carbidopa in patients with PD experiencing "off" episodes.</w:t>
      </w:r>
    </w:p>
    <w:p>
      <w:pPr>
        <w:spacing w:after="0" w:line="1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Osmolex 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(amantadine) extended-release tablets is for the treatment of PD and drug-induced extrapyramidal reactions in adult patients.</w:t>
      </w:r>
    </w:p>
    <w:p>
      <w:pPr>
        <w:spacing w:after="0" w:line="146" w:lineRule="exact"/>
        <w:rPr>
          <w:rFonts w:ascii="Arial" w:cs="Arial" w:eastAsia="Arial" w:hAnsi="Arial"/>
          <w:sz w:val="17"/>
          <w:szCs w:val="17"/>
          <w:color w:val="auto"/>
        </w:rPr>
      </w:pPr>
    </w:p>
    <w:p>
      <w:pPr>
        <w:ind w:left="660" w:right="180" w:hanging="328"/>
        <w:spacing w:after="0" w:line="22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MYOBLOC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(rimabotulinumtoxinB injection) is a product indicated for the treatment of cervical dystonia and chronic sialorrhea in adults. It is the only botulinum toxin type B available on the market.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committed to the development of innovative product candidates in neurology and psychiatry,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000750" cy="2288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0075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device) for treatment of PD</w:t>
      </w:r>
    </w:p>
    <w:p>
      <w:pPr>
        <w:spacing w:after="0" w:line="18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December 2021, we resubmitted the New Drug Application (NDA) to the FDA. In February 2022, we received a notice from the FDA that the resubmission of the NDA for SPN-830 was considered as a Standard Review and was assigned a PDUFA target action date in early October 2022. In October 2022, the FDA issued a Complete Response Letter (CRL) regarding the NDA for SPN-830. The CRL requires additional information and analysis related to the infusion device and drug product across several areas of the NDA including, but not limited to, labeling, product quality and manufacturing, device performance and risk analysis. In addition, the FDA mentions that approval of the NDA requires inspections that could not be completed in a timely manner due to COVID-19 travel restrictions. The CRL does not request additional efficacy and safety clinical studies. The FDA has made an initial determination that the amendment to the Company’s application in response to the CRL will be subject to a Class 2, or six-month, review timeline. In April 2023, the Company met with the FDA to discuss the CRL. In October 2023, the Company resubmitted the NDA for SPN-830. Refer to discussion under the Operational Highlights section below for a further regulatory update.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 – Novel first-in-class molecule that increases mTORC1 mediated synaptic function for depression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SPN-820 is a first-in-class, orally active small molecule that increases the brain mechanistic target of rapamycin</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complex 1 (mTORC1) mediated synaptic function intracellularly. SPN-820 does not bind to or modulate any cell surface receptors and therefore is unlikely to have abuse potential given lack of binding to targets implicated in drug abuse. In addition, unlike leucine, it is not incorporated into proteins during protein synthesis, and therefore, it is more available at the target site in the brain than leucine.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 Novel first-in-class highly selective AChE inhibitor for epilepsy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SPN-817 represents a novel mechanism of action (MOA) for an anticonvulsant. SPN-817 is a novel synthetic form of</w:t>
      </w:r>
    </w:p>
    <w:p>
      <w:pPr>
        <w:spacing w:after="0" w:line="2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huperzine A, a first in class, highly selective acetylcholinesterase (AChE) inhibitor, with pharmacological activities in CNS conditions such as focal epilepsy. The development will initially focus on the drug's anticonvulsant activity, which has been shown in preclinical models to be effective for the treatment of epilepsy. SPN-817 is in clinical development and has received Orphan Drug designation for several epilepsy indications from the FDA.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Qelbree Update</w:t>
      </w:r>
    </w:p>
    <w:p>
      <w:pPr>
        <w:spacing w:after="0" w:line="185"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IQVIA prescriptions were 163,344 in the third quarter of 2023, an increase of 73% compared to the same period last year and 12% compared to the second quarter of 2023.</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Qelbree continues to expand its base of prescribers, with approximately 24,189 prescribers in the third quarter of 2023, up from 21,291 prescribers in the second quarter of 2023.</w:t>
      </w:r>
    </w:p>
    <w:p>
      <w:pPr>
        <w:spacing w:after="0" w:line="129" w:lineRule="exact"/>
        <w:rPr>
          <w:rFonts w:ascii="Arial" w:cs="Arial" w:eastAsia="Arial" w:hAnsi="Arial"/>
          <w:sz w:val="18"/>
          <w:szCs w:val="18"/>
          <w:color w:val="auto"/>
        </w:rPr>
      </w:pPr>
    </w:p>
    <w:p>
      <w:pPr>
        <w:ind w:left="660" w:right="54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presented new data at Psych Congress 2023 in September showing improved efficacy in children ages 6 years and older with ADHD when Qelbree is administered with stimulants, as well as in adults with ADHD who undergo long-term treatment with Qelbree.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 Update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device) - Continuous treatment of motor fluctuations (“off” episodes) in Parkinson's Disease (PD)</w:t>
      </w:r>
    </w:p>
    <w:p>
      <w:pPr>
        <w:spacing w:after="0" w:line="185" w:lineRule="exact"/>
        <w:rPr>
          <w:sz w:val="20"/>
          <w:szCs w:val="20"/>
          <w:color w:val="auto"/>
        </w:rPr>
      </w:pPr>
    </w:p>
    <w:p>
      <w:pPr>
        <w:ind w:left="660" w:right="1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November 2023, the FDA accepted the resubmission of the NDA for SPN-830. The resubmission is now considered filed, with a user fee goal date (PDUFA date) of April 5,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SPN-820 - Novel first-in-class activator of mTORC1 for the treatment of depression</w:t>
      </w:r>
    </w:p>
    <w:p>
      <w:pPr>
        <w:spacing w:after="0" w:line="198" w:lineRule="exact"/>
        <w:rPr>
          <w:sz w:val="20"/>
          <w:szCs w:val="20"/>
          <w:color w:val="auto"/>
        </w:rPr>
      </w:pPr>
    </w:p>
    <w:p>
      <w:pPr>
        <w:ind w:left="660" w:right="140" w:hanging="328"/>
        <w:spacing w:after="0" w:line="27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Phase IIb multi-center randomized double-blind placebo-controlled parallel design study of SPN-820 in adults with treatment-resistant depression is ongoing. The study will examine the efficacy and safety of SPN-820 over a course of five weeks of treatment in approximately 268 patients in up to 50 clinical sites. The primary outcome measure is the change from baseline to end of treatment period on the Montgomery-Asberg Depression Rating Scale (MADRS) Total Score. Topline data from the Phase IIb trial is expected in 2025.</w:t>
      </w:r>
    </w:p>
    <w:p>
      <w:pPr>
        <w:spacing w:after="0" w:line="130" w:lineRule="exact"/>
        <w:rPr>
          <w:rFonts w:ascii="Arial" w:cs="Arial" w:eastAsia="Arial" w:hAnsi="Arial"/>
          <w:sz w:val="17"/>
          <w:szCs w:val="17"/>
          <w:color w:val="auto"/>
        </w:rPr>
      </w:pPr>
    </w:p>
    <w:p>
      <w:pPr>
        <w:ind w:left="660" w:right="2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plans to initiate a Phase II open-label study in approximately 40 subjects with major depressive disorder (MDD) before year-end 2023. The primary objective of the study is to assess efficacy in MDD, as well as onset of efficacy.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 Novel first-in-class selective acetylcholinesterase (AChE) inhibitor for the treatment of epilepsy</w:t>
      </w:r>
    </w:p>
    <w:p>
      <w:pPr>
        <w:spacing w:after="0" w:line="198" w:lineRule="exact"/>
        <w:rPr>
          <w:sz w:val="20"/>
          <w:szCs w:val="20"/>
          <w:color w:val="auto"/>
        </w:rPr>
      </w:pPr>
    </w:p>
    <w:p>
      <w:pPr>
        <w:ind w:left="660" w:right="4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open-label Phase IIa clinical study of SPN-817 for treatment-resistant seizures is ongoing. The study is examining the safety and tolerability of SPN-817 as adjunctive therapy in adult patients with treatment-resistant seizures, as well as assessing efficacy. The Company expects topline results from the Phase IIa study in the first half of 2024.</w:t>
      </w:r>
    </w:p>
    <w:p>
      <w:pPr>
        <w:spacing w:after="0" w:line="143"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expects to initiate a Phase IIb randomized, double-blind, placebo-controlled study in approximately 436 patients with treatment-resistant focal seizures in the first half of 2024. The primary endpoint is change from baseline in focal seizure frequency per 28 days. Topline results from the Phase IIb study are expected in 2026.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SPN-443 – Novel stimulant for the treatment of ADHD/CNS</w:t>
      </w:r>
    </w:p>
    <w:p>
      <w:pPr>
        <w:spacing w:after="0" w:line="198" w:lineRule="exact"/>
        <w:rPr>
          <w:sz w:val="20"/>
          <w:szCs w:val="20"/>
          <w:color w:val="auto"/>
        </w:rPr>
      </w:pPr>
    </w:p>
    <w:p>
      <w:pPr>
        <w:ind w:left="660" w:right="88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is planning in 2024 to initiate a Phase I single dose study in approximately 24 healthy adults following submission of an investigational new drug application. The primary objective of the study is to assess safety and tolerability.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89"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 xml:space="preserve">A summary of our significant accounting policies is included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our audited consolidated financial statements included in the Annual Report on Form 10-K for the year ended December 31, 2022. There were no significant changes to the disclosures with respect to our critical accounting policies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85"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Revenues consist primarily of net product sales of our commercial products in the U.S., supplemented by royalty revenues from our collaborative licensing arrangements. The following table provides information regarding our revenues during the three and nine months ended months ended September 30, 2023 and 2022 (dollars in thousands):</w:t>
      </w:r>
    </w:p>
    <w:tbl>
      <w:tblPr>
        <w:tblLayout w:type="fixed"/>
        <w:tblInd w:w="0" w:type="dxa"/>
        <w:tblCellMar>
          <w:top w:w="0" w:type="dxa"/>
          <w:left w:w="0" w:type="dxa"/>
          <w:bottom w:w="0" w:type="dxa"/>
          <w:right w:w="0" w:type="dxa"/>
        </w:tblCellMar>
      </w:tblPr>
      <w:tr>
        <w:trPr>
          <w:trHeight w:val="151"/>
        </w:trPr>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5"/>
          </w:tcPr>
          <w:p>
            <w:pPr>
              <w:jc w:val="center"/>
              <w:ind w:right="340"/>
              <w:spacing w:after="0" w:line="151" w:lineRule="exact"/>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3"/>
                <w:szCs w:val="13"/>
                <w:color w:val="auto"/>
              </w:rPr>
            </w:pPr>
          </w:p>
        </w:tc>
        <w:tc>
          <w:tcPr>
            <w:tcW w:w="12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5"/>
          </w:tcPr>
          <w:p>
            <w:pPr>
              <w:jc w:val="center"/>
              <w:ind w:right="360"/>
              <w:spacing w:after="0" w:line="151" w:lineRule="exact"/>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3"/>
                <w:szCs w:val="13"/>
                <w:color w:val="auto"/>
              </w:rPr>
            </w:pPr>
          </w:p>
        </w:tc>
        <w:tc>
          <w:tcPr>
            <w:tcW w:w="12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2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2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4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7"/>
              </w:rPr>
              <w:t>Percent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140"/>
              <w:spacing w:after="0"/>
              <w:rPr>
                <w:sz w:val="20"/>
                <w:szCs w:val="20"/>
                <w:color w:val="auto"/>
              </w:rPr>
            </w:pPr>
            <w:r>
              <w:rPr>
                <w:rFonts w:ascii="Arial" w:cs="Arial" w:eastAsia="Arial" w:hAnsi="Arial"/>
                <w:sz w:val="18"/>
                <w:szCs w:val="18"/>
                <w:color w:val="auto"/>
              </w:rPr>
              <w:t>Qelbree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37,081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18,326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93,840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37,708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GOCOVRI</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Oxtellar XR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82,359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Trokendi XR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APOKYN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Total net product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149,004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172,724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417,915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485,647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(67,732)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153,880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443,207</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150"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net product sales of MYOBLOC, XADAGO and Osmolex ER.</w:t>
      </w:r>
    </w:p>
    <w:p>
      <w:pPr>
        <w:spacing w:after="0" w:line="16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Total net product sales decreased by $23.7 million and $67.7 million for the three and nine months ended September 30, 2023, as compared to the same periods in 2022, primarily due to the decline in net product sales of Trokendi XR which was partially offset by the increase in net product sales from Qelbree and GOCOVRI.</w:t>
      </w:r>
    </w:p>
    <w:p>
      <w:pPr>
        <w:spacing w:after="0" w:line="14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Qelbree net product sales increased by $18.8 million and $56.1 million for the three and nine months ended September 30, 2023 due to favorable unit prescription volume growth. The Company launched Qelbree for pediatric patients in May 2021 and for adult patients in May 2022 in the U.S. Trokendi XR net product sales decreased for the three and nine months ended September 30, 2023, as compared to the same periods in 2022 due to the loss of exclusivity with generics entering the market in January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Deductions and Related Accruals</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We record accrued product returns and accrued product rebates as current liabilities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xml:space="preserve"> on our condensed consolidated balance sheets. We record sales discounts as a reduction against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on the condensed consolidated balance sheets. Both amounts are generally affected by changes in gross product sales, changes in the provision for net product sales deductions, and the timing of payments/credits.</w:t>
      </w:r>
    </w:p>
    <w:p>
      <w:pPr>
        <w:spacing w:after="0" w:line="146" w:lineRule="exact"/>
        <w:rPr>
          <w:sz w:val="20"/>
          <w:szCs w:val="20"/>
          <w:color w:val="auto"/>
        </w:rPr>
      </w:pPr>
    </w:p>
    <w:p>
      <w:pPr>
        <w:ind w:right="340" w:firstLine="648"/>
        <w:spacing w:after="0" w:line="269" w:lineRule="auto"/>
        <w:rPr>
          <w:sz w:val="20"/>
          <w:szCs w:val="20"/>
          <w:color w:val="auto"/>
        </w:rPr>
      </w:pPr>
      <w:r>
        <w:rPr>
          <w:rFonts w:ascii="Arial" w:cs="Arial" w:eastAsia="Arial" w:hAnsi="Arial"/>
          <w:sz w:val="18"/>
          <w:szCs w:val="18"/>
          <w:color w:val="auto"/>
        </w:rPr>
        <w:t>The following table provides a summary of activity with respect to accrued product returns and rebates during the periods indicated (dollars in thousands):</w:t>
      </w: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Accrued Product Returns and Rebates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Allowance for</w:t>
            </w: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60"/>
              <w:spacing w:after="0" w:line="133" w:lineRule="exact"/>
              <w:rPr>
                <w:sz w:val="20"/>
                <w:szCs w:val="20"/>
                <w:color w:val="auto"/>
              </w:rPr>
            </w:pPr>
            <w:r>
              <w:rPr>
                <w:rFonts w:ascii="Arial" w:cs="Arial" w:eastAsia="Arial" w:hAnsi="Arial"/>
                <w:sz w:val="14"/>
                <w:szCs w:val="14"/>
                <w:b w:val="1"/>
                <w:bCs w:val="1"/>
                <w:color w:val="auto"/>
              </w:rPr>
              <w:t>Product</w:t>
            </w:r>
          </w:p>
        </w:tc>
        <w:tc>
          <w:tcPr>
            <w:tcW w:w="2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355"/>
              <w:spacing w:after="0" w:line="133" w:lineRule="exact"/>
              <w:rPr>
                <w:sz w:val="20"/>
                <w:szCs w:val="20"/>
                <w:color w:val="auto"/>
              </w:rPr>
            </w:pPr>
            <w:r>
              <w:rPr>
                <w:rFonts w:ascii="Arial" w:cs="Arial" w:eastAsia="Arial" w:hAnsi="Arial"/>
                <w:sz w:val="14"/>
                <w:szCs w:val="14"/>
                <w:b w:val="1"/>
                <w:bCs w:val="1"/>
                <w:color w:val="auto"/>
              </w:rPr>
              <w:t>Product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Returns</w:t>
            </w: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Rebates</w:t>
            </w: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Sales Discounts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164,660</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current year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376,416</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Adjustments relating to prior year sales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378,053</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Actual payments/credits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(310,351)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(50,960)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(369,407)</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108,129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173,306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Accrued Product Returns and Rebates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Product</w:t>
            </w: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Allowance for</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Returns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Rebates</w:t>
            </w: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Sales Discounts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8"/>
              </w:rPr>
              <w:t>35,127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current year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13,846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391,399</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Adjustments relating to prior year sales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(3,225)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10,621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388,202</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Actual payments/credits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(6,440)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(363,213)</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8"/>
              </w:rPr>
              <w:t>39,308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Product Returns and Rebates</w:t>
      </w:r>
    </w:p>
    <w:p>
      <w:pPr>
        <w:spacing w:after="0" w:line="19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accrued product returns balance increased from $39.3 million as of September 30, 2022 to $54.3 million as of September 30, 2023 principally due to the timing of related return activity and an increase in provision for product returns primarily related to Qelbree.</w:t>
      </w:r>
    </w:p>
    <w:p>
      <w:pPr>
        <w:spacing w:after="0" w:line="13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accrued product rebates balance decreased from $119.2 million as of September 30, 2022 to $108.1 million as of September 30, 2023 due to lower gross sales primarily relating to the loss of exclusivity on Trokendi XR and timing of payments.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Product Returns and Rebates</w:t>
      </w:r>
    </w:p>
    <w:p>
      <w:pPr>
        <w:spacing w:after="0" w:line="19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provision for product returns increased from $10.6 million for the nine months ended September 30, 2022 to $17.4 million for the nine months ended September 30, 2023. The increase was primarily attributable to an increase in volume of products sold with the launch of Qelbree for adults in 2022, partially offset by lower sales of Trokendi XR.</w:t>
      </w:r>
    </w:p>
    <w:p>
      <w:pPr>
        <w:spacing w:after="0" w:line="143"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provision for product rebates decreased from $321.9 million for the nine months ended September 30, 2022 to $311.8 million for nine months ended September 30, 2023. The decrease was primarily attributable to lower Trokendi XR sales partially offset by higher Qelbree sales.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Royalty Revenues</w:t>
      </w:r>
    </w:p>
    <w:p>
      <w:pPr>
        <w:spacing w:after="0" w:line="19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Royalty revenues were $4.9 million and $4.6 million for the three months ended September 30, 2023 and 2022, respectively. Royalty revenues were $25.3 million and $14.3 million for the nine months ended September 30, 2023 and 2022, respectively. The increase was primarily due to royalties on generic Trokendi XR for the nine months ended September 30, 2023. The Company entered into settlement agreements on Trokendi XR that allowed third party generics to enter the market beginning January 1, 2023 and required them to pay royalties to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Goods Sold</w:t>
      </w:r>
    </w:p>
    <w:p>
      <w:pPr>
        <w:spacing w:after="0" w:line="18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Cost of goods sold was $19.6 million and $25.9 million for the three months ended September 30, 2023 and 2022, respectively. The decrease was primarily due to higher reserves in 2022 for GOCOVRI. Cost of goods sold was $64.2 million and $64.3 million for the nine months ended September 30, 2023 and 2022, respectively. The $0.1 million increase was primarily due to higher Qelbree costs in 2023 offset by higher GOCOVRI and Qelbree inventory reserve in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18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R&amp;D expenses were $22.7 million and $19.6 million for the three months ended September 30, 2023 and 2022, respectively. R&amp;D expenses were $68.2 million and $56.8 million for the nine months ended September 30, 2023 and 2022, respectively. The increase for both periods was primarily due to increased clinical program costs on SPN-817 and SPN-820 and increased manufacturing costs for our product candidates.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9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provides information regarding our selling, general and administrative (SG&amp;A) expenses during the periods indicated (dollars in thousands):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7"/>
              </w:rPr>
              <w:t>Change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4"/>
                <w:szCs w:val="14"/>
                <w:color w:val="auto"/>
              </w:rPr>
            </w:pPr>
          </w:p>
        </w:tc>
        <w:tc>
          <w:tcPr>
            <w:tcW w:w="12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ind w:left="4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0"/>
        </w:trPr>
        <w:tc>
          <w:tcPr>
            <w:tcW w:w="2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Selling and marketing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56,785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ind w:right="155"/>
              <w:spacing w:after="0"/>
              <w:rPr>
                <w:sz w:val="20"/>
                <w:szCs w:val="20"/>
                <w:color w:val="auto"/>
              </w:rPr>
            </w:pPr>
            <w:r>
              <w:rPr>
                <w:rFonts w:ascii="Arial" w:cs="Arial" w:eastAsia="Arial" w:hAnsi="Arial"/>
                <w:sz w:val="18"/>
                <w:szCs w:val="18"/>
                <w:color w:val="auto"/>
                <w:w w:val="91"/>
              </w:rPr>
              <w:t>(34)%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ind w:right="155"/>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2"/>
              </w:rPr>
              <w:t>General and administrative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25,915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center"/>
              <w:ind w:right="155"/>
              <w:spacing w:after="0"/>
              <w:rPr>
                <w:sz w:val="20"/>
                <w:szCs w:val="20"/>
                <w:color w:val="auto"/>
              </w:rPr>
            </w:pPr>
            <w:r>
              <w:rPr>
                <w:rFonts w:ascii="Arial" w:cs="Arial" w:eastAsia="Arial" w:hAnsi="Arial"/>
                <w:sz w:val="18"/>
                <w:szCs w:val="18"/>
                <w:color w:val="auto"/>
                <w:w w:val="94"/>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center"/>
              <w:ind w:right="135"/>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82,700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91"/>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Selling, general and administrative expenses decreased by 26% to $82.7 million for the three months ended September 30, 2023 and by 16% to $255.1 million for the nine months ended September 30, 2023. The decrease in selling and marketing expenses was primarily attributable to activities to support the launch of Qelbree to the adult population and the Qelbree direct-to-consumer campaign, which substantially occurred in the third quarter of 2022. The decrease in general and administrative expenses was primarily due to higher professional and consulting costs to support finance and information and technology operations in 2022, which was partially offset by higher legal costs and share-based compensation expense in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of intangible assets was $21.2 million and $20.6 million for the three months ended September 30, 2023 and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was $61.3 million and $61.9 million for the nine months ended September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 (Gain) Expense</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Contingent consideration was a gain of $0.5 million and an expense of $0.5 million for the three months ended September 30, 2023 and 2022, respectively. Contingent consideration was a gain of $1.3 million and an expense of $1.9 million for the nine months ended September 30, 2023 and 2022, respectively. The contingent consideration gain was primarily driven by the change in estimated fair value of sales-based milestones associated with the Adamas Acquisition.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(expense) was income of $1.8 million and $1.1 million for the three months ended September 30, 2023 and 2022, respectively.</w:t>
      </w:r>
    </w:p>
    <w:p>
      <w:pPr>
        <w:spacing w:after="0" w:line="22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Other income (expense) was income of $6.1 million and $13.8 million for the nine months ended September 30, 2023 and 2022, respectively. The $7.7 million decrease in other income was primarily due to the $12.9 million gain associated with the Navitor investment for the three months ended March 31, 2022, offset by a decrease of $3.1 million in interest expense due to the repayment of the 2023 Notes in the second quarter of 2023.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 (Benefit)</w:t>
      </w:r>
    </w:p>
    <w:p>
      <w:pPr>
        <w:spacing w:after="0" w:line="171" w:lineRule="exact"/>
        <w:rPr>
          <w:sz w:val="20"/>
          <w:szCs w:val="20"/>
          <w:color w:val="auto"/>
        </w:rPr>
      </w:pPr>
    </w:p>
    <w:p>
      <w:pPr>
        <w:ind w:right="140" w:firstLine="648"/>
        <w:spacing w:after="0" w:line="272" w:lineRule="auto"/>
        <w:rPr>
          <w:sz w:val="20"/>
          <w:szCs w:val="20"/>
          <w:color w:val="auto"/>
        </w:rPr>
      </w:pPr>
      <w:r>
        <w:rPr>
          <w:rFonts w:ascii="Arial" w:cs="Arial" w:eastAsia="Arial" w:hAnsi="Arial"/>
          <w:sz w:val="16"/>
          <w:szCs w:val="16"/>
          <w:color w:val="auto"/>
        </w:rPr>
        <w:t>Income tax expense was $25.9 million for the three months ended September 30, 2023 as compared to income tax benefit of $2.2 million for the same period in the prior year. The change was primarily due to the larger pretax income in the third quarter of 2023. Income tax expense was $1.6 million for the nine months ended September 30, 2023 as compared to income tax benefit of $9.6 million for the same period in the prior year. The change was primarily due to certain tax benefits recognized with certain reorganization activities that occurred during the first quarter of 2022.</w:t>
      </w:r>
    </w:p>
    <w:p>
      <w:pPr>
        <w:spacing w:after="0" w:line="13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The change in the effective tax rates for both the three months ended September 30, 2023 and nine months ended September 30, 2023, as compared to the same periods in prior year, were primarily due to lower pretax earnings forecasted for 2023.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requires an estimate of the annual effective income tax rate for the full year and apply it to pretax income (loss) for each interim period, taking into account year-to-date amounts and projected results for the full year. The annual forecasted earnings represent the Company's best estimate as of September 30, 2023 and is subject to changes, which could have a material impact on the effective tax rate in subsequent periods.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8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the commercial launch of Qelbree and the future commercial launch of SPN-830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(apomorphine infusion device), if approved by the FDA; continued market and payor pressures for our commercial products; the unfavorable impact of the loss of patent exclusivity for Trokendi XR in January 2023; and the likely unfavorable impact of the upcoming loss of patent exclusivity of Oxtellar XR in September 2024, or sooner under certain conditions.</w:t>
      </w:r>
    </w:p>
    <w:p>
      <w:pPr>
        <w:spacing w:after="0" w:line="15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believes its balances of cash, cash equivalents, marketable securities and long-term marketable securities, which totaled $225.3 million as of September 30, 2023, along with cash generated from ongoing operations and continued access to debt markets, will be sufficient to satisfy its cash requirements over the next 12 months and beyond.</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Marketable Securities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marketable securities, and long-term marketable securities are comprised of the following (dollars in thousands):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440" w:type="dxa"/>
            <w:vAlign w:val="bottom"/>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ind w:right="194"/>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105,204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(263,010)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center"/>
              <w:ind w:right="214"/>
              <w:spacing w:after="0"/>
              <w:rPr>
                <w:sz w:val="20"/>
                <w:szCs w:val="20"/>
                <w:color w:val="auto"/>
              </w:rPr>
            </w:pPr>
            <w:r>
              <w:rPr>
                <w:rFonts w:ascii="Arial" w:cs="Arial" w:eastAsia="Arial" w:hAnsi="Arial"/>
                <w:sz w:val="18"/>
                <w:szCs w:val="18"/>
                <w:color w:val="auto"/>
                <w:w w:val="95"/>
              </w:rPr>
              <w:t>(71)%</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95"/>
              </w:rPr>
              <w:t>(73)%</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225,314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center"/>
              <w:ind w:right="214"/>
              <w:spacing w:after="0"/>
              <w:rPr>
                <w:sz w:val="20"/>
                <w:szCs w:val="20"/>
                <w:color w:val="auto"/>
              </w:rPr>
            </w:pPr>
            <w:r>
              <w:rPr>
                <w:rFonts w:ascii="Arial" w:cs="Arial" w:eastAsia="Arial" w:hAnsi="Arial"/>
                <w:sz w:val="18"/>
                <w:szCs w:val="18"/>
                <w:color w:val="auto"/>
                <w:w w:val="95"/>
              </w:rPr>
              <w:t>(59)%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decrease is primarily attributable to the repayment of the 2023 Notes on April 1, 2023, partially offset by cash generated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flows are comprised of the following (dollars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6"/>
                <w:szCs w:val="16"/>
                <w:color w:val="auto"/>
              </w:rPr>
            </w:pPr>
          </w:p>
        </w:tc>
        <w:tc>
          <w:tcPr>
            <w:tcW w:w="1060" w:type="dxa"/>
            <w:vAlign w:val="bottom"/>
          </w:tcPr>
          <w:p>
            <w:pPr>
              <w:jc w:val="right"/>
              <w:ind w:right="335"/>
              <w:spacing w:after="0"/>
              <w:rPr>
                <w:sz w:val="20"/>
                <w:szCs w:val="20"/>
                <w:color w:val="auto"/>
              </w:rPr>
            </w:pPr>
            <w:r>
              <w:rPr>
                <w:rFonts w:ascii="Arial" w:cs="Arial" w:eastAsia="Arial" w:hAnsi="Arial"/>
                <w:sz w:val="14"/>
                <w:szCs w:val="14"/>
                <w:b w:val="1"/>
                <w:bCs w:val="1"/>
                <w:color w:val="auto"/>
              </w:rPr>
              <w:t>Change</w:t>
            </w:r>
          </w:p>
        </w:tc>
      </w:tr>
      <w:tr>
        <w:trPr>
          <w:trHeight w:val="26"/>
        </w:trPr>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7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r>
      <w:tr>
        <w:trPr>
          <w:trHeight w:val="216"/>
        </w:trPr>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provided by (used in):</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10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66,127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89,262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(23,135)</w:t>
            </w:r>
          </w:p>
        </w:tc>
      </w:tr>
      <w:tr>
        <w:trPr>
          <w:trHeight w:val="229"/>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502,608</w:t>
            </w:r>
          </w:p>
        </w:tc>
      </w:tr>
      <w:tr>
        <w:trPr>
          <w:trHeight w:val="230"/>
        </w:trPr>
        <w:tc>
          <w:tcPr>
            <w:tcW w:w="71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(398,972)</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(385,666)</w:t>
            </w:r>
          </w:p>
        </w:tc>
      </w:tr>
      <w:tr>
        <w:trPr>
          <w:trHeight w:val="223"/>
        </w:trPr>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93,807</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(110,314)</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94,985</w:t>
            </w: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111,492</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Net cash provided by operating activities was $66.1 million and $89.3 million for the nine months ended September 30, 2023 and 2022, respectively. The decrease in cash flows provided by operating activities is primarily due to the decrease in earnings as well as changes in working capital which reflects the timing impacts of changes in receivables, inventory, and payables.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Net cash provided by investing activities was $334.7 million for the nine months ended September 30, 2023 compared to $167.9 million used during the same period in 2022, primarily due to the proceeds from the sale and maturities of investments in marketable securities which were used to pay off the 2023 Notes.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Net cash used by financing activities were $399.0 million and $13.3 million for the nine months ended September 30, 2023 and 2022, respectively. The increase in cash flows used by financing activities is primarily due to the payment of the total principal amount due on the 2023 Notes. On March 30, 2023, the Company transferred funds totaling $403.8 million to the Trustee (Wilmington Trust) related to the repayment of the 2023 Notes which was reported as restricted cash in the first quarter of 2023. On April 1, 2023, the Company paid the total principal amount of $402.5 million under the 2023 Notes and the remaining outstanding interest due of $1.3 million with the restricted cash. This increase was slightly offset by the payment of $22.9 million for a contingent consideration milestone associated with the USWM Acquisition during the same period in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Refer to “Part II, Item 7 — Management’s Discussion and Analysis of Liquidity and Capital Resources”, of our Annual Report on Form 10-K for the year ended December 31, 2022, and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the Condensed Consolidated Financial Statements in Part I, Item 1, Unaudited Condensed Consolidated Financial Statements, of this Quarterly Report on Form 10-Q for the discussion of our contractual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a discussion of new accounting pronouncements, see Note 2 in the Notes to the Condensed Consolidated Financial Statements in Part I, Item 1, Unaudited Condensed Consolidated Financial Statements, of this Quarterly Report on Form 10-Q.</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marketable securities, and long-term marketable securities. As of September 30, 2023, we had cash and cash equivalents, marketable securities, and long-term marketable securities of $225.3 million.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fully repaid the outstanding principal and interest on the 2023 Notes in April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borrowed funds pursuant to our Credit Line in connection with the payment of the 2023 Notes. We fully repaid the outstanding debt under the Credit Line in June 2023. In the future, we may borrow funds under the Credit Line. Variable rate borrowing exposes us to interest rate risk as increases in interest rates would increase our borrowing costs.</w:t>
      </w:r>
    </w:p>
    <w:p>
      <w:pPr>
        <w:spacing w:after="0" w:line="15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any borrowings thereunder are immediately due.</w:t>
      </w:r>
    </w:p>
    <w:p>
      <w:pPr>
        <w:spacing w:after="0" w:line="12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cash and cash equivalents consist primarily of cash held at banks and investments in highly liquid financial instruments with an original maturity of three months or less. Our marketable securities, which are reported at fair value, generally consist of money market funds; corporate and municipal debt securities; and other fixed income securities. We place all investments with governmental, industrial, or financial institutions whose debt is rated as investment grade. These securities have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spacing w:after="0" w:line="1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do not have any currency or other derivative financial instruments other than the outstanding warrants to purchase common stock. The warrants expire in tranches, if unexercised, on or before November 22, 2023. The warrants entitle the holder to one share per warrant. The strike price of the warrants will initially be $80.91 per share of the Company’s common stock, and is subject to adjustment. The warrants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6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may contract with clinical research organizations (CROs) and investigational sites globally. Currently, we have ongoing clinical trials being conducted outside the U.S. We do not hedge our foreign currency exchange rate risk. Transactions denominated in currencies other than the U.S. dollar are recorded based on exchange rates at the time such transactions arise. As of September 30, 2023 and December 31, 2022, substantially all of our liabilities were denominated in the U.S. dollar.</w:t>
      </w:r>
    </w:p>
    <w:p>
      <w:pPr>
        <w:spacing w:after="0" w:line="14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Inflation generally affects us by increasing our cost of labor and the cost of services provided by our vendors.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September 30, 2023, the end of the period covered by this report. Based on that evaluation, under the supervision and with the participation of our management, including our CEO and CFO, we concluded that our disclosure controls and procedures are effective as of September 30,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management, including our CEO and CFO, evaluated changes in our internal control over financial reporting that occurred during the quarter ended September 30, 2023.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 13a-15 that occurred during the quarter ended September 30, 2023 that have materially affected or are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From time to time and in the ordinary course of business, Supernus Pharmaceuticals, Inc. ("Company") and any of its subsidiaries may be subject to various claims, charges and litigation. Parent and any of its subsidiaries may be required to file infringement claims against third parties for the infringement of our patents.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Oxtellar XR®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Supernus Pharmaceuticals, Inc. v. Apotex Inc., et al., C.A. No. 20-cv-7870 (MAS)(TJB) (D.N.J.)</w:t>
      </w:r>
    </w:p>
    <w:p>
      <w:pPr>
        <w:spacing w:after="0" w:line="189"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26, 2020, the Company filed a lawsuit against Apotex alleging infringement of the Company’s nine patents. 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the Company’s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On September 4, 2020, Apotex answered the Complaint and denied the substantive allegations of the Complaint, asserting affirmative defenses that include non-infringement and invalidity. Apotex also asserted Counterclaims seeking declaratory judgments of non-infringement for the nine Oxtellar XR® Orange Book patents. On October 30, 2020, the Company filed its Reply, denying the substantive allegations of Apotex’s Counterclaims. On January 27, 2022, the Court issued an Order staying all litigation proceedings and administratively terminated the action. The Court lifted the stay on July 01, 2022. Pursuant to the Court’s January 27, 2022, and July 01, 2022, Orders, the 30-month Stay was extended by 152 days from November 14, 2022, to April 15, 2023. On August 1, 2022, the Court issued an Order consolidating this lawsuit with another pending lawsuit against Apotex, C.A. No. 22-cv-322 (D.N.J.), discussed in Section II, below. The Court issued a revised Scheduling Order on December 20, 2022, that further extends the 30</w:t>
      </w:r>
      <w:r>
        <w:rPr>
          <w:rFonts w:ascii="MS PGothic" w:cs="MS PGothic" w:eastAsia="MS PGothic" w:hAnsi="MS PGothic"/>
          <w:sz w:val="16"/>
          <w:szCs w:val="16"/>
          <w:color w:val="auto"/>
        </w:rPr>
        <w:t>‑</w:t>
      </w:r>
      <w:r>
        <w:rPr>
          <w:rFonts w:ascii="Arial" w:cs="Arial" w:eastAsia="Arial" w:hAnsi="Arial"/>
          <w:sz w:val="16"/>
          <w:szCs w:val="16"/>
          <w:color w:val="auto"/>
        </w:rPr>
        <w:t>month stay. The Company entered into a settlement agreement with Apotex, and on June 27, 2023, a stipulation of dismissal without prejudice was entered by the U.S. District Court for the District of New Jersey. The agreement has been submitted to the applicable governmental agencies.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Supernus Pharmaceuticals, Inc. v. Apotex Inc., et al., C.A. No. 22-cv-322 (FLW)(TJB) (D.N.J.)</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received a Paragraph IV Notice Letter from generic drug makers Apotex Inc. and Apotex Corp. (collectively, “Apotex”) dated December 10, 2021, directed to one of its Oxtellar XR® Orange Book patents. Supernus’s U.S. Patent No. 11,166,960 generally covers once-a-day oxcarbazepine formulations and methods of treating seizures using those formulations. The FDA Orange Book lists U.S. Patent No. 11,166,960 as expiring on April 13, 2027. On January 24, 2022, the Company filed a lawsuit against Apotex alleging infringement of U.S. Patent No. 11,166,960. The Complaint —filed in the U.S. District Court for the District of New Jersey—alleges, inter alia, that Apotex infringed U.S. Patent No. 11,166,960 by submitting to the FDA an Abbreviated New Drug Application (“ANDA”) seeking to market a generic version of Oxtellar XR® prior to the expiration of U.S. Patent No. 11,166,960. On January 27, 2022, in related action, C.A. No. 20-cv-7870 (D.N.J.), the Court issued an Order staying all litigation proceedings and administratively terminated that related action. That Order further indicated that this action, i.e., C.A. No. 22-cv-322 (D.N.J.), will also be stayed. The Court lifted the stay of both actions on July 01, 2022. Pursuant to the Court’s January 27, 2022, and July 01, 2022, Orders, the 30-month Stay was extended by 152 days from November 14, 2022, to April 15, 2023. On August 1, 2022, the Court issued an Order consolidating this lawsuit with another pending lawsuit against Apotex, C.A. No. 20-cv-7870 (D.N.J.), discussed in Section I, above, and administratively terminated C.A. No. 22-cv-322 (D.N.J.). In related action C.A. No. 20-cv-7870 (D.N.J.), the Court issued a revised Scheduling Order on December 20, 2022, that further extends the 30-month stay. The Company entered into a settlement agreement with Apotex, and on June 27, 2023, a stipulation of dismissal without prejudice was entered by the U.S. District Court for the District of New Jersey. The agreement has been submitted to the applicable governmental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Supernus Pharmaceuticals, Inc. v. RiconPharma LLC, et al., C.A. No. 21-cv-12133 (MEF)(MAH) (D.N.J.)</w:t>
      </w:r>
    </w:p>
    <w:p>
      <w:pPr>
        <w:spacing w:after="0" w:line="202"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Company received a Paragraph IV Notice Letter from generic drug maker RiconPharma LLC dated April 20, 2021,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03, 2021, the Company filed a lawsuit against RiconPharma LLC and Ingenus Pharmaceuticals, LLC (collectively, “Ricon”) alleging infringement of the Company’s nine Oxtellar XR® patents. The Complaint—filed in the U.S. District Court for the District of New Jersey—alleges, inter alia, that Ricon infringed the Company’s Oxtellar XR® patents by submitting to the FDA an Abbreviated New Drug Application (“ANDA”) seeking to market a generic version of Oxtellar XR® prior to the expiration of the Company’s patents. Filing its June 03, 2021, Complaint within 45 days of receiving Ricon’s Paragraph IV certification notice entitles Supernus to an automatic stay preventing the FDA from approving Ricon’s ANDA for 30 months from the date of the Company’s receipt of the Paragraph IV Notice Letter. On August 30, 2021, Ricon answered the Complaint and denied the substantive allegations of the Complaint, asserting affirmative defenses that include non-infringement and invalidity. Ricon also asserted Counterclaims seeking declaratory judgments of non</w:t>
      </w:r>
      <w:r>
        <w:rPr>
          <w:rFonts w:ascii="MS PGothic" w:cs="MS PGothic" w:eastAsia="MS PGothic" w:hAnsi="MS PGothic"/>
          <w:sz w:val="16"/>
          <w:szCs w:val="16"/>
          <w:color w:val="auto"/>
        </w:rPr>
        <w:t>‑</w:t>
      </w:r>
      <w:r>
        <w:rPr>
          <w:rFonts w:ascii="Arial" w:cs="Arial" w:eastAsia="Arial" w:hAnsi="Arial"/>
          <w:sz w:val="16"/>
          <w:szCs w:val="16"/>
          <w:color w:val="auto"/>
        </w:rPr>
        <w:t>infringement for the nine Oxtellar XR® Orange Book patents. Supernus filed a motion to strike the jury demand in Ricon’s answer. On December 06, 2021, the Court signed an Order withdrawing the Jury demand from Ricon’s answer. On December 13, 2021, Ricon filed an amended Answer to Supernus’s Complaint. On December 15, 2021, the Company filed its reply, denying the substantive allegations of Ricon’s Counterclaims. On November 22, 2022, the Court issued an Order consolidating for all purposes this lawsuit with another pending lawsuit against Ricon, C.A. No. 22-cv-6340 (D.N.J.), discussed in Section IV, below. The Court issued a revised Scheduling Order on June 27, 2023, that provides a Joint Final Pretrial Order deadline of July 12, 2024. The Company entered into a settlement agreement with Ricon, and on August 21, 2023, a stipulation of dismissal without prejudice was entered by the U.S. District Court for the District of New Jersey. The agreement has been submitted to the applicable government agencies.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IV. Supernus Pharmaceuticals, Inc. v. RiconPharma LLC, et al., C.A. No. 22-cv-6340 (KM)(MAH) (D.N.J.)</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received a Paragraph IV Notice Letter from generic drug maker RiconPharma, LLC (“Ricon”) dated October 07, 2022, directed to one of its Oxtellar XR® Orange Book patents. Supernus’s U.S. Patent No. 11,166,960 generally covers once-a-day oxcarbazepine formulations and methods of treating seizures using those formulations. The FDA Orange Book lists U.S. Patent No. 11,166,960 as expiring on April 13, 2027. On October 28, 2022, the Company filed a lawsuit against Ricon alleging infringement of U.S. Patent No. 11,166,960. The Complaint—filed in the U.S. District Court for the District of New Jersey—alleges, inter alia, that Ricon infringed U.S. Patent No. 11,166,960 by submitting to the FDA an Abbreviated New Drug Application (“ANDA”) seeking to market a generic version of Oxtellar XR® prior to the expiration of U.S. Patent No. 11,166,960. On November 22, 2022, the Court issued an Order consolidating for all purposes this lawsuit with another pending lawsuit against Ricon, C.A. No. 21-cv-12133 (D.N.J.), discussed in Section III, above. The Court further ordered that this action—C.A. No. 22-cv-6340 (D.N.J.)—be administratively terminated.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 Supernus Pharmaceuticals, Inc. v. Ajanta Pharma Limited, C.A. No. 22-cv-1431 (GBW) (D. Del.)</w:t>
      </w:r>
    </w:p>
    <w:p>
      <w:pPr>
        <w:spacing w:after="0" w:line="18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Company received a Paragraph IV Notice Letter from generic drug maker Ajanta Pharma Limited (“Ajanta”) dated September 19, 2022, directed to ten of its Oxtellar XR® Orange Book patents. Supernus’s U.S. Patent Nos. 7,722,898; 7,910,131; 8,617,600; 8,821,930; 9,119,791; 9,351,975; 9,370,525; 9,855,278; 10,220,042; and 11,166,960 generally cover once-a-day oxcarbazepine formulations and methods of treating seizures using those formulations. The FDA Orange Book lists all ten of the Company’s Oxtellar XR® patents as expiring on April 13, 2027. On October 28, 2022, the Company filed a lawsuit against Ajanta alleging infringement of the Company’s ten Oxtellar XR® patents. The Complaint—filed in the U.S. District Court for the District of Delaware—alleges, inter alia, that Ajanta infringed the Company’s Oxtellar XR® patents by submitting to the FDA an Abbreviated New Drug Application (“ANDA”) seeking to market a generic version of Oxtellar XR® prior to the expiration of the Company’s patents. Filing its October 28, 2022, Complaint within 45 days of receiving Ajanta’s Paragraph IV certification notice entitles Supernus to an automatic stay preventing the FDA from approving Ajanta’s ANDA for 30 months from the date of the Company’s receipt of the Paragraph IV Notice Letter. On January 03, 2023, Ajanta answered the Complaint and denied the substantive allegations of the Complaint, asserting affirmative defenses that include non-infringement and invalidity. Ajanta also asserted Counterclaims seeking declaratory judgments of non-infringement and invalidity. On January 24, 2023, the Company filed its Reply, denying the substantive allegations of Ajanta’s Counterclaims. The Court issued a Scheduling Order on July 13, 2023, that sets a trial date of February 10, 2025. Pretrial discovery is ongoing as of the date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Trokendi XR®</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 Supernus Pharmaceuticals, Inc. v. Ajanta Pharma Limited, et al., C.A. No. 21-cv-6964 (GC)(DEA) (D.N.J.)</w:t>
      </w:r>
    </w:p>
    <w:p>
      <w:pPr>
        <w:spacing w:after="0" w:line="189"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04,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inter alia,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07, 2021, Ajanta answered the Complaint and denied the substantive allegations of the Complaint, asserting affirmative defenses that include non-infringement and invalidity. Ajanta also asserted Counterclaims seeking declaratory judgments of non</w:t>
      </w:r>
      <w:r>
        <w:rPr>
          <w:rFonts w:ascii="MS PGothic" w:cs="MS PGothic" w:eastAsia="MS PGothic" w:hAnsi="MS PGothic"/>
          <w:sz w:val="16"/>
          <w:szCs w:val="16"/>
          <w:color w:val="auto"/>
        </w:rPr>
        <w:t>‑</w:t>
      </w:r>
      <w:r>
        <w:rPr>
          <w:rFonts w:ascii="Arial" w:cs="Arial" w:eastAsia="Arial" w:hAnsi="Arial"/>
          <w:sz w:val="16"/>
          <w:szCs w:val="16"/>
          <w:color w:val="auto"/>
        </w:rPr>
        <w:t>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in Section VII, below. The consolidation order extended the 30</w:t>
      </w:r>
      <w:r>
        <w:rPr>
          <w:rFonts w:ascii="MS PGothic" w:cs="MS PGothic" w:eastAsia="MS PGothic" w:hAnsi="MS PGothic"/>
          <w:sz w:val="16"/>
          <w:szCs w:val="16"/>
          <w:color w:val="auto"/>
        </w:rPr>
        <w:t>‑</w:t>
      </w:r>
      <w:r>
        <w:rPr>
          <w:rFonts w:ascii="Arial" w:cs="Arial" w:eastAsia="Arial" w:hAnsi="Arial"/>
          <w:sz w:val="16"/>
          <w:szCs w:val="16"/>
          <w:color w:val="auto"/>
        </w:rPr>
        <w:t>month stay preventing the FDA from approving Ajanta’s ANDA to December 16, 2023. The Company entered into a settlement agreement with Ajanta, and on April 04, 2023, a stipulation of dismissal without prejudice was entered by the U.S. District Court for the District of New Jersey. The agreement has been submitted to the applicable governmental agencies.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VII. Supernus Pharmaceuticals, Inc. v. Torrent Pharmaceuticals Ltd., et al., C.A. No. 21-cv-14268 (GC)(DEA) (D.N.J.)</w:t>
      </w:r>
    </w:p>
    <w:p>
      <w:pPr>
        <w:spacing w:after="0" w:line="202"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04,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 inter alia,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r>
      <w:r>
        <w:rPr>
          <w:rFonts w:ascii="MS PGothic" w:cs="MS PGothic" w:eastAsia="MS PGothic" w:hAnsi="MS PGothic"/>
          <w:sz w:val="17"/>
          <w:szCs w:val="17"/>
          <w:color w:val="auto"/>
        </w:rPr>
        <w:t>‑</w:t>
      </w:r>
      <w:r>
        <w:rPr>
          <w:rFonts w:ascii="Arial" w:cs="Arial" w:eastAsia="Arial" w:hAnsi="Arial"/>
          <w:sz w:val="17"/>
          <w:szCs w:val="17"/>
          <w:color w:val="auto"/>
        </w:rPr>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VI, above. The Court held a bench trial between July 31, 2023, and August 03, 2023. Closing arguments for the trial were held on October 04, 2023. The Court has not issued its trial decision as of the date of this filing.</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VIII. Supernus Pharmaceuticals, Inc. v. Lupin Limited, et al., C.A. No. 21-cv-1293 (MN) (D. Del.)</w:t>
      </w:r>
    </w:p>
    <w:p>
      <w:pPr>
        <w:spacing w:after="0" w:line="189"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The Company received a Paragraph IV Notice Letter from generic drug maker Lupin Limited dated July 29,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04, 2028, and United States Patent Nos. 8,298,580; 8,663,683; 8,877,248; 8,889,191; 8,992,989; 9,549,940; 9,555,004; 9,622,983; and 10,314,790 as expiring on November 16,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17" w:lineRule="exact"/>
        <w:rPr>
          <w:sz w:val="20"/>
          <w:szCs w:val="20"/>
          <w:color w:val="auto"/>
        </w:rPr>
      </w:pPr>
      <w:r>
        <w:rPr>
          <w:rFonts w:ascii="Arial" w:cs="Arial" w:eastAsia="Arial" w:hAnsi="Arial"/>
          <w:sz w:val="17"/>
          <w:szCs w:val="17"/>
          <w:color w:val="auto"/>
        </w:rPr>
        <w:t>2027. On September 10, 2021, the Company filed a lawsuit against Lupin Limited, Lupin Atlantis Holdings S.A., Nanomi B.V., Lupin Inc., and Lupin Pharmaceuticals, Inc. (collectively, “Lupin”) alleging infringement of the Company’s Trokendi XR® Orange Book patents. The Complaint—filed in the U.S. District Court for the District of Delaware—alleges, inter alia, that Lupin infringed the Company’s Trokendi XR® patents by submitting to the FDA an Abbreviated New Drug Application (“ANDA”) seeking to market a generic version of Trokendi XR® prior to the expiration of the Company’s patents. Filing its September 10, 2021, Complaint within 45 days of receiving Lupin’s Paragraph IV certification notice entitles Supernus to an automatic stay preventing the FDA from approving Lupin’s ANDA for 30 months from the date of the Company’s receipt of the Paragraph IV Notice Letter. On December 20, 2021, Lupin answered the Complaint and denied the substantive allegations of the Complaint, asserting affirmative defenses that include non-infringement and invalidity. Lupin also asserted Counterclaims seeking declaratory judgments of non</w:t>
      </w:r>
      <w:r>
        <w:rPr>
          <w:rFonts w:ascii="MS PGothic" w:cs="MS PGothic" w:eastAsia="MS PGothic" w:hAnsi="MS PGothic"/>
          <w:sz w:val="17"/>
          <w:szCs w:val="17"/>
          <w:color w:val="auto"/>
        </w:rPr>
        <w:t>‑</w:t>
      </w:r>
      <w:r>
        <w:rPr>
          <w:rFonts w:ascii="Arial" w:cs="Arial" w:eastAsia="Arial" w:hAnsi="Arial"/>
          <w:sz w:val="17"/>
          <w:szCs w:val="17"/>
          <w:color w:val="auto"/>
        </w:rPr>
        <w:t>infringement and invalidity for the Trokendi XR® Orange Book patents. On January 10, 2022, the Company filed its reply, denying the substantive allegations of Lupin’s Counterclaims. On May 11, 2023, the Company and Lupin filed a Stipulation and [Proposed] Order to Amend Scheduling Order, that proposed an extension of the 30-month stay to March 30, 2024, but also stated that “the parties do not object to the Court exercising its discretion to further extend the expiration of the 30-month stay beyond the Proposed Date of March 30, 2024 as the Court deems appropriate.” On May 12, 2023, the Court issued a revised scheduling order that provides for a Final Pretrial Conference on March 12, 2024, and a five-day bench trial beginning on March 18, 2024. Pretrial discovery is ongoing as of the date of this filing.</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IX. Supernus Pharmaceuticals, Inc. v. Zydus Pharmaceuticals (USA) Inc., et al., C.A. No. 21-cv-17104 (GC)(LHG) (D.N.J.)</w:t>
      </w:r>
    </w:p>
    <w:p>
      <w:pPr>
        <w:spacing w:after="0" w:line="189"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The Company received a Paragraph IV Notice Letter from generic drug maker Zydus Pharmaceuticals (USA) Inc. dated August 05,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04, 2028, and United States Patent Nos. 8,298,580; 8,663,683; 8,877,248; 8,889,191; 8,992,989; 9,549,940; 9,555,004; 9,622,983; and 10,314,790 as expiring on November 16, 2027. On September 17, 2021, the Company filed a lawsuit against Zydus Pharmaceuticals (USA) Inc. and Cadila Healthcare Limited (collectively, “Zydus”) alleging infringement of the Company’s Trokendi XR® Orange Book patents. The Complaint—filed in the U.S. District Court for the District of New Jersey—alleges, inter alia, that Zydus infringed the Company’s Trokendi XR® patents by submitting to the FDA an Abbreviated New Drug Application (“ANDA”) seeking to market a generic version of Trokendi XR® prior to the expiration of the Company’s patents. Filing its September 17, 2021, Complaint within 45 days of receiving Zydus’s Paragraph IV certification notice entitles Supernus to an automatic stay preventing the FDA from approving Zydus’s ANDA for 30 months from the date of the Company’s receipt of the Paragraph IV Notice Letter. The August 05, 2021, Paragraph IV Notice Letter from Zydus Pharmaceuticals (USA) Inc. concerns Zydus’s proposed generic equivalent of the 200 mg strength of Trokendi XR®.</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The August 05, 2021, Paragraph IV Notice Letter referenced herein does not concern the same ANDA as the one that was at issue in the previous lawsuit. On December 28, 2021, Zydus answered the Complaint and denied the substantive allegations of the Complaint, asserting affirmative defenses that include non-infringement and invalidity. On April 29, 2022, the Court issued a scheduling order. The Company entered into a settlement agreement with Zydus, and on January 06, 2023, a stipulation of dismissal without prejudice was entered by the U.S. District Court for the District of New Jersey. The agreement has been submitted to the applicable governmental agencies.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 Supernus Pharmaceuticals, Inc. v. Alkem Laboratories Ltd., C.A. No. 22-cv-3511 (EEB)(SRH) (N.D. Ill.)</w:t>
      </w:r>
    </w:p>
    <w:p>
      <w:pPr>
        <w:spacing w:after="0" w:line="20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Company received a Paragraph IV Notice Letter from generic drug maker Alkem Laboratories Ltd. dated May 25,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04, 2028, and United States Patent Nos. 8,298,580; 8,663,683; 8,877,248; 8,889,191; 8,992,989; 9,549,940; 9,555,004; 9,622,983; and 10,314,790 as expiring on November 16, 2027. On July 6, 2022, the Company filed a lawsuit against Alkem Laboratories Ltd. (“Alkem”) alleging infringement of the Company’s Trokendi XR® Orange Book patents. The Complaint—filed in the U.S. District Court for the Northern District of Illinois—alleges, inter alia, that Alkem infringed the Company’s Trokendi XR® patents by submitting to the FDA an Abbreviated New Drug Application (“ANDA”) seeking to market a generic version of Trokendi XR® prior to the expiration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1714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0" w:lineRule="exact"/>
        <w:rPr>
          <w:sz w:val="20"/>
          <w:szCs w:val="20"/>
          <w:color w:val="auto"/>
        </w:rPr>
      </w:pPr>
    </w:p>
    <w:p>
      <w:pPr>
        <w:ind w:right="80" w:firstLine="8"/>
        <w:spacing w:after="0" w:line="239" w:lineRule="auto"/>
        <w:tabs>
          <w:tab w:leader="none" w:pos="99"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 xml:space="preserve">Previously, the Company was in a lawsuit against Zydus Pharmaceuticals (USA) Inc. and Cadila Healthcare Limited concerning an Abbreviated New Drug Application (“ANDA”) for Zydus’s proposed generic equivalents of the 25 mg, 50 mg, and 100 mg strengths of Trokendi XR®. A settlement agreement was entered into between the Company and Zydus Pharmaceuticals (USA) Inc. and Cadila Healthcare Limited concerning the previous lawsuit. </w:t>
      </w:r>
      <w:r>
        <w:rPr>
          <w:rFonts w:ascii="Arial" w:cs="Arial" w:eastAsia="Arial" w:hAnsi="Arial"/>
          <w:sz w:val="17"/>
          <w:szCs w:val="17"/>
          <w:i w:val="1"/>
          <w:iCs w:val="1"/>
          <w:color w:val="auto"/>
        </w:rPr>
        <w:t xml:space="preserve">See </w:t>
      </w:r>
      <w:r>
        <w:rPr>
          <w:rFonts w:ascii="Arial" w:cs="Arial" w:eastAsia="Arial" w:hAnsi="Arial"/>
          <w:sz w:val="17"/>
          <w:szCs w:val="17"/>
          <w:color w:val="auto"/>
        </w:rPr>
        <w:t>https://www.sec.gov/Archives/edgar/data/1356576/000110465917031191/a17-10293_1ex10d1.htm.</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patents. Filing its July 06, 2022, Complaint within 45 days of receiving Alkem’s Paragraph IV certification notice entitles Supernus to an automatic stay preventing the FDA from approving Alkem’s ANDA for 30 months from the date of the Company’s receipt of the Paragraph IV Notice Letter. On October 03, 2022, Alkem answered the Complaint and denied the substantive allegations of the Complaint, asserting affirmative defenses that include non-infringement and invalidity. The Company entered into a settlement agreement with Alkem, and on March 20, 2023, a stipulation of dismissal without prejudice was entered by the U.S. District Court for the Northern District of Illinois. The agreement has been submitted to the applicable governmental agencies.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 Supernus Pharmaceuticals, Inc. v. Dr. Reddy’s Laboratories, Ltd., et al., C.A. No. 22-cv-4705 (GC)(JBD) (D.N.J.)</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received a Paragraph IV Notice Letter from generic drug makers Dr, Reddy’s Laboratories Ltd. and Dr. Reddy’s Laboratories, Inc. dated June 09,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04, 2028, and United States Patent Nos. 8,298,580; 8,663,683; 8,877,248; 8,889,191; 8,992,989; 9,549,940; 9,555,004; 9,622,983; and 10,314,790 as expiring on November 16, 2027. On July 22, 2022, the Company filed a lawsuit against Dr, Reddy’s Laboratories Ltd. and Dr. Reddy’s Laboratories, Inc. (“DRL”) alleging infringement of the Company’s Trokendi XR® Orange Book patents. The Complaint—filed in the U.S. District Court for the District of New Jersey—alleges, inter alia, that DRL infringed the Company’s Trokendi XR® patents by submitting to the FDA an Abbreviated New Drug Application (“ANDA”) seeking to market a generic version of Trokendi XR® prior to the expiration of the Company’s patents. Filing its July 22, 2022, Complaint within 45 days of receiving DRL’s Paragraph IV certification notice entitles Supernus to an automatic stay preventing the FDA from approving DRL’s ANDA for 30 months from the date of the Company’s receipt of the Paragraph IV Notice Letter. On October 07, 2022, DRL answered the Complaint and denied the substantive allegations of the Complaint, asserting affirmative defenses that include non-infringement and invalidity. The Company entered into a settlement agreement with DRL, and on June 28, 2023, a stipulation of dismissal without prejudice was entered by the U.S. District Court for the District of New Jersey. The agreement has been submitted to the applicable governmental agencies.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XII. Supernus Pharmaceuticals, Inc. v. Ascent Pharmaceuticals Inc., et al., C.A. No. 23-cv-4015 (GC)(DEA) (D.N.J.)</w:t>
      </w:r>
    </w:p>
    <w:p>
      <w:pPr>
        <w:spacing w:after="0" w:line="20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received a Paragraph IV Notice Letter from generic drug maker Ascent Pharmaceuticals Inc. dated June 15, 2023,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04, 2028, and United States Patent Nos. 8,298,580; 8,663,683; 8,877,248; 8,889,191; 8,992,989; 9,549,940; 9,555,004; 9,622,983; and 10,314,790 as expiring on November 16, 2027. On July 26, 2023, the Company filed a lawsuit against Ascent Pharmaceuticals Inc., Camber Pharmaceuticals, Inc., and Hetero Labs Ltd. (collectively, “Ascent”) alleging infringement of the Company’s Trokendi XR® Orange Book patents. The Complaint—filed in the U.S. District Court for the District of New Jersey—alleges, inter alia, that Ascent infringed the Company’s Trokendi XR® patents by submitting to the FDA an Abbreviated New Drug Application (“ANDA”) seeking to market a generic version of Trokendi XR® prior to the expiration of the Company’s patents. Filing its July 26, 2023, Complaint within 45 days of receiving Ascent’s Paragraph IV certification notice entitles Supernus to an automatic stay preventing the FDA from approving Ascent’s ANDA for 30 months from the date of the Company’s receipt of the Paragraph IV Notice Letter. On September 28, 2023, the Court entered a stipulation of dismissal without prejudice as to only defendants Camber and Hetero, which included stipulations that, among other things: (i) Ascent Pharma will not contest personal jurisdiction or venue in this District for this Action; (ii) Camber and Hetero will be bound by any injunction in this Action to the extent it concerns the Ascent ANDA; and (iii) Ascent Pharma will collect and produce any relevant discovery that is in the possession, custody, or control of Camber and Hetero. On October 11, 2023, Ascent Pharma answered the Complaint and denied the substantive allegations of the Complaint, asserting affirmative defenses that include non-infringement and invalidity. The Court has not issued a Scheduling Order as of the date of this filing.</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XIII. Supernus Pharmaceuticals, Inc. v. Ascent Pharmaceuticals Inc., et al., C.A. No. 23-cv-5720 (E.D.N.Y.)</w:t>
      </w:r>
    </w:p>
    <w:p>
      <w:pPr>
        <w:spacing w:after="0" w:line="18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received a Paragraph IV Notice Letter from generic drug maker Ascent Pharmaceuticals Inc. dated June 15, 2023,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04, 2028, and United States Patent Nos. 8,298,580; 8,663,683; 8,877,248; 8,889,191; 8,992,989; 9,549,940; 9,555,004; 9,622,983; and 10,314,790 as expiring on November 16,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2027. On July 28, 2023, the Company filed a lawsuit against Ascent Pharmaceuticals Inc., Camber Pharmaceuticals, Inc., and Hetero Labs Ltd. (collectively, “Ascent”) alleging infringement of the Company’s Trokendi XR® Orange Book patents. The Complaint—filed in the U.S. District Court for the Eastern District of New York—alleges, inter alia, that Ascent infringed the Company’s Trokendi XR® patents by submitting to the FDA an Abbreviated New Drug Application (“ANDA”) seeking to market a generic version of Trokendi XR® prior to the expiration of the Company’s patents. Filing its July 28, 2023, Complaint within 45 days of receiving Ascent’s Paragraph IV certification notice entitles Supernus to an automatic stay preventing the FDA from approving Ascent’s ANDA for 30 months from the date of the Company’s receipt of the Paragraph IV Notice Letter. On October 25, 2023, Supernus filed a notice of voluntary dismissal of the Complaint without prejudice. The Court dismissed the case without prejudice on October 30, 2023. The October 30, 2023, dismissal does not impact the co</w:t>
      </w:r>
      <w:r>
        <w:rPr>
          <w:rFonts w:ascii="MS PGothic" w:cs="MS PGothic" w:eastAsia="MS PGothic" w:hAnsi="MS PGothic"/>
          <w:sz w:val="16"/>
          <w:szCs w:val="16"/>
          <w:color w:val="auto"/>
        </w:rPr>
        <w:t>‑</w:t>
      </w:r>
      <w:r>
        <w:rPr>
          <w:rFonts w:ascii="Arial" w:cs="Arial" w:eastAsia="Arial" w:hAnsi="Arial"/>
          <w:sz w:val="16"/>
          <w:szCs w:val="16"/>
          <w:color w:val="auto"/>
        </w:rPr>
        <w:t>pending matter against Ascent, C.A. No. 23-cv-4015 (D.N.J.), discussed in Section XII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APOKYN®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XIV. Sage Chemical, Inc., et al. v. Supernus Pharmaceuticals, Inc., et al., C.A. No. 22-cv-1302 (CJB) (D. Del.)</w:t>
      </w:r>
    </w:p>
    <w:p>
      <w:pPr>
        <w:spacing w:after="0" w:line="18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October 03,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As of April 12, 2023, briefing on those motions is now complete. Those motions remain pending. On April 10, 2023, the Court issued a scheduling order that provides for a Pretrial Conference on March 07, 2025, and a jury trial beginning on March 24, 2025. Pretrial discovery is ongoing as of the date of this filing.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XADAGO®</w:t>
      </w:r>
    </w:p>
    <w:p>
      <w:pPr>
        <w:spacing w:after="0" w:line="18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242424"/>
        </w:rPr>
        <w:t>On June 10, 2021, Newron Pharmaceuticals S.p.A. ("Newron"), Zambon S.p.A. ("Zambon") and Supernus Pharmaceuticals, Inc. (the "Company"), through its subsidiary MDD US Operations, LLC (collectively, "Plaintiffs"), initiated litigation against generic drug makers Aurobindo Pharma Limited, Aurobindo Pharma USA Inc., MSN Laboratories Private Limited ("MSN"), Optimus Pharma Pvt Ltd, Prinston Pharmaceutical, Inc., RK Pharma, Inc. and Zenara Pharma Private Limited (collectively, "Defendants") for infringement of three FDA Orange Book patents covering XADAGO®, the Company's once-daily product indicated as adjunctive treatment to levodopa/carbidopa in patients with Parkinson's Disease experiencing "off" episodes. U.S. Patent Nos. 8,076,515, 8,278,485 and 8,283,380 (collectively, the "XADAGO Patents") cover the pharmaceutical formulation of and methods of treatment with safinamide. The XADAGO Patents expire between June 2027 and March 2031. The Company has a license agreement with Zambon, Newron's partner, related to the XADAGO Patents, and as a new chemical entity, XADAGO was under the 5-year FDA exclusivity period that expired on March 21, 2022. The Complaint - filed in the U.S. District Court for the District of Delaware - alleges that the Defendants infringed the XADAGO Patents by submitting to the U.S. Food and Drug Administration (FDA) Abbreviated New Drug Applications (ANDAs) seeking to market generic versions of XADAGO prior to the expiration of the patents. Filing the Complaint within 45 days of receiving each of the Defendants' Paragraph IV notice letters entitles the Plaintiffs to an automatic stay preventing the FDA from approving the Defendants' ANDAs for 30 months from the date of the Plaintiffs' receipt of the Paragraph IV Notice Letters. On March 22, 2022, defendant Optimus Pharma Pvt Ltd was dismissed from the case without prejudice. On January 05, 2023, Defendants Aurobindo Pharma Limited and Aurobindo Pharma USA Inc. were dismissed from the case without prejudice pursuant to a settlement agreement. On April 14, 2023, the Court issued a claim construction opinion and order construing terms of the asserted patent claims. On August 15, 2023, defendant Prinston Pharmaceutical, Inc. was dismissed from the case with prejudice pursuant to a settlement agreement. Fact and expert discovery are closed. A pretrial conference is set for December 08, 2023. A three-day bench trial is set to begin on January 08, 2024.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Adamas Litigation</w:t>
      </w:r>
    </w:p>
    <w:p>
      <w:pPr>
        <w:spacing w:after="0" w:line="198" w:lineRule="exact"/>
        <w:rPr>
          <w:sz w:val="20"/>
          <w:szCs w:val="20"/>
          <w:color w:val="auto"/>
        </w:rPr>
      </w:pPr>
    </w:p>
    <w:p>
      <w:pPr>
        <w:ind w:firstLine="738"/>
        <w:spacing w:after="0" w:line="257" w:lineRule="auto"/>
        <w:rPr>
          <w:sz w:val="20"/>
          <w:szCs w:val="20"/>
          <w:color w:val="auto"/>
        </w:rPr>
      </w:pPr>
      <w:r>
        <w:rPr>
          <w:rFonts w:ascii="Arial" w:cs="Arial" w:eastAsia="Arial" w:hAnsi="Arial"/>
          <w:sz w:val="18"/>
          <w:szCs w:val="18"/>
          <w:color w:val="auto"/>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spacing w:after="0" w:line="147"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spacing w:after="0" w:line="1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spacing w:after="0" w:line="14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spacing w:after="0" w:line="13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was heard by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w:t>
      </w:r>
    </w:p>
    <w:p>
      <w:pPr>
        <w:spacing w:after="0" w:line="14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On January 13, 2023, the Court granted in part and denied in part Defendants’ Motion to Dismiss. All claims against Adamas have been dismissed with prejudice, but claims against one of the individual defendants, who may have certain rights to indemnification, remain. On February 27, 2023, plaintiffs advised the Court that plaintiffs would proceed only on the remaining claim against one of the individual defendants. The individual defendant filed an answer denying the claim on April 28, 2023. On September 21, 2023, the parties reached an agreement in principle to settle the Zaidi litigation, subject to court approval. On October 31, 2023, the Court granted the parties' stipulation staying all proceedings and vacating all existing deadlines. If the plaintiff has not moved for preliminary approval of a settlement by January 5, 2024, the parties are required to file a joint status report with the Court by January 8, 2024.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On March 16, 2020, a shareholder derivative lawsuit was filed by Patrick Van Camp in federal court in the Northern District of California (Case No. 4:20-cv-01815) naming Adamas and certain of Adamas's former directors and officers as defendants. This lawsuit alleged certain of Adamas's former directors and officers breached fiduciary duties and violated the Securities Exchange Act of 1934. Adamas was named as a nominal defendant only. On April 6, 2020, another, virtually identical, shareholder derivative lawsuit was filed by James Druzbik in federal court in the Northern District of California (Case No. 4:20- cv-02320) naming Adamas and certain of Adamas's former directors and officers as defendants. This lawsuit contained the same allegations, claims, and defendants as the first derivative action. Adamas is named as a nominal defendant only. In both actions, Plaintiffs sought unspecified monetary damages and other relief. These actions were consolidated. On May 16, 2023 the court entered an order dismissing the consolidated actions, without prejudice. The consolidated cases were closed on June 7, 2023.</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Adamas believes it has strong factual and legal defenses to all actions and intends to defend itself vigorously.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2022 and quarterly report on Form 10-Q for the period ended September 30, 2023. These risks may result in material harm to our business and our financial condition and results of operations. If a material, adverse event was to occur, the market price of our common stock may decline, and you could lose part or all of your investment.</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Sales of Unregistered Securities.</w:t>
      </w:r>
    </w:p>
    <w:p>
      <w:pPr>
        <w:spacing w:after="0" w:line="256"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During the nine months ended September 30, 2023, all of the Company's grants of equity awards occurred pursuant to its 2021 Equity Incentive Plan (the "2021 Plan"). Securities issued under the 2021 Plan are registered on the Company's Form S-8 filed on June 25, 2021.</w:t>
      </w:r>
    </w:p>
    <w:p>
      <w:pPr>
        <w:spacing w:after="0" w:line="1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98"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None.</w:t>
      </w:r>
    </w:p>
    <w:p>
      <w:pPr>
        <w:spacing w:after="0" w:line="184" w:lineRule="exact"/>
        <w:rPr>
          <w:rFonts w:ascii="Arial" w:cs="Arial" w:eastAsia="Arial" w:hAnsi="Arial"/>
          <w:sz w:val="18"/>
          <w:szCs w:val="18"/>
          <w:b w:val="1"/>
          <w:bCs w:val="1"/>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None.</w:t>
      </w:r>
    </w:p>
    <w:p>
      <w:pPr>
        <w:spacing w:after="0" w:line="184" w:lineRule="exact"/>
        <w:rPr>
          <w:rFonts w:ascii="Arial" w:cs="Arial" w:eastAsia="Arial" w:hAnsi="Arial"/>
          <w:sz w:val="18"/>
          <w:szCs w:val="18"/>
          <w:b w:val="1"/>
          <w:bCs w:val="1"/>
          <w:color w:val="auto"/>
        </w:rPr>
      </w:pPr>
    </w:p>
    <w:p>
      <w:pPr>
        <w:ind w:left="380" w:hanging="372"/>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 Arrangements and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quarter, the following trading arrangements were adopted or terminated as indicated below:</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600" w:type="dxa"/>
            <w:vAlign w:val="bottom"/>
            <w:tcBorders>
              <w:top w:val="single" w:sz="8" w:color="auto"/>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b w:val="1"/>
                <w:bCs w:val="1"/>
                <w:color w:val="auto"/>
              </w:rPr>
              <w:t>Name and Title of</w:t>
            </w:r>
          </w:p>
        </w:tc>
        <w:tc>
          <w:tcPr>
            <w:tcW w:w="1600" w:type="dxa"/>
            <w:vAlign w:val="bottom"/>
            <w:tcBorders>
              <w:top w:val="single" w:sz="8" w:color="auto"/>
              <w:right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Rule 10b5-1</w:t>
            </w:r>
          </w:p>
        </w:tc>
        <w:tc>
          <w:tcPr>
            <w:tcW w:w="160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rPr>
              <w:t>Trading</w:t>
            </w:r>
          </w:p>
        </w:tc>
        <w:tc>
          <w:tcPr>
            <w:tcW w:w="1580" w:type="dxa"/>
            <w:vAlign w:val="bottom"/>
            <w:tcBorders>
              <w:top w:val="single" w:sz="8" w:color="auto"/>
              <w:right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91"/>
              </w:rPr>
              <w:t>Date of Adoption or</w:t>
            </w:r>
          </w:p>
        </w:tc>
        <w:tc>
          <w:tcPr>
            <w:tcW w:w="162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w w:val="93"/>
              </w:rPr>
              <w:t>Duration of Trading</w:t>
            </w:r>
          </w:p>
        </w:tc>
        <w:tc>
          <w:tcPr>
            <w:tcW w:w="1600" w:type="dxa"/>
            <w:vAlign w:val="bottom"/>
            <w:tcBorders>
              <w:top w:val="single" w:sz="8" w:color="auto"/>
              <w:right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96"/>
              </w:rPr>
              <w:t>Aggregate Number</w:t>
            </w:r>
          </w:p>
        </w:tc>
        <w:tc>
          <w:tcPr>
            <w:tcW w:w="160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w w:val="95"/>
              </w:rPr>
              <w:t>Aggregate Number</w:t>
            </w:r>
          </w:p>
        </w:tc>
      </w:tr>
      <w:tr>
        <w:trPr>
          <w:trHeight w:val="181"/>
        </w:trPr>
        <w:tc>
          <w:tcPr>
            <w:tcW w:w="1600" w:type="dxa"/>
            <w:vAlign w:val="bottom"/>
            <w:tcBorders>
              <w:left w:val="single" w:sz="8" w:color="auto"/>
              <w:right w:val="single" w:sz="8" w:color="auto"/>
            </w:tcBorders>
          </w:tcPr>
          <w:p>
            <w:pPr>
              <w:ind w:left="40"/>
              <w:spacing w:after="0" w:line="181" w:lineRule="exact"/>
              <w:rPr>
                <w:sz w:val="20"/>
                <w:szCs w:val="20"/>
                <w:color w:val="auto"/>
              </w:rPr>
            </w:pPr>
            <w:r>
              <w:rPr>
                <w:rFonts w:ascii="Arial" w:cs="Arial" w:eastAsia="Arial" w:hAnsi="Arial"/>
                <w:sz w:val="18"/>
                <w:szCs w:val="18"/>
                <w:b w:val="1"/>
                <w:bCs w:val="1"/>
                <w:color w:val="auto"/>
                <w:w w:val="98"/>
              </w:rPr>
              <w:t>Director or Officer</w:t>
            </w:r>
          </w:p>
        </w:tc>
        <w:tc>
          <w:tcPr>
            <w:tcW w:w="160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b w:val="1"/>
                <w:bCs w:val="1"/>
                <w:color w:val="auto"/>
              </w:rPr>
              <w:t>Trading</w:t>
            </w:r>
          </w:p>
        </w:tc>
        <w:tc>
          <w:tcPr>
            <w:tcW w:w="160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b w:val="1"/>
                <w:bCs w:val="1"/>
                <w:color w:val="auto"/>
              </w:rPr>
              <w:t>Arrangement</w:t>
            </w:r>
          </w:p>
        </w:tc>
        <w:tc>
          <w:tcPr>
            <w:tcW w:w="158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b w:val="1"/>
                <w:bCs w:val="1"/>
                <w:color w:val="auto"/>
              </w:rPr>
              <w:t>Termination</w:t>
            </w:r>
          </w:p>
        </w:tc>
        <w:tc>
          <w:tcPr>
            <w:tcW w:w="16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b w:val="1"/>
                <w:bCs w:val="1"/>
                <w:color w:val="auto"/>
              </w:rPr>
              <w:t>Arrangement</w:t>
            </w:r>
          </w:p>
        </w:tc>
        <w:tc>
          <w:tcPr>
            <w:tcW w:w="160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b w:val="1"/>
                <w:bCs w:val="1"/>
                <w:color w:val="auto"/>
                <w:w w:val="99"/>
              </w:rPr>
              <w:t>of Securities to be</w:t>
            </w:r>
          </w:p>
        </w:tc>
        <w:tc>
          <w:tcPr>
            <w:tcW w:w="160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b w:val="1"/>
                <w:bCs w:val="1"/>
                <w:color w:val="auto"/>
                <w:w w:val="98"/>
              </w:rPr>
              <w:t>of Securities to be</w:t>
            </w:r>
          </w:p>
        </w:tc>
      </w:tr>
      <w:tr>
        <w:trPr>
          <w:trHeight w:val="184"/>
        </w:trPr>
        <w:tc>
          <w:tcPr>
            <w:tcW w:w="1600" w:type="dxa"/>
            <w:vAlign w:val="bottom"/>
            <w:tcBorders>
              <w:left w:val="single" w:sz="8" w:color="auto"/>
              <w:right w:val="single" w:sz="8" w:color="auto"/>
            </w:tcBorders>
          </w:tcPr>
          <w:p>
            <w:pPr>
              <w:spacing w:after="0"/>
              <w:rPr>
                <w:sz w:val="15"/>
                <w:szCs w:val="15"/>
                <w:color w:val="auto"/>
              </w:rPr>
            </w:pPr>
          </w:p>
        </w:tc>
        <w:tc>
          <w:tcPr>
            <w:tcW w:w="1600" w:type="dxa"/>
            <w:vAlign w:val="bottom"/>
            <w:tcBorders>
              <w:right w:val="single" w:sz="8" w:color="auto"/>
            </w:tcBorders>
          </w:tcPr>
          <w:p>
            <w:pPr>
              <w:spacing w:after="0" w:line="184" w:lineRule="exact"/>
              <w:rPr>
                <w:sz w:val="20"/>
                <w:szCs w:val="20"/>
                <w:color w:val="auto"/>
              </w:rPr>
            </w:pPr>
            <w:r>
              <w:rPr>
                <w:rFonts w:ascii="Arial" w:cs="Arial" w:eastAsia="Arial" w:hAnsi="Arial"/>
                <w:sz w:val="17"/>
                <w:szCs w:val="17"/>
                <w:b w:val="1"/>
                <w:bCs w:val="1"/>
                <w:color w:val="auto"/>
              </w:rPr>
              <w:t>Arrangement</w:t>
            </w:r>
            <w:r>
              <w:rPr>
                <w:rFonts w:ascii="Arial" w:cs="Arial" w:eastAsia="Arial" w:hAnsi="Arial"/>
                <w:sz w:val="21"/>
                <w:szCs w:val="21"/>
                <w:b w:val="1"/>
                <w:bCs w:val="1"/>
                <w:color w:val="auto"/>
                <w:vertAlign w:val="superscript"/>
              </w:rPr>
              <w:t>(1)</w:t>
            </w:r>
          </w:p>
        </w:tc>
        <w:tc>
          <w:tcPr>
            <w:tcW w:w="160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b w:val="1"/>
                <w:bCs w:val="1"/>
                <w:color w:val="auto"/>
              </w:rPr>
              <w:t>Adopted or</w:t>
            </w:r>
          </w:p>
        </w:tc>
        <w:tc>
          <w:tcPr>
            <w:tcW w:w="15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b w:val="1"/>
                <w:bCs w:val="1"/>
                <w:color w:val="auto"/>
              </w:rPr>
              <w:t>Purchased</w:t>
            </w:r>
          </w:p>
        </w:tc>
        <w:tc>
          <w:tcPr>
            <w:tcW w:w="160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b w:val="1"/>
                <w:bCs w:val="1"/>
                <w:color w:val="auto"/>
              </w:rPr>
              <w:t>Sold Pursuant to</w:t>
            </w:r>
          </w:p>
        </w:tc>
      </w:tr>
      <w:tr>
        <w:trPr>
          <w:trHeight w:val="175"/>
        </w:trPr>
        <w:tc>
          <w:tcPr>
            <w:tcW w:w="1600" w:type="dxa"/>
            <w:vAlign w:val="bottom"/>
            <w:tcBorders>
              <w:left w:val="single" w:sz="8" w:color="auto"/>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b w:val="1"/>
                <w:bCs w:val="1"/>
                <w:color w:val="auto"/>
              </w:rPr>
              <w:t>Terminated</w:t>
            </w:r>
          </w:p>
        </w:tc>
        <w:tc>
          <w:tcPr>
            <w:tcW w:w="15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b w:val="1"/>
                <w:bCs w:val="1"/>
                <w:color w:val="auto"/>
              </w:rPr>
              <w:t>Pursuant to</w:t>
            </w:r>
          </w:p>
        </w:tc>
        <w:tc>
          <w:tcPr>
            <w:tcW w:w="1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b w:val="1"/>
                <w:bCs w:val="1"/>
                <w:color w:val="auto"/>
              </w:rPr>
              <w:t>Trading</w:t>
            </w:r>
          </w:p>
        </w:tc>
      </w:tr>
      <w:tr>
        <w:trPr>
          <w:trHeight w:val="184"/>
        </w:trPr>
        <w:tc>
          <w:tcPr>
            <w:tcW w:w="1600" w:type="dxa"/>
            <w:vAlign w:val="bottom"/>
            <w:tcBorders>
              <w:left w:val="single" w:sz="8" w:color="auto"/>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Trading</w:t>
            </w:r>
          </w:p>
        </w:tc>
        <w:tc>
          <w:tcPr>
            <w:tcW w:w="1600" w:type="dxa"/>
            <w:vAlign w:val="bottom"/>
            <w:tcBorders>
              <w:right w:val="single" w:sz="8" w:color="auto"/>
            </w:tcBorders>
          </w:tcPr>
          <w:p>
            <w:pPr>
              <w:ind w:left="20"/>
              <w:spacing w:after="0" w:line="184" w:lineRule="exact"/>
              <w:rPr>
                <w:sz w:val="20"/>
                <w:szCs w:val="20"/>
                <w:color w:val="auto"/>
              </w:rPr>
            </w:pPr>
            <w:r>
              <w:rPr>
                <w:rFonts w:ascii="Arial" w:cs="Arial" w:eastAsia="Arial" w:hAnsi="Arial"/>
                <w:sz w:val="18"/>
                <w:szCs w:val="18"/>
                <w:b w:val="1"/>
                <w:bCs w:val="1"/>
                <w:color w:val="auto"/>
              </w:rPr>
              <w:t>Arrangement</w:t>
            </w: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Arrangement</w:t>
            </w:r>
          </w:p>
        </w:tc>
        <w:tc>
          <w:tcPr>
            <w:tcW w:w="1600" w:type="dxa"/>
            <w:vAlign w:val="bottom"/>
            <w:tcBorders>
              <w:bottom w:val="single" w:sz="8" w:color="auto"/>
              <w:right w:val="single" w:sz="8" w:color="auto"/>
            </w:tcBorders>
          </w:tcPr>
          <w:p>
            <w:pPr>
              <w:spacing w:after="0"/>
              <w:rPr>
                <w:sz w:val="20"/>
                <w:szCs w:val="20"/>
                <w:color w:val="auto"/>
              </w:rPr>
            </w:pPr>
          </w:p>
        </w:tc>
      </w:tr>
      <w:tr>
        <w:trPr>
          <w:trHeight w:val="169"/>
        </w:trPr>
        <w:tc>
          <w:tcPr>
            <w:tcW w:w="16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Jack Khattar,</w:t>
            </w:r>
          </w:p>
        </w:tc>
        <w:tc>
          <w:tcPr>
            <w:tcW w:w="16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Yes</w:t>
            </w:r>
          </w:p>
        </w:tc>
        <w:tc>
          <w:tcPr>
            <w:tcW w:w="16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Adopted</w:t>
            </w:r>
          </w:p>
        </w:tc>
        <w:tc>
          <w:tcPr>
            <w:tcW w:w="15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August 27, 2023</w:t>
            </w:r>
          </w:p>
        </w:tc>
        <w:tc>
          <w:tcPr>
            <w:tcW w:w="16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First Transaction</w:t>
            </w:r>
          </w:p>
        </w:tc>
        <w:tc>
          <w:tcPr>
            <w:tcW w:w="16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75,037</w:t>
            </w:r>
          </w:p>
        </w:tc>
        <w:tc>
          <w:tcPr>
            <w:tcW w:w="16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75,037</w:t>
            </w:r>
            <w:r>
              <w:rPr>
                <w:rFonts w:ascii="Arial" w:cs="Arial" w:eastAsia="Arial" w:hAnsi="Arial"/>
                <w:sz w:val="19"/>
                <w:szCs w:val="19"/>
                <w:color w:val="auto"/>
                <w:vertAlign w:val="superscript"/>
              </w:rPr>
              <w:t>(2)</w:t>
            </w:r>
          </w:p>
        </w:tc>
      </w:tr>
      <w:tr>
        <w:trPr>
          <w:trHeight w:val="188"/>
        </w:trPr>
        <w:tc>
          <w:tcPr>
            <w:tcW w:w="160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President, Chief</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Date</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through</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r>
      <w:tr>
        <w:trPr>
          <w:trHeight w:val="176"/>
        </w:trPr>
        <w:tc>
          <w:tcPr>
            <w:tcW w:w="16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Executive Officer</w:t>
            </w: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March 3, 2025</w:t>
            </w: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r>
      <w:tr>
        <w:trPr>
          <w:trHeight w:val="229"/>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 Director</w:t>
            </w: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r>
      <w:tr>
        <w:trPr>
          <w:trHeight w:val="169"/>
        </w:trPr>
        <w:tc>
          <w:tcPr>
            <w:tcW w:w="16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w w:val="88"/>
              </w:rPr>
              <w:t>Padmanabh P. Bhatt,</w:t>
            </w:r>
          </w:p>
        </w:tc>
        <w:tc>
          <w:tcPr>
            <w:tcW w:w="16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Yes</w:t>
            </w:r>
          </w:p>
        </w:tc>
        <w:tc>
          <w:tcPr>
            <w:tcW w:w="16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Adopted</w:t>
            </w:r>
          </w:p>
        </w:tc>
        <w:tc>
          <w:tcPr>
            <w:tcW w:w="15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September 7, 2023</w:t>
            </w:r>
          </w:p>
        </w:tc>
        <w:tc>
          <w:tcPr>
            <w:tcW w:w="16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First Transaction</w:t>
            </w:r>
          </w:p>
        </w:tc>
        <w:tc>
          <w:tcPr>
            <w:tcW w:w="16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109,250</w:t>
            </w:r>
          </w:p>
        </w:tc>
        <w:tc>
          <w:tcPr>
            <w:tcW w:w="16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109,250</w:t>
            </w:r>
            <w:r>
              <w:rPr>
                <w:rFonts w:ascii="Arial" w:cs="Arial" w:eastAsia="Arial" w:hAnsi="Arial"/>
                <w:sz w:val="19"/>
                <w:szCs w:val="19"/>
                <w:color w:val="auto"/>
                <w:vertAlign w:val="superscript"/>
              </w:rPr>
              <w:t>(2)</w:t>
            </w:r>
          </w:p>
        </w:tc>
      </w:tr>
      <w:tr>
        <w:trPr>
          <w:trHeight w:val="188"/>
        </w:trPr>
        <w:tc>
          <w:tcPr>
            <w:tcW w:w="160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Ph.D, Senior Vice</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Date</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through April</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r>
      <w:tr>
        <w:trPr>
          <w:trHeight w:val="176"/>
        </w:trPr>
        <w:tc>
          <w:tcPr>
            <w:tcW w:w="16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President of</w:t>
            </w: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30, 2024</w:t>
            </w: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r>
      <w:tr>
        <w:trPr>
          <w:trHeight w:val="176"/>
        </w:trPr>
        <w:tc>
          <w:tcPr>
            <w:tcW w:w="16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5"/>
              </w:rPr>
              <w:t>Intellectual Property</w:t>
            </w: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r>
      <w:tr>
        <w:trPr>
          <w:trHeight w:val="188"/>
        </w:trPr>
        <w:tc>
          <w:tcPr>
            <w:tcW w:w="160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w w:val="98"/>
              </w:rPr>
              <w:t>and Chief Scientific</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r>
      <w:tr>
        <w:trPr>
          <w:trHeight w:val="230"/>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Officer</w:t>
            </w: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r>
        <w:trPr>
          <w:trHeight w:val="237"/>
        </w:trPr>
        <w:tc>
          <w:tcPr>
            <w:tcW w:w="3200" w:type="dxa"/>
            <w:vAlign w:val="bottom"/>
            <w:gridSpan w:val="2"/>
          </w:tcPr>
          <w:p>
            <w:pPr>
              <w:spacing w:after="0"/>
              <w:rPr>
                <w:sz w:val="20"/>
                <w:szCs w:val="20"/>
                <w:color w:val="auto"/>
              </w:rPr>
            </w:pPr>
            <w:r>
              <w:rPr>
                <w:rFonts w:ascii="Arial" w:cs="Arial" w:eastAsia="Arial" w:hAnsi="Arial"/>
                <w:sz w:val="14"/>
                <w:szCs w:val="14"/>
                <w:color w:val="auto"/>
                <w:w w:val="94"/>
              </w:rPr>
              <w:t>___________________________________________</w:t>
            </w: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ind w:left="180" w:right="20" w:hanging="10"/>
        <w:spacing w:after="0" w:line="200" w:lineRule="auto"/>
        <w:tabs>
          <w:tab w:leader="none" w:pos="343"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First Transaction Date means the date that is the later of (i) the 91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day after the Date of Adoption, or (ii) the earlier of: (a) the third business day following the disclosure of the Company’s financial results in a Form 10-Q or Form 10-K for the completed fiscal quarter in which the trading arrangement was adopted, or (b) the 121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day after the Date of Adoption.</w:t>
      </w:r>
    </w:p>
    <w:p>
      <w:pPr>
        <w:spacing w:after="0" w:line="1" w:lineRule="exact"/>
        <w:rPr>
          <w:rFonts w:ascii="Arial" w:cs="Arial" w:eastAsia="Arial" w:hAnsi="Arial"/>
          <w:sz w:val="21"/>
          <w:szCs w:val="21"/>
          <w:color w:val="auto"/>
          <w:vertAlign w:val="superscript"/>
        </w:rPr>
      </w:pPr>
    </w:p>
    <w:p>
      <w:pPr>
        <w:ind w:left="180" w:hanging="10"/>
        <w:spacing w:after="0" w:line="225" w:lineRule="auto"/>
        <w:tabs>
          <w:tab w:leader="none" w:pos="329"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This trading arrangement covers the exercise and sale of stock options, with a portion of such sales limited to an amount reasonably estimated such that the net proceeds from the sale are sufficient to cover the exercise cost and taxes associated with the exercise of the stock options.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3"/>
        </w:trPr>
        <w:tc>
          <w:tcPr>
            <w:tcW w:w="17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1380" w:type="dxa"/>
            <w:vAlign w:val="bottom"/>
          </w:tcPr>
          <w:p>
            <w:pPr>
              <w:spacing w:after="0"/>
              <w:rPr>
                <w:sz w:val="18"/>
                <w:szCs w:val="18"/>
                <w:color w:val="auto"/>
              </w:rPr>
            </w:pPr>
          </w:p>
        </w:tc>
        <w:tc>
          <w:tcPr>
            <w:tcW w:w="8160" w:type="dxa"/>
            <w:vAlign w:val="bottom"/>
            <w:gridSpan w:val="5"/>
          </w:tcPr>
          <w:p>
            <w:pPr>
              <w:ind w:left="302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1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2"/>
        </w:trPr>
        <w:tc>
          <w:tcPr>
            <w:tcW w:w="1700" w:type="dxa"/>
            <w:vAlign w:val="bottom"/>
          </w:tcPr>
          <w:p>
            <w:pPr>
              <w:ind w:left="20"/>
              <w:spacing w:after="0" w:line="182" w:lineRule="exact"/>
              <w:rPr>
                <w:sz w:val="20"/>
                <w:szCs w:val="20"/>
                <w:color w:val="auto"/>
              </w:rPr>
            </w:pPr>
            <w:r>
              <w:rPr>
                <w:rFonts w:ascii="Arial" w:cs="Arial" w:eastAsia="Arial" w:hAnsi="Arial"/>
                <w:sz w:val="18"/>
                <w:szCs w:val="18"/>
                <w:color w:val="auto"/>
              </w:rPr>
              <w:t>31.1</w:t>
            </w:r>
          </w:p>
        </w:tc>
        <w:tc>
          <w:tcPr>
            <w:tcW w:w="490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2"/>
              </w:rPr>
              <w:t>Certification of Chief Executive Officer pursuant to Rule 13a-14(a).</w:t>
            </w:r>
          </w:p>
        </w:tc>
        <w:tc>
          <w:tcPr>
            <w:tcW w:w="4640" w:type="dxa"/>
            <w:vAlign w:val="bottom"/>
            <w:gridSpan w:val="3"/>
          </w:tcPr>
          <w:p>
            <w:pPr>
              <w:spacing w:after="0"/>
              <w:rPr>
                <w:sz w:val="15"/>
                <w:szCs w:val="15"/>
                <w:color w:val="auto"/>
              </w:rPr>
            </w:pPr>
          </w:p>
        </w:tc>
      </w:tr>
      <w:tr>
        <w:trPr>
          <w:trHeight w:val="466"/>
        </w:trPr>
        <w:tc>
          <w:tcPr>
            <w:tcW w:w="1700" w:type="dxa"/>
            <w:vAlign w:val="bottom"/>
          </w:tcPr>
          <w:p>
            <w:pPr>
              <w:ind w:left="20"/>
              <w:spacing w:after="0"/>
              <w:rPr>
                <w:sz w:val="20"/>
                <w:szCs w:val="20"/>
                <w:color w:val="auto"/>
              </w:rPr>
            </w:pPr>
            <w:r>
              <w:rPr>
                <w:rFonts w:ascii="Arial" w:cs="Arial" w:eastAsia="Arial" w:hAnsi="Arial"/>
                <w:sz w:val="18"/>
                <w:szCs w:val="18"/>
                <w:color w:val="auto"/>
              </w:rPr>
              <w:t>31.2</w:t>
            </w:r>
          </w:p>
        </w:tc>
        <w:tc>
          <w:tcPr>
            <w:tcW w:w="9540" w:type="dxa"/>
            <w:vAlign w:val="bottom"/>
            <w:gridSpan w:val="6"/>
          </w:tcPr>
          <w:p>
            <w:pPr>
              <w:spacing w:after="0"/>
              <w:rPr>
                <w:sz w:val="20"/>
                <w:szCs w:val="20"/>
                <w:color w:val="auto"/>
              </w:rPr>
            </w:pPr>
            <w:r>
              <w:rPr>
                <w:rFonts w:ascii="Arial" w:cs="Arial" w:eastAsia="Arial" w:hAnsi="Arial"/>
                <w:sz w:val="18"/>
                <w:szCs w:val="18"/>
                <w:color w:val="0000FF"/>
              </w:rPr>
              <w:t>Certification of Chief Financial Officer pursuant to Rule 13a-14(a).</w:t>
            </w:r>
          </w:p>
        </w:tc>
      </w:tr>
      <w:tr>
        <w:trPr>
          <w:trHeight w:val="20"/>
        </w:trPr>
        <w:tc>
          <w:tcPr>
            <w:tcW w:w="17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6"/>
        </w:trPr>
        <w:tc>
          <w:tcPr>
            <w:tcW w:w="1700" w:type="dxa"/>
            <w:vAlign w:val="bottom"/>
          </w:tcPr>
          <w:p>
            <w:pPr>
              <w:ind w:left="20"/>
              <w:spacing w:after="0"/>
              <w:rPr>
                <w:sz w:val="20"/>
                <w:szCs w:val="20"/>
                <w:color w:val="auto"/>
              </w:rPr>
            </w:pPr>
            <w:r>
              <w:rPr>
                <w:rFonts w:ascii="Arial" w:cs="Arial" w:eastAsia="Arial" w:hAnsi="Arial"/>
                <w:sz w:val="18"/>
                <w:szCs w:val="18"/>
                <w:color w:val="auto"/>
              </w:rPr>
              <w:t>32.1</w:t>
            </w:r>
          </w:p>
        </w:tc>
        <w:tc>
          <w:tcPr>
            <w:tcW w:w="9540" w:type="dxa"/>
            <w:vAlign w:val="bottom"/>
            <w:gridSpan w:val="6"/>
          </w:tcPr>
          <w:p>
            <w:pPr>
              <w:spacing w:after="0"/>
              <w:rPr>
                <w:sz w:val="20"/>
                <w:szCs w:val="20"/>
                <w:color w:val="auto"/>
              </w:rPr>
            </w:pPr>
            <w:r>
              <w:rPr>
                <w:rFonts w:ascii="Arial" w:cs="Arial" w:eastAsia="Arial" w:hAnsi="Arial"/>
                <w:sz w:val="18"/>
                <w:szCs w:val="18"/>
                <w:color w:val="0000FF"/>
                <w:w w:val="93"/>
              </w:rPr>
              <w:t>Certification of Chief Executive Officer pursuant to 18 U.S.C. Section 1350, as adopted pursuant to Section 906 of the Sarbanes-</w:t>
            </w:r>
          </w:p>
        </w:tc>
      </w:tr>
      <w:tr>
        <w:trPr>
          <w:trHeight w:val="156"/>
        </w:trPr>
        <w:tc>
          <w:tcPr>
            <w:tcW w:w="1700" w:type="dxa"/>
            <w:vAlign w:val="bottom"/>
          </w:tcPr>
          <w:p>
            <w:pPr>
              <w:spacing w:after="0"/>
              <w:rPr>
                <w:sz w:val="13"/>
                <w:szCs w:val="13"/>
                <w:color w:val="auto"/>
              </w:rPr>
            </w:pPr>
          </w:p>
        </w:tc>
        <w:tc>
          <w:tcPr>
            <w:tcW w:w="928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Oxley Act of 2002.</w:t>
            </w:r>
          </w:p>
        </w:tc>
        <w:tc>
          <w:tcPr>
            <w:tcW w:w="260" w:type="dxa"/>
            <w:vAlign w:val="bottom"/>
          </w:tcPr>
          <w:p>
            <w:pPr>
              <w:spacing w:after="0"/>
              <w:rPr>
                <w:sz w:val="13"/>
                <w:szCs w:val="13"/>
                <w:color w:val="auto"/>
              </w:rPr>
            </w:pPr>
          </w:p>
        </w:tc>
      </w:tr>
      <w:tr>
        <w:trPr>
          <w:trHeight w:val="20"/>
        </w:trPr>
        <w:tc>
          <w:tcPr>
            <w:tcW w:w="17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479"/>
        </w:trPr>
        <w:tc>
          <w:tcPr>
            <w:tcW w:w="1700" w:type="dxa"/>
            <w:vAlign w:val="bottom"/>
          </w:tcPr>
          <w:p>
            <w:pPr>
              <w:ind w:left="20"/>
              <w:spacing w:after="0"/>
              <w:rPr>
                <w:sz w:val="20"/>
                <w:szCs w:val="20"/>
                <w:color w:val="auto"/>
              </w:rPr>
            </w:pPr>
            <w:r>
              <w:rPr>
                <w:rFonts w:ascii="Arial" w:cs="Arial" w:eastAsia="Arial" w:hAnsi="Arial"/>
                <w:sz w:val="18"/>
                <w:szCs w:val="18"/>
                <w:color w:val="auto"/>
              </w:rPr>
              <w:t>32.2</w:t>
            </w:r>
          </w:p>
        </w:tc>
        <w:tc>
          <w:tcPr>
            <w:tcW w:w="9540" w:type="dxa"/>
            <w:vAlign w:val="bottom"/>
            <w:gridSpan w:val="6"/>
          </w:tcPr>
          <w:p>
            <w:pPr>
              <w:spacing w:after="0"/>
              <w:rPr>
                <w:sz w:val="20"/>
                <w:szCs w:val="20"/>
                <w:color w:val="auto"/>
              </w:rPr>
            </w:pPr>
            <w:r>
              <w:rPr>
                <w:rFonts w:ascii="Arial" w:cs="Arial" w:eastAsia="Arial" w:hAnsi="Arial"/>
                <w:sz w:val="18"/>
                <w:szCs w:val="18"/>
                <w:color w:val="0000FF"/>
                <w:w w:val="93"/>
              </w:rPr>
              <w:t>Certification of Chief Financial Officer pursuant to 18 U.S.C. Section 1350, as adopted pursuant to Section 906 of the Sarbanes-</w:t>
            </w:r>
          </w:p>
        </w:tc>
      </w:tr>
      <w:tr>
        <w:trPr>
          <w:trHeight w:val="156"/>
        </w:trPr>
        <w:tc>
          <w:tcPr>
            <w:tcW w:w="1700" w:type="dxa"/>
            <w:vAlign w:val="bottom"/>
          </w:tcPr>
          <w:p>
            <w:pPr>
              <w:spacing w:after="0"/>
              <w:rPr>
                <w:sz w:val="13"/>
                <w:szCs w:val="13"/>
                <w:color w:val="auto"/>
              </w:rPr>
            </w:pPr>
          </w:p>
        </w:tc>
        <w:tc>
          <w:tcPr>
            <w:tcW w:w="924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Oxley Act of 2002.</w:t>
            </w:r>
          </w:p>
        </w:tc>
        <w:tc>
          <w:tcPr>
            <w:tcW w:w="300" w:type="dxa"/>
            <w:vAlign w:val="bottom"/>
            <w:gridSpan w:val="2"/>
          </w:tcPr>
          <w:p>
            <w:pPr>
              <w:spacing w:after="0"/>
              <w:rPr>
                <w:sz w:val="13"/>
                <w:szCs w:val="13"/>
                <w:color w:val="auto"/>
              </w:rPr>
            </w:pPr>
          </w:p>
        </w:tc>
      </w:tr>
      <w:tr>
        <w:trPr>
          <w:trHeight w:val="20"/>
        </w:trPr>
        <w:tc>
          <w:tcPr>
            <w:tcW w:w="17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160" w:type="dxa"/>
            <w:vAlign w:val="bottom"/>
            <w:gridSpan w:val="5"/>
          </w:tcPr>
          <w:p>
            <w:pPr>
              <w:spacing w:after="0" w:line="20" w:lineRule="exact"/>
              <w:rPr>
                <w:sz w:val="1"/>
                <w:szCs w:val="1"/>
                <w:color w:val="auto"/>
              </w:rPr>
            </w:pPr>
          </w:p>
        </w:tc>
      </w:tr>
      <w:tr>
        <w:trPr>
          <w:trHeight w:val="466"/>
        </w:trPr>
        <w:tc>
          <w:tcPr>
            <w:tcW w:w="1700" w:type="dxa"/>
            <w:vAlign w:val="bottom"/>
          </w:tcPr>
          <w:p>
            <w:pPr>
              <w:ind w:left="20"/>
              <w:spacing w:after="0"/>
              <w:rPr>
                <w:sz w:val="20"/>
                <w:szCs w:val="20"/>
                <w:color w:val="auto"/>
              </w:rPr>
            </w:pPr>
            <w:r>
              <w:rPr>
                <w:rFonts w:ascii="Arial" w:cs="Arial" w:eastAsia="Arial" w:hAnsi="Arial"/>
                <w:sz w:val="18"/>
                <w:szCs w:val="18"/>
                <w:color w:val="auto"/>
              </w:rPr>
              <w:t>101</w:t>
            </w:r>
          </w:p>
        </w:tc>
        <w:tc>
          <w:tcPr>
            <w:tcW w:w="9540" w:type="dxa"/>
            <w:vAlign w:val="bottom"/>
            <w:gridSpan w:val="6"/>
          </w:tcPr>
          <w:p>
            <w:pPr>
              <w:spacing w:after="0"/>
              <w:rPr>
                <w:sz w:val="20"/>
                <w:szCs w:val="20"/>
                <w:color w:val="auto"/>
              </w:rPr>
            </w:pPr>
            <w:r>
              <w:rPr>
                <w:rFonts w:ascii="Arial" w:cs="Arial" w:eastAsia="Arial" w:hAnsi="Arial"/>
                <w:sz w:val="18"/>
                <w:szCs w:val="18"/>
                <w:color w:val="auto"/>
                <w:w w:val="96"/>
              </w:rPr>
              <w:t>The following financial information from the Company’s Quarterly Report on Form 10-Q for the quarter ended September 30,</w:t>
            </w:r>
          </w:p>
        </w:tc>
      </w:tr>
      <w:tr>
        <w:trPr>
          <w:trHeight w:val="175"/>
        </w:trPr>
        <w:tc>
          <w:tcPr>
            <w:tcW w:w="1700" w:type="dxa"/>
            <w:vAlign w:val="bottom"/>
          </w:tcPr>
          <w:p>
            <w:pPr>
              <w:spacing w:after="0"/>
              <w:rPr>
                <w:sz w:val="15"/>
                <w:szCs w:val="15"/>
                <w:color w:val="auto"/>
              </w:rPr>
            </w:pPr>
          </w:p>
        </w:tc>
        <w:tc>
          <w:tcPr>
            <w:tcW w:w="9540" w:type="dxa"/>
            <w:vAlign w:val="bottom"/>
            <w:gridSpan w:val="6"/>
          </w:tcPr>
          <w:p>
            <w:pPr>
              <w:spacing w:after="0" w:line="176" w:lineRule="exact"/>
              <w:rPr>
                <w:sz w:val="20"/>
                <w:szCs w:val="20"/>
                <w:color w:val="auto"/>
              </w:rPr>
            </w:pPr>
            <w:r>
              <w:rPr>
                <w:rFonts w:ascii="Arial" w:cs="Arial" w:eastAsia="Arial" w:hAnsi="Arial"/>
                <w:sz w:val="18"/>
                <w:szCs w:val="18"/>
                <w:color w:val="auto"/>
                <w:w w:val="96"/>
              </w:rPr>
              <w:t>2023, formatted in Inline XBRL: (i) Cover Page, (ii) Condensed Consolidated Statements of Earnings (Loss), (iii) Condensed</w:t>
            </w:r>
          </w:p>
        </w:tc>
      </w:tr>
      <w:tr>
        <w:trPr>
          <w:trHeight w:val="188"/>
        </w:trPr>
        <w:tc>
          <w:tcPr>
            <w:tcW w:w="1700" w:type="dxa"/>
            <w:vAlign w:val="bottom"/>
          </w:tcPr>
          <w:p>
            <w:pPr>
              <w:spacing w:after="0"/>
              <w:rPr>
                <w:sz w:val="16"/>
                <w:szCs w:val="16"/>
                <w:color w:val="auto"/>
              </w:rPr>
            </w:pPr>
          </w:p>
        </w:tc>
        <w:tc>
          <w:tcPr>
            <w:tcW w:w="9540" w:type="dxa"/>
            <w:vAlign w:val="bottom"/>
            <w:gridSpan w:val="6"/>
          </w:tcPr>
          <w:p>
            <w:pPr>
              <w:spacing w:after="0" w:line="189" w:lineRule="exact"/>
              <w:rPr>
                <w:sz w:val="20"/>
                <w:szCs w:val="20"/>
                <w:color w:val="auto"/>
              </w:rPr>
            </w:pPr>
            <w:r>
              <w:rPr>
                <w:rFonts w:ascii="Arial" w:cs="Arial" w:eastAsia="Arial" w:hAnsi="Arial"/>
                <w:sz w:val="18"/>
                <w:szCs w:val="18"/>
                <w:color w:val="auto"/>
                <w:w w:val="96"/>
              </w:rPr>
              <w:t>Consolidated Statements of Comprehensive Earnings (Loss), (iv) Condensed Consolidated Balance Sheets, (v) Condensed</w:t>
            </w:r>
          </w:p>
        </w:tc>
      </w:tr>
      <w:tr>
        <w:trPr>
          <w:trHeight w:val="176"/>
        </w:trPr>
        <w:tc>
          <w:tcPr>
            <w:tcW w:w="1700" w:type="dxa"/>
            <w:vAlign w:val="bottom"/>
          </w:tcPr>
          <w:p>
            <w:pPr>
              <w:spacing w:after="0"/>
              <w:rPr>
                <w:sz w:val="15"/>
                <w:szCs w:val="15"/>
                <w:color w:val="auto"/>
              </w:rPr>
            </w:pPr>
          </w:p>
        </w:tc>
        <w:tc>
          <w:tcPr>
            <w:tcW w:w="9540" w:type="dxa"/>
            <w:vAlign w:val="bottom"/>
            <w:gridSpan w:val="6"/>
          </w:tcPr>
          <w:p>
            <w:pPr>
              <w:spacing w:after="0" w:line="176" w:lineRule="exact"/>
              <w:rPr>
                <w:sz w:val="20"/>
                <w:szCs w:val="20"/>
                <w:color w:val="auto"/>
              </w:rPr>
            </w:pPr>
            <w:r>
              <w:rPr>
                <w:rFonts w:ascii="Arial" w:cs="Arial" w:eastAsia="Arial" w:hAnsi="Arial"/>
                <w:sz w:val="18"/>
                <w:szCs w:val="18"/>
                <w:color w:val="auto"/>
                <w:w w:val="91"/>
              </w:rPr>
              <w:t>Consolidated Statements of Changes in Stockholders' Equity, (vi) Condensed Consolidated Statements of Cash Flows, and (vii) the</w:t>
            </w:r>
          </w:p>
        </w:tc>
      </w:tr>
      <w:tr>
        <w:trPr>
          <w:trHeight w:val="230"/>
        </w:trPr>
        <w:tc>
          <w:tcPr>
            <w:tcW w:w="1700" w:type="dxa"/>
            <w:vAlign w:val="bottom"/>
          </w:tcPr>
          <w:p>
            <w:pPr>
              <w:spacing w:after="0"/>
              <w:rPr>
                <w:sz w:val="20"/>
                <w:szCs w:val="20"/>
                <w:color w:val="auto"/>
              </w:rPr>
            </w:pPr>
          </w:p>
        </w:tc>
        <w:tc>
          <w:tcPr>
            <w:tcW w:w="9540" w:type="dxa"/>
            <w:vAlign w:val="bottom"/>
            <w:gridSpan w:val="6"/>
          </w:tcPr>
          <w:p>
            <w:pPr>
              <w:spacing w:after="0"/>
              <w:rPr>
                <w:sz w:val="20"/>
                <w:szCs w:val="20"/>
                <w:color w:val="auto"/>
              </w:rPr>
            </w:pPr>
            <w:r>
              <w:rPr>
                <w:rFonts w:ascii="Arial" w:cs="Arial" w:eastAsia="Arial" w:hAnsi="Arial"/>
                <w:sz w:val="18"/>
                <w:szCs w:val="18"/>
                <w:color w:val="auto"/>
              </w:rPr>
              <w:t>Notes to Condensed Consolidated Financial Statements, tagged in summary and detail.</w:t>
            </w:r>
          </w:p>
        </w:tc>
      </w:tr>
      <w:tr>
        <w:trPr>
          <w:trHeight w:val="296"/>
        </w:trPr>
        <w:tc>
          <w:tcPr>
            <w:tcW w:w="1700" w:type="dxa"/>
            <w:vAlign w:val="bottom"/>
          </w:tcPr>
          <w:p>
            <w:pPr>
              <w:ind w:left="20"/>
              <w:spacing w:after="0"/>
              <w:rPr>
                <w:sz w:val="20"/>
                <w:szCs w:val="20"/>
                <w:color w:val="auto"/>
              </w:rPr>
            </w:pPr>
            <w:r>
              <w:rPr>
                <w:rFonts w:ascii="Arial" w:cs="Arial" w:eastAsia="Arial" w:hAnsi="Arial"/>
                <w:sz w:val="18"/>
                <w:szCs w:val="18"/>
                <w:color w:val="auto"/>
              </w:rPr>
              <w:t>104</w:t>
            </w:r>
          </w:p>
        </w:tc>
        <w:tc>
          <w:tcPr>
            <w:tcW w:w="9540" w:type="dxa"/>
            <w:vAlign w:val="bottom"/>
            <w:gridSpan w:val="6"/>
          </w:tcPr>
          <w:p>
            <w:pPr>
              <w:spacing w:after="0"/>
              <w:rPr>
                <w:sz w:val="20"/>
                <w:szCs w:val="20"/>
                <w:color w:val="auto"/>
              </w:rPr>
            </w:pPr>
            <w:r>
              <w:rPr>
                <w:rFonts w:ascii="Arial" w:cs="Arial" w:eastAsia="Arial" w:hAnsi="Arial"/>
                <w:sz w:val="18"/>
                <w:szCs w:val="18"/>
                <w:color w:val="auto"/>
                <w:w w:val="93"/>
              </w:rPr>
              <w:t>The cover page of the Company’s Quarterly Report on Form 10-Q for the quarter ended September 30, 2023, formatted in Inline</w:t>
            </w:r>
          </w:p>
        </w:tc>
      </w:tr>
      <w:tr>
        <w:trPr>
          <w:trHeight w:val="230"/>
        </w:trPr>
        <w:tc>
          <w:tcPr>
            <w:tcW w:w="1700" w:type="dxa"/>
            <w:vAlign w:val="bottom"/>
          </w:tcPr>
          <w:p>
            <w:pPr>
              <w:spacing w:after="0"/>
              <w:rPr>
                <w:sz w:val="20"/>
                <w:szCs w:val="20"/>
                <w:color w:val="auto"/>
              </w:rPr>
            </w:pPr>
          </w:p>
        </w:tc>
        <w:tc>
          <w:tcPr>
            <w:tcW w:w="9540" w:type="dxa"/>
            <w:vAlign w:val="bottom"/>
            <w:gridSpan w:val="6"/>
          </w:tcPr>
          <w:p>
            <w:pPr>
              <w:spacing w:after="0"/>
              <w:rPr>
                <w:sz w:val="20"/>
                <w:szCs w:val="20"/>
                <w:color w:val="auto"/>
              </w:rPr>
            </w:pPr>
            <w:r>
              <w:rPr>
                <w:rFonts w:ascii="Arial" w:cs="Arial" w:eastAsia="Arial" w:hAnsi="Arial"/>
                <w:sz w:val="18"/>
                <w:szCs w:val="18"/>
                <w:color w:val="auto"/>
              </w:rPr>
              <w:t>XBRL (included with the Exhibit 101 attachments).</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94" w:lineRule="exact"/>
        <w:rPr>
          <w:sz w:val="20"/>
          <w:szCs w:val="20"/>
          <w:color w:val="auto"/>
        </w:rPr>
      </w:pPr>
    </w:p>
    <w:p>
      <w:pPr>
        <w:ind w:left="660" w:right="320" w:hanging="652"/>
        <w:spacing w:after="0" w:line="277" w:lineRule="auto"/>
        <w:tabs>
          <w:tab w:leader="none" w:pos="4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portions of this exhibit that constitute confidential information have been omitted in accordance with Regulation S-K, Item 601(b)(10)(iv) because it (i) is not material and (ii) would be competitively harmful if publicly disclosed.</w:t>
      </w:r>
    </w:p>
    <w:p>
      <w:pPr>
        <w:spacing w:after="0" w:line="13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SUPERNUS PHARMACEUTICALS, INC.</w:t>
      </w:r>
    </w:p>
    <w:p>
      <w:pPr>
        <w:spacing w:after="0" w:line="279" w:lineRule="exact"/>
        <w:rPr>
          <w:sz w:val="20"/>
          <w:szCs w:val="20"/>
          <w:color w:val="auto"/>
        </w:rPr>
      </w:pPr>
    </w:p>
    <w:p>
      <w:pPr>
        <w:ind w:left="20"/>
        <w:spacing w:after="0"/>
        <w:tabs>
          <w:tab w:leader="none" w:pos="5600" w:val="left"/>
          <w:tab w:leader="none" w:pos="6120" w:val="left"/>
        </w:tabs>
        <w:rPr>
          <w:sz w:val="20"/>
          <w:szCs w:val="20"/>
          <w:color w:val="auto"/>
        </w:rPr>
      </w:pPr>
      <w:r>
        <w:rPr>
          <w:rFonts w:ascii="Arial" w:cs="Arial" w:eastAsia="Arial" w:hAnsi="Arial"/>
          <w:sz w:val="18"/>
          <w:szCs w:val="18"/>
          <w:color w:val="auto"/>
        </w:rPr>
        <w:t>DATED: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111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Jack A. Khattar</w:t>
      </w:r>
    </w:p>
    <w:p>
      <w:pPr>
        <w:ind w:left="6140"/>
        <w:spacing w:after="0"/>
        <w:rPr>
          <w:sz w:val="20"/>
          <w:szCs w:val="20"/>
          <w:color w:val="auto"/>
        </w:rPr>
      </w:pPr>
      <w:r>
        <w:rPr>
          <w:rFonts w:ascii="Arial" w:cs="Arial" w:eastAsia="Arial" w:hAnsi="Arial"/>
          <w:sz w:val="18"/>
          <w:szCs w:val="18"/>
          <w:color w:val="auto"/>
        </w:rPr>
        <w:t>President and Chief Executive Officer</w:t>
      </w:r>
    </w:p>
    <w:p>
      <w:pPr>
        <w:spacing w:after="0" w:line="277" w:lineRule="exact"/>
        <w:rPr>
          <w:sz w:val="20"/>
          <w:szCs w:val="20"/>
          <w:color w:val="auto"/>
        </w:rPr>
      </w:pPr>
    </w:p>
    <w:p>
      <w:pPr>
        <w:ind w:left="20"/>
        <w:spacing w:after="0"/>
        <w:tabs>
          <w:tab w:leader="none" w:pos="5600" w:val="left"/>
          <w:tab w:leader="none" w:pos="6120" w:val="left"/>
        </w:tabs>
        <w:rPr>
          <w:sz w:val="20"/>
          <w:szCs w:val="20"/>
          <w:color w:val="auto"/>
        </w:rPr>
      </w:pPr>
      <w:r>
        <w:rPr>
          <w:rFonts w:ascii="Arial" w:cs="Arial" w:eastAsia="Arial" w:hAnsi="Arial"/>
          <w:sz w:val="18"/>
          <w:szCs w:val="18"/>
          <w:color w:val="auto"/>
        </w:rPr>
        <w:t>DATED: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111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Timothy C. Dec</w:t>
      </w:r>
    </w:p>
    <w:p>
      <w:pPr>
        <w:ind w:left="6140"/>
        <w:spacing w:after="0"/>
        <w:rPr>
          <w:sz w:val="20"/>
          <w:szCs w:val="20"/>
          <w:color w:val="auto"/>
        </w:rPr>
      </w:pPr>
      <w:r>
        <w:rPr>
          <w:rFonts w:ascii="Arial" w:cs="Arial" w:eastAsia="Arial" w:hAnsi="Arial"/>
          <w:sz w:val="18"/>
          <w:szCs w:val="18"/>
          <w:color w:val="auto"/>
        </w:rPr>
        <w:t>Senior Vice-President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125" w:right="37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Jack A. Khattar, certify that:</w:t>
      </w:r>
    </w:p>
    <w:p>
      <w:pPr>
        <w:spacing w:after="0" w:line="17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98" w:lineRule="exact"/>
        <w:rPr>
          <w:rFonts w:ascii="Arial" w:cs="Arial" w:eastAsia="Arial" w:hAnsi="Arial"/>
          <w:sz w:val="16"/>
          <w:szCs w:val="16"/>
          <w:color w:val="auto"/>
        </w:rPr>
      </w:pPr>
    </w:p>
    <w:p>
      <w:pPr>
        <w:jc w:val="both"/>
        <w:ind w:left="660" w:right="120" w:hanging="652"/>
        <w:spacing w:after="0" w:line="26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660" w:right="80" w:hanging="652"/>
        <w:spacing w:after="0" w:line="308" w:lineRule="auto"/>
        <w:tabs>
          <w:tab w:leader="none" w:pos="660" w:val="left"/>
        </w:tabs>
        <w:numPr>
          <w:ilvl w:val="0"/>
          <w:numId w:val="23"/>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660" w:right="120" w:hanging="652"/>
        <w:spacing w:after="0" w:line="26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ind w:left="1300" w:right="120" w:hanging="644"/>
        <w:spacing w:after="0" w:line="263" w:lineRule="auto"/>
        <w:tabs>
          <w:tab w:leader="none" w:pos="1291" w:val="left"/>
        </w:tabs>
        <w:numPr>
          <w:ilvl w:val="1"/>
          <w:numId w:val="23"/>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300" w:right="40" w:hanging="644"/>
        <w:spacing w:after="0" w:line="26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300" w:right="220" w:hanging="644"/>
        <w:spacing w:after="0" w:line="342" w:lineRule="auto"/>
        <w:tabs>
          <w:tab w:leader="none" w:pos="1291" w:val="left"/>
        </w:tabs>
        <w:numPr>
          <w:ilvl w:val="1"/>
          <w:numId w:val="23"/>
        </w:numPr>
        <w:rPr>
          <w:rFonts w:ascii="Arial" w:cs="Arial" w:eastAsia="Arial" w:hAnsi="Arial"/>
          <w:sz w:val="14"/>
          <w:szCs w:val="14"/>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4"/>
          <w:szCs w:val="14"/>
          <w:color w:val="auto"/>
        </w:rPr>
      </w:pPr>
    </w:p>
    <w:p>
      <w:pPr>
        <w:ind w:left="1300" w:right="240" w:hanging="644"/>
        <w:spacing w:after="0" w:line="26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60" w:hanging="652"/>
        <w:spacing w:after="0" w:line="308" w:lineRule="auto"/>
        <w:tabs>
          <w:tab w:leader="none" w:pos="660" w:val="left"/>
        </w:tabs>
        <w:numPr>
          <w:ilvl w:val="0"/>
          <w:numId w:val="23"/>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5"/>
          <w:szCs w:val="15"/>
          <w:color w:val="auto"/>
        </w:rPr>
      </w:pPr>
    </w:p>
    <w:p>
      <w:pPr>
        <w:ind w:left="1300" w:right="500" w:hanging="644"/>
        <w:spacing w:after="0" w:line="342" w:lineRule="auto"/>
        <w:tabs>
          <w:tab w:leader="none" w:pos="12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360"/>
        <w:spacing w:after="0"/>
        <w:tabs>
          <w:tab w:leader="none" w:pos="5820" w:val="left"/>
          <w:tab w:leader="none" w:pos="6260" w:val="left"/>
        </w:tabs>
        <w:rPr>
          <w:sz w:val="20"/>
          <w:szCs w:val="20"/>
          <w:color w:val="auto"/>
        </w:rPr>
      </w:pPr>
      <w:r>
        <w:rPr>
          <w:rFonts w:ascii="Arial" w:cs="Arial" w:eastAsia="Arial" w:hAnsi="Arial"/>
          <w:sz w:val="16"/>
          <w:szCs w:val="16"/>
          <w:color w:val="auto"/>
        </w:rPr>
        <w:t>Date: November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17780</wp:posOffset>
            </wp:positionV>
            <wp:extent cx="29400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8"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Jack A. Khattar</w:t>
      </w:r>
    </w:p>
    <w:p>
      <w:pPr>
        <w:ind w:left="628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107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Timothy C. Dec, certify that:</w:t>
      </w:r>
    </w:p>
    <w:p>
      <w:pPr>
        <w:spacing w:after="0" w:line="17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98" w:lineRule="exact"/>
        <w:rPr>
          <w:rFonts w:ascii="Arial" w:cs="Arial" w:eastAsia="Arial" w:hAnsi="Arial"/>
          <w:sz w:val="16"/>
          <w:szCs w:val="16"/>
          <w:color w:val="auto"/>
        </w:rPr>
      </w:pPr>
    </w:p>
    <w:p>
      <w:pPr>
        <w:jc w:val="both"/>
        <w:ind w:left="660" w:right="120" w:hanging="652"/>
        <w:spacing w:after="0" w:line="26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660" w:right="80" w:hanging="652"/>
        <w:spacing w:after="0" w:line="308"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660" w:right="120" w:hanging="652"/>
        <w:spacing w:after="0" w:line="26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ind w:left="1300" w:right="120" w:hanging="644"/>
        <w:spacing w:after="0" w:line="263" w:lineRule="auto"/>
        <w:tabs>
          <w:tab w:leader="none" w:pos="1291" w:val="left"/>
        </w:tabs>
        <w:numPr>
          <w:ilvl w:val="1"/>
          <w:numId w:val="24"/>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300" w:right="40" w:hanging="644"/>
        <w:spacing w:after="0" w:line="263"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5"/>
          <w:szCs w:val="15"/>
          <w:color w:val="auto"/>
        </w:rPr>
      </w:pPr>
    </w:p>
    <w:p>
      <w:pPr>
        <w:ind w:left="1300" w:right="500" w:hanging="644"/>
        <w:spacing w:after="0" w:line="342" w:lineRule="auto"/>
        <w:tabs>
          <w:tab w:leader="none" w:pos="12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360"/>
        <w:spacing w:after="0"/>
        <w:tabs>
          <w:tab w:leader="none" w:pos="5580" w:val="left"/>
          <w:tab w:leader="none" w:pos="6000" w:val="left"/>
        </w:tabs>
        <w:rPr>
          <w:sz w:val="20"/>
          <w:szCs w:val="20"/>
          <w:color w:val="auto"/>
        </w:rPr>
      </w:pPr>
      <w:r>
        <w:rPr>
          <w:rFonts w:ascii="Arial" w:cs="Arial" w:eastAsia="Arial" w:hAnsi="Arial"/>
          <w:sz w:val="16"/>
          <w:szCs w:val="16"/>
          <w:color w:val="auto"/>
        </w:rPr>
        <w:t>Date: November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17780</wp:posOffset>
            </wp:positionV>
            <wp:extent cx="31032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6"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Timothy C. Dec</w:t>
      </w:r>
    </w:p>
    <w:p>
      <w:pPr>
        <w:spacing w:after="0" w:line="3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107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SUPERNUS PHARMACEUTICALS, INC.</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18 U.S.C. sec. 1350,</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AS ADOPTED PURSUANT TO</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8" w:lineRule="exact"/>
        <w:rPr>
          <w:sz w:val="20"/>
          <w:szCs w:val="20"/>
          <w:color w:val="auto"/>
        </w:rPr>
      </w:pPr>
    </w:p>
    <w:p>
      <w:pPr>
        <w:ind w:left="100" w:right="26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September 30, 2023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56" w:lineRule="exact"/>
        <w:rPr>
          <w:sz w:val="20"/>
          <w:szCs w:val="20"/>
          <w:color w:val="auto"/>
        </w:rPr>
      </w:pPr>
    </w:p>
    <w:p>
      <w:pPr>
        <w:ind w:left="760" w:hanging="652"/>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760" w:hanging="652"/>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360" w:val="left"/>
          <w:tab w:leader="none" w:pos="5800" w:val="left"/>
        </w:tabs>
        <w:rPr>
          <w:sz w:val="20"/>
          <w:szCs w:val="20"/>
          <w:color w:val="auto"/>
        </w:rPr>
      </w:pPr>
      <w:r>
        <w:rPr>
          <w:rFonts w:ascii="Arial" w:cs="Arial" w:eastAsia="Arial" w:hAnsi="Arial"/>
          <w:sz w:val="16"/>
          <w:szCs w:val="16"/>
          <w:color w:val="auto"/>
        </w:rPr>
        <w:t>te: November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17780</wp:posOffset>
            </wp:positionV>
            <wp:extent cx="32918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Jack A. Khattar</w:t>
      </w:r>
    </w:p>
    <w:p>
      <w:pPr>
        <w:ind w:left="582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340"/>
          </w:cols>
          <w:pgMar w:left="220" w:top="107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SUPERNUS PHARMACEUTICALS, INC.</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18 U.S.C. sec. 1350,</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AS ADOPTED PURSUANT TO</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8" w:lineRule="exact"/>
        <w:rPr>
          <w:sz w:val="20"/>
          <w:szCs w:val="20"/>
          <w:color w:val="auto"/>
        </w:rPr>
      </w:pPr>
    </w:p>
    <w:p>
      <w:pPr>
        <w:jc w:val="both"/>
        <w:ind w:left="100" w:right="42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September 30, 2023 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spacing w:after="0" w:line="156" w:lineRule="exact"/>
        <w:rPr>
          <w:sz w:val="20"/>
          <w:szCs w:val="20"/>
          <w:color w:val="auto"/>
        </w:rPr>
      </w:pPr>
    </w:p>
    <w:p>
      <w:pPr>
        <w:ind w:left="760" w:hanging="65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760" w:hanging="65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360" w:val="left"/>
          <w:tab w:leader="none" w:pos="5800" w:val="left"/>
        </w:tabs>
        <w:rPr>
          <w:sz w:val="20"/>
          <w:szCs w:val="20"/>
          <w:color w:val="auto"/>
        </w:rPr>
      </w:pPr>
      <w:r>
        <w:rPr>
          <w:rFonts w:ascii="Arial" w:cs="Arial" w:eastAsia="Arial" w:hAnsi="Arial"/>
          <w:sz w:val="16"/>
          <w:szCs w:val="16"/>
          <w:color w:val="auto"/>
        </w:rPr>
        <w:t>te: November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17780</wp:posOffset>
            </wp:positionV>
            <wp:extent cx="32918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Timothy C. Dec</w:t>
      </w:r>
    </w:p>
    <w:p>
      <w:pPr>
        <w:ind w:left="5820"/>
        <w:spacing w:after="0"/>
        <w:rPr>
          <w:sz w:val="20"/>
          <w:szCs w:val="20"/>
          <w:color w:val="auto"/>
        </w:rPr>
      </w:pPr>
      <w:r>
        <w:rPr>
          <w:rFonts w:ascii="Arial" w:cs="Arial" w:eastAsia="Arial" w:hAnsi="Arial"/>
          <w:sz w:val="16"/>
          <w:szCs w:val="16"/>
          <w:color w:val="auto"/>
        </w:rPr>
        <w:t>Senior Vice President and Chief Financial Officer</w:t>
      </w:r>
    </w:p>
    <w:sectPr>
      <w:pgSz w:w="11900" w:h="16838" w:orient="portrait"/>
      <w:cols w:equalWidth="0" w:num="1">
        <w:col w:w="11340"/>
      </w:cols>
      <w:pgMar w:left="220" w:top="10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bullet"/>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2023-11-08T15:39:25Z</dcterms:created>
  <dcterms:modified xsi:type="dcterms:W3CDTF">2023-11-08T15:39:25Z</dcterms:modified>
</cp:coreProperties>
</file>