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660" w:right="380" w:hanging="328"/>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SUPERNUS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20-2590184</w:t>
            </w:r>
          </w:p>
        </w:tc>
      </w:tr>
      <w:tr>
        <w:trPr>
          <w:trHeight w:val="216"/>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1550 East Gude Drive, Rockville, MD</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20850</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20" w:type="dxa"/>
            <w:vAlign w:val="bottom"/>
          </w:tcPr>
          <w:p>
            <w:pPr>
              <w:jc w:val="right"/>
              <w:ind w:right="1410"/>
              <w:spacing w:after="0"/>
              <w:rPr>
                <w:sz w:val="20"/>
                <w:szCs w:val="20"/>
                <w:color w:val="auto"/>
              </w:rPr>
            </w:pPr>
            <w:r>
              <w:rPr>
                <w:rFonts w:ascii="Arial" w:cs="Arial" w:eastAsia="Arial" w:hAnsi="Arial"/>
                <w:sz w:val="18"/>
                <w:szCs w:val="18"/>
                <w:b w:val="1"/>
                <w:bCs w:val="1"/>
                <w:color w:val="auto"/>
              </w:rPr>
              <w:t>(301) 838-2500</w:t>
            </w:r>
          </w:p>
        </w:tc>
        <w:tc>
          <w:tcPr>
            <w:tcW w:w="1520" w:type="dxa"/>
            <w:vAlign w:val="bottom"/>
          </w:tcPr>
          <w:p>
            <w:pPr>
              <w:spacing w:after="0"/>
              <w:rPr>
                <w:sz w:val="24"/>
                <w:szCs w:val="24"/>
                <w:color w:val="auto"/>
              </w:rPr>
            </w:pPr>
          </w:p>
        </w:tc>
      </w:tr>
      <w:tr>
        <w:trPr>
          <w:trHeight w:val="230"/>
        </w:trPr>
        <w:tc>
          <w:tcPr>
            <w:tcW w:w="642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492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x</w:t>
            </w:r>
          </w:p>
        </w:tc>
        <w:tc>
          <w:tcPr>
            <w:tcW w:w="3640" w:type="dxa"/>
            <w:vAlign w:val="bottom"/>
          </w:tcPr>
          <w:p>
            <w:pPr>
              <w:jc w:val="center"/>
              <w:ind w:left="1450"/>
              <w:spacing w:after="0"/>
              <w:rPr>
                <w:sz w:val="20"/>
                <w:szCs w:val="20"/>
                <w:color w:val="auto"/>
              </w:rPr>
            </w:pPr>
            <w:r>
              <w:rPr>
                <w:rFonts w:ascii="Arial" w:cs="Arial" w:eastAsia="Arial" w:hAnsi="Arial"/>
                <w:sz w:val="18"/>
                <w:szCs w:val="18"/>
                <w:color w:val="auto"/>
                <w:w w:val="92"/>
              </w:rPr>
              <w:t>Accelerated filer o</w:t>
            </w:r>
          </w:p>
        </w:tc>
      </w:tr>
      <w:tr>
        <w:trPr>
          <w:trHeight w:val="432"/>
        </w:trPr>
        <w:tc>
          <w:tcPr>
            <w:tcW w:w="492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40" w:type="dxa"/>
            <w:vAlign w:val="bottom"/>
          </w:tcPr>
          <w:p>
            <w:pPr>
              <w:jc w:val="center"/>
              <w:ind w:left="1450"/>
              <w:spacing w:after="0"/>
              <w:rPr>
                <w:sz w:val="20"/>
                <w:szCs w:val="20"/>
                <w:color w:val="auto"/>
              </w:rPr>
            </w:pPr>
            <w:r>
              <w:rPr>
                <w:rFonts w:ascii="Arial" w:cs="Arial" w:eastAsia="Arial" w:hAnsi="Arial"/>
                <w:sz w:val="18"/>
                <w:szCs w:val="18"/>
                <w:color w:val="auto"/>
                <w:w w:val="91"/>
              </w:rPr>
              <w:t>Smaller reporting company o</w:t>
            </w:r>
          </w:p>
        </w:tc>
      </w:tr>
      <w:tr>
        <w:trPr>
          <w:trHeight w:val="432"/>
        </w:trPr>
        <w:tc>
          <w:tcPr>
            <w:tcW w:w="4920" w:type="dxa"/>
            <w:vAlign w:val="bottom"/>
          </w:tcPr>
          <w:p>
            <w:pPr>
              <w:jc w:val="center"/>
              <w:ind w:right="1450"/>
              <w:spacing w:after="0"/>
              <w:rPr>
                <w:sz w:val="20"/>
                <w:szCs w:val="20"/>
                <w:color w:val="auto"/>
              </w:rPr>
            </w:pPr>
            <w:r>
              <w:rPr>
                <w:rFonts w:ascii="Arial" w:cs="Arial" w:eastAsia="Arial" w:hAnsi="Arial"/>
                <w:sz w:val="18"/>
                <w:szCs w:val="18"/>
                <w:color w:val="auto"/>
                <w:w w:val="92"/>
              </w:rPr>
              <w:t>(Do not check if a Smaller reporting company)</w:t>
            </w:r>
          </w:p>
        </w:tc>
        <w:tc>
          <w:tcPr>
            <w:tcW w:w="3640" w:type="dxa"/>
            <w:vAlign w:val="bottom"/>
          </w:tcPr>
          <w:p>
            <w:pPr>
              <w:jc w:val="center"/>
              <w:ind w:left="145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right="560" w:firstLine="324"/>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$0.001 per share, as of the close of business on August 3, 2018 was 52,214,334.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ectPr>
          <w:pgSz w:w="11900" w:h="16838" w:orient="portrait"/>
          <w:cols w:equalWidth="0" w:num="1">
            <w:col w:w="11400"/>
          </w:cols>
          <w:pgMar w:left="240" w:top="233" w:right="25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8100" w:type="dxa"/>
            <w:vAlign w:val="bottom"/>
            <w:gridSpan w:val="19"/>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100" w:type="dxa"/>
            <w:vAlign w:val="bottom"/>
            <w:gridSpan w:val="19"/>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4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Item 1. Financial Statements</w:t>
            </w:r>
          </w:p>
        </w:tc>
        <w:tc>
          <w:tcPr>
            <w:tcW w:w="5040" w:type="dxa"/>
            <w:vAlign w:val="bottom"/>
            <w:gridSpan w:val="7"/>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June 30, 2018 (Unaudited) and December 31, 2017</w:t>
              </w:r>
            </w:hyperlink>
          </w:p>
        </w:tc>
        <w:tc>
          <w:tcPr>
            <w:tcW w:w="11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22"/>
          </w:tcPr>
          <w:p>
            <w:pPr>
              <w:spacing w:after="0" w:line="19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Consolidated Statements of Earnings for the three and six month periods ended June 30, 2018 and 2017 (Unaudited)</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2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Comprehensive Earnings for the three and six month periods ended June 30, 2018 and 2017 (Unaudited)</w:t>
              </w:r>
            </w:hyperlink>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six month periods ended June 30, 2018 and 2017 (Unaudited)</w:t>
              </w:r>
            </w:hyperlink>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Notes to Consolidated Financial Statements (Unaudited)</w:t>
              </w:r>
            </w:hyperlink>
          </w:p>
        </w:tc>
        <w:tc>
          <w:tcPr>
            <w:tcW w:w="3260" w:type="dxa"/>
            <w:vAlign w:val="bottom"/>
            <w:tcBorders>
              <w:top w:val="single" w:sz="8" w:color="0000EE"/>
            </w:tcBorders>
            <w:gridSpan w:val="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20" w:type="dxa"/>
            <w:vAlign w:val="bottom"/>
            <w:gridSpan w:val="17"/>
          </w:tcPr>
          <w:p>
            <w:pPr>
              <w:spacing w:after="0" w:line="196"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Item 2. Management’s Discussion and Analysis of Financial Condition and Results of Operations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518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10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1. Legal Proceedings</w:t>
              </w:r>
            </w:hyperlink>
          </w:p>
        </w:tc>
        <w:tc>
          <w:tcPr>
            <w:tcW w:w="280" w:type="dxa"/>
            <w:vAlign w:val="bottom"/>
            <w:tcBorders>
              <w:top w:val="single" w:sz="8" w:color="0000EE"/>
            </w:tcBorders>
          </w:tcPr>
          <w:p>
            <w:pPr>
              <w:spacing w:after="0"/>
              <w:rPr>
                <w:sz w:val="17"/>
                <w:szCs w:val="17"/>
                <w:color w:val="auto"/>
              </w:rPr>
            </w:pPr>
          </w:p>
        </w:tc>
        <w:tc>
          <w:tcPr>
            <w:tcW w:w="534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592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26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2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 Defaults Upon Senior Securities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17"/>
                <w:szCs w:val="17"/>
                <w:color w:val="auto"/>
              </w:rPr>
            </w:pPr>
          </w:p>
        </w:tc>
        <w:tc>
          <w:tcPr>
            <w:tcW w:w="464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5. Other Information</w:t>
              </w:r>
            </w:hyperlink>
          </w:p>
        </w:tc>
        <w:tc>
          <w:tcPr>
            <w:tcW w:w="564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2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6. Exhibits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080" w:type="dxa"/>
            <w:vAlign w:val="bottom"/>
            <w:tcBorders>
              <w:top w:val="single" w:sz="8" w:color="0000EE"/>
            </w:tcBorders>
            <w:gridSpan w:val="3"/>
          </w:tcPr>
          <w:p>
            <w:pPr>
              <w:spacing w:after="0"/>
              <w:rPr>
                <w:sz w:val="24"/>
                <w:szCs w:val="24"/>
                <w:color w:val="auto"/>
              </w:rPr>
            </w:pPr>
          </w:p>
        </w:tc>
        <w:tc>
          <w:tcPr>
            <w:tcW w:w="5880" w:type="dxa"/>
            <w:vAlign w:val="bottom"/>
            <w:gridSpan w:val="13"/>
          </w:tcPr>
          <w:p>
            <w:pPr>
              <w:jc w:val="center"/>
              <w:ind w:left="3250"/>
              <w:spacing w:after="0"/>
              <w:rPr>
                <w:sz w:val="20"/>
                <w:szCs w:val="20"/>
                <w:color w:val="auto"/>
              </w:rPr>
            </w:pPr>
            <w:r>
              <w:rPr>
                <w:rFonts w:ascii="Arial" w:cs="Arial" w:eastAsia="Arial" w:hAnsi="Arial"/>
                <w:sz w:val="18"/>
                <w:szCs w:val="18"/>
                <w:color w:val="auto"/>
                <w:w w:val="99"/>
              </w:rPr>
              <w:t>2</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0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Supernus Pharmaceuticals, Inc.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(in thousands, except share amounts)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3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left="251"/>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130"/>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139,208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74,842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20,680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16,304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14,581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284,516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228,451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Long term marketable securities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503,312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4,897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33,794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25,528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gridSpan w:val="18"/>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852,799</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424,464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2,943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Accrued sales deductions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70,044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29,288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1,659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Deferred licensing revenue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103,934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Deferred licensing revenue, net of current portion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321,920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23,867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12,586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462,307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156,984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18"/>
          </w:tcPr>
          <w:p>
            <w:pPr>
              <w:ind w:left="180"/>
              <w:spacing w:after="0" w:line="201" w:lineRule="exact"/>
              <w:rPr>
                <w:sz w:val="20"/>
                <w:szCs w:val="20"/>
                <w:color w:val="auto"/>
              </w:rPr>
            </w:pPr>
            <w:r>
              <w:rPr>
                <w:rFonts w:ascii="Arial" w:cs="Arial" w:eastAsia="Arial" w:hAnsi="Arial"/>
                <w:sz w:val="18"/>
                <w:szCs w:val="18"/>
                <w:color w:val="auto"/>
                <w:w w:val="91"/>
              </w:rPr>
              <w:t>Common stock, $0.001 par value, 130,000,000 shares authorized at June 30, 2018 and December 31, 2017;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w w:val="94"/>
              </w:rPr>
              <w:t>52,179,334 and 51,314,850 shares issued and outstanding at June 30, 2018 and December 31, 2017,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18"/>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361,971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tcPr>
          <w:p>
            <w:pPr>
              <w:ind w:left="1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(4,119)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8"/>
            <w:shd w:val="clear" w:color="auto" w:fill="CCEEFF"/>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32,588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gridSpan w:val="18"/>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390,492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267,480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852,799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424,464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-7093585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-7093585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Net product sales</w:t>
            </w:r>
          </w:p>
        </w:tc>
        <w:tc>
          <w:tcPr>
            <w:tcW w:w="6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97,030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73,328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186,150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3,067</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Licensing revenue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99,538</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189,967</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Cost of product sales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6,961</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20,038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38,946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40,097</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35,078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76,946</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63,818</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49,762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122,853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90,550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earnings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35,720</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67,114</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4,870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60"/>
              <w:spacing w:after="0" w:line="201" w:lineRule="exact"/>
              <w:rPr>
                <w:sz w:val="20"/>
                <w:szCs w:val="20"/>
                <w:color w:val="auto"/>
              </w:rPr>
            </w:pPr>
            <w:r>
              <w:rPr>
                <w:rFonts w:ascii="Arial" w:cs="Arial" w:eastAsia="Arial" w:hAnsi="Arial"/>
                <w:sz w:val="18"/>
                <w:szCs w:val="18"/>
                <w:color w:val="auto"/>
                <w:w w:val="97"/>
              </w:rPr>
              <w:t>Interest expense-nonrecourse liability related to sale of</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540"/>
              <w:spacing w:after="0"/>
              <w:rPr>
                <w:sz w:val="20"/>
                <w:szCs w:val="20"/>
                <w:color w:val="auto"/>
              </w:rPr>
            </w:pPr>
            <w:r>
              <w:rPr>
                <w:rFonts w:ascii="Arial" w:cs="Arial" w:eastAsia="Arial" w:hAnsi="Arial"/>
                <w:sz w:val="18"/>
                <w:szCs w:val="18"/>
                <w:color w:val="auto"/>
              </w:rPr>
              <w:t>future royalties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(1,204)</w:t>
            </w:r>
          </w:p>
        </w:tc>
        <w:tc>
          <w:tcPr>
            <w:tcW w:w="3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(1,905)</w:t>
            </w:r>
          </w:p>
        </w:tc>
        <w:tc>
          <w:tcPr>
            <w:tcW w:w="3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of derivative liabilities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33,856</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65,038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3,119</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30,737</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57,089</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6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0.57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Weighted-average number of common shares outstanding:</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51,919,894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50,530,968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51,729,243</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50,345,830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54,203,308</w:t>
            </w:r>
          </w:p>
        </w:tc>
        <w:tc>
          <w:tcPr>
            <w:tcW w:w="3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53,223,714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54,021,941</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53,026,323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30,737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57,089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comprehensive earnings (loss):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Unrealized (loss) gain on marketable securities, net of tax</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(1,828)</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earnings (loss)</w:t>
            </w:r>
          </w:p>
        </w:tc>
        <w:tc>
          <w:tcPr>
            <w:tcW w:w="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Comprehensive earnings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28,909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17,552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53,717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8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See accompanying notes.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17"/>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earnings</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57,089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4,307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premium/discount on marketable securities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Non-cash interest expense on non-recourse liability related to sale of future royalties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1,905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royalty revenue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5,703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(4,376)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Accrued sales deductions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1,701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(15,938)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licensing revenue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33,689</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(491,655)</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19,466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legal fees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(473,147)</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402,500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Convertible notes issuance financing costs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(10,435)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warrants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65,688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convertible note hedges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(92,897)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374,359</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(65,099)</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100,304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35,205</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29,279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Non-cash financial activity: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convertible notes and interest make-whole</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Deferred legal fees included in accounts payable and accrued expenses</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ectPr>
          <w:pgSz w:w="11900" w:h="16838" w:orient="portrait"/>
          <w:cols w:equalWidth="0" w:num="1">
            <w:col w:w="11420"/>
          </w:cols>
          <w:pgMar w:left="240" w:top="368" w:right="239" w:bottom="0" w:gutter="0" w:footer="0" w:header="0"/>
        </w:sectPr>
      </w:pPr>
    </w:p>
    <w:bookmarkStart w:id="4" w:name="page5"/>
    <w:bookmarkEnd w:id="4"/>
    <w:p>
      <w:pPr>
        <w:ind w:right="220" w:firstLine="648"/>
        <w:spacing w:after="0" w:line="279" w:lineRule="auto"/>
        <w:rPr>
          <w:sz w:val="20"/>
          <w:szCs w:val="20"/>
          <w:color w:val="auto"/>
        </w:rPr>
      </w:pPr>
      <w:r>
        <w:rPr>
          <w:rFonts w:ascii="Arial" w:cs="Arial" w:eastAsia="Arial" w:hAnsi="Arial"/>
          <w:sz w:val="17"/>
          <w:szCs w:val="17"/>
          <w:color w:val="auto"/>
        </w:rPr>
        <w:t>Supernus Pharmaceuticals, Inc. (the Company) was incorporated in Delaware and commenced operations in 2005. The Company is a specialty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the psychiatry market.</w:t>
      </w:r>
    </w:p>
    <w:p>
      <w:pPr>
        <w:spacing w:after="0" w:line="17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launched Oxtellar XR and Trokendi XR in 2013 for the treatment of epilepsy and launched Trokendi XR for the prophylaxis of migraine headache in adolescents and adults in April 2017.</w:t>
      </w:r>
    </w:p>
    <w:p>
      <w:pPr>
        <w:spacing w:after="0" w:line="166" w:lineRule="exact"/>
        <w:rPr>
          <w:sz w:val="20"/>
          <w:szCs w:val="20"/>
          <w:color w:val="auto"/>
        </w:rPr>
      </w:pPr>
    </w:p>
    <w:p>
      <w:pPr>
        <w:ind w:right="7760" w:firstLine="8"/>
        <w:spacing w:after="0" w:line="503"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and Supernus Europe Ltd., collectively referred to herein as “Supernus” or “the Company.” All significant intercompany transactions and balances have been eliminated in consolidation. The Company’s unaudited consolidated financial statements have been prepared in accordance with the requirements of the U.S. Securities and Exchange Commission (SEC) for interim financial information.</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permitted under Generally Accepted Accounting Principles in the United States (U.S. GAAP), certain notes and other information have been omitted from the interim unaudited consolidated financial statements presented in this Quarterly Report on Form 10-Q. Therefore, these financial statements should be read in conjunction with the Company’s Annual Report on Form 10-K for the year ended December 31, 2017, filed with the SEC.</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opinion of management, the consolidated financial statements reflect all adjustments necessary to fairly present the Company’s financial position, results of earnings, and cash flows for the periods presented. These adjustments are of a normal recurring nature. The Company, which is primarily located in the United States (U.S.), operates in one operating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results of operations for the three and six months ended June 30, 2018 are not necessarily indicative of the Company’s future financial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the Company’s consolidated financial statements in conformity with U.S. GAAP requires management to make estimates and assumptions that affect the reported amounts of assets, liabilities, revenue and expenses, as well as related disclosure of contingent assets and liabilities. Actual results could differ materially from the Company’s estimates. To the extent that there are material differences between these estimates and actual results, the Company’s financial condition or operating results will be affected. The Company bases its estimates on historical experience or on various forecasts, including information received from its service providers and other assumptions that the Company believes are reasonable under the circumstances. The Company evaluates the methodology employed in its estimates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Company considers all investments in highly liquid financial instruments with an original maturity of three months or less to be cash equivalents.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investments are classified as available-for-sale and are carried at estimated fair value. Except for changes in fair value of equity securities which are recognized through net income, any unrealized holding gains or losses are reported, net of any reported tax effects, as accumulated other comprehensive earnings (loss), which is a separate component of stockholders’ equity.</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Realized gains and losses, and declines in value judged to be other-than-temporary, if any, are included in consolidated results of operations. A decline in the market value of any available-for-sale security below cost that is deemed to be other-than-temporary results in a reduction in fair value, with that reduction charged to earnings in that period. A new cost basis for the security is then established. Dividend and interest income is recognized when earned. The cost of securities sold is calculated using the specific identification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cash equivalents, accounts receivable and marketable securities. The counterparties are various corporations and financial institutions of high credit standing, as described above.</w:t>
      </w:r>
    </w:p>
    <w:p>
      <w:pPr>
        <w:spacing w:after="0" w:line="124"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Substantially all of the Company’s cash and cash equivalents are maintained in U.S. government agency debt and debt of well-known, investment grade, corporations. Deposits held with banks may exceed the amount of insurance provided on such deposits. Generally, these deposits may be redeemed upon demand and, therefore, management believes they bear minimal default risk.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majority of our product sales are to wholesalers and distributors who, in turn sell the products to pharmacies, hospitals, and other customers.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 wholesale pharmaceutical distributors collectively accounted for more than 90% of our total revenue for the six months ended June 30,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ectPr>
          <w:pgSz w:w="11900" w:h="16838" w:orient="portrait"/>
          <w:cols w:equalWidth="0" w:num="1">
            <w:col w:w="11380"/>
          </w:cols>
          <w:pgMar w:left="240" w:top="341" w:right="279" w:bottom="0" w:gutter="0" w:footer="0" w:header="0"/>
        </w:sectPr>
      </w:pPr>
    </w:p>
    <w:bookmarkStart w:id="5" w:name="page6"/>
    <w:bookmarkEnd w:id="5"/>
    <w:p>
      <w:pPr>
        <w:jc w:val="both"/>
        <w:ind w:right="220" w:firstLine="648"/>
        <w:spacing w:after="0" w:line="312" w:lineRule="auto"/>
        <w:rPr>
          <w:sz w:val="20"/>
          <w:szCs w:val="20"/>
          <w:color w:val="auto"/>
        </w:rPr>
      </w:pPr>
      <w:r>
        <w:rPr>
          <w:rFonts w:ascii="Arial" w:cs="Arial" w:eastAsia="Arial" w:hAnsi="Arial"/>
          <w:sz w:val="16"/>
          <w:szCs w:val="16"/>
          <w:color w:val="auto"/>
        </w:rPr>
        <w:t>Inventories, which are recorded at the lower of cost or market, include materials, labor, and other direct and indirect costs and are valued using the first-in, first-out method. The Company capitalizes inventories produced in preparation for commercial launches when it becomes probable that the related product candidates will receive regulatory approval and that the related costs will be recoverable through the commercial sale of the product.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Intangible assets consist of patent defense costs, which are deferred legal fees that have been incurred in connection with legal proceedings related to the defense of patents for Oxtellar XR and Trokendi XR. Patent defense costs will be charged to expense in the event of an unsuccessful outcome of the ongoing litigation. Patents are carried at cost less accumulated amortization, which is calculated on a straight line basis over the estimated useful lives of the patents. Amortization commences in the quarter after the costs are incurred. The amortization period is based initially upon the remaining patent life and is adjusted, if necessary, for any subsequent settlements or other changes to the expected useful life of the patent. The carrying value of the patents is assessed for impairment annually during the fourth quarter of each year, or more frequently if impairment indicators exist.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value to determine whether the asset’s value is recoverable. Evaluating for impairment requires judgment, including the estimation of future cash flows, future growth rates and profitability, and the expected life over which cash flows will occur. Changes in the Company’s business strategy or adverse changes in market conditions could impact impairment analyses and require the recognition of an impairment charge equal to the excess of the carrying value of the long-lived asset over its estimated fair value.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Deferred financing costs consist of costs incurred by the Company in connection with the closing of the Company’s sale of $402.5 million of 0.625% Convertible Senior Notes due 2023 (the 2023 Notes) (see Note 8). The Company amortizes deferred financing costs over the term of the related debt using the effective interest method. When extinguishing debt, the related deferred financing costs are written off.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its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will adjust its accrued expenses or deferred advance payments accordingly. If the Company later determines that it no longer expects the services associated with a nonrefundable advance payment to be rendered, the remaining portion of that advance payment will be charged to expense in the period in which such determination is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May 2014, the Financial Accounting Standards Board (FASB) issued a comprehensive new standard,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its related amendments, which amended revenue recognition principles. The Company adopted the new standard on January 1, 2018. While results for reporting periods beginning after January 1, 2018 are presented under the new guidance, prior period amounts are not adjusted and continue to be reported under the accounting standards in effect for the prior period. The accounting policy for revenue recognition for periods prior to January 1, 2018 is described in Note 2 of the Notes to Consolidated Financial Statements included in the Company’s Annual Report on Form 10-K for the year ended December 31, 2017.</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4"/>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30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76,474</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55,989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Net Product Sales</w:t>
            </w:r>
          </w:p>
        </w:tc>
        <w:tc>
          <w:tcPr>
            <w:tcW w:w="2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Licensing Revenue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4"/>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30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147,029</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97,998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31,699</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Net Product Sales</w:t>
            </w:r>
          </w:p>
        </w:tc>
        <w:tc>
          <w:tcPr>
            <w:tcW w:w="2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Revenues</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Licensing Revenue</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20" w:type="dxa"/>
            <w:vAlign w:val="bottom"/>
            <w:vMerge w:val="restart"/>
          </w:tcPr>
          <w:p>
            <w:pPr>
              <w:jc w:val="right"/>
              <w:ind w:right="115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Revenue from product sales is recognized when control of the Company’s products is transferred to the customer, which consists of wholesalers and pharmaceutical distributors. Product sales are recorded net of various forms of variable consideration, including estimated rebates paid to managed care plans, chargebacks, allowances, discounts, patient co-pay assistance and other deductions as well as estimated product returns (collectively, “sales deductions”).</w:t>
      </w:r>
    </w:p>
    <w:p>
      <w:pPr>
        <w:ind w:right="40"/>
        <w:spacing w:after="0" w:line="254" w:lineRule="auto"/>
        <w:rPr>
          <w:sz w:val="20"/>
          <w:szCs w:val="20"/>
          <w:color w:val="auto"/>
        </w:rPr>
      </w:pPr>
      <w:r>
        <w:rPr>
          <w:rFonts w:ascii="Arial" w:cs="Arial" w:eastAsia="Arial" w:hAnsi="Arial"/>
          <w:sz w:val="18"/>
          <w:szCs w:val="18"/>
          <w:color w:val="auto"/>
        </w:rPr>
        <w:t>Variability in the transaction price for its products pursuant to its contracts with customers primarily arises from these amounts. Significant judgment is required in estimating sales deductions, considering historical experience, current contract prices under applicable programs, unbilled claims, processing time lags and inventory levels in the distribution channel. If actual results in the future vary from its estimates, the Company adjusts these estimates, which would affect net product sales and earnings in the period such variances become known.</w:t>
      </w:r>
    </w:p>
    <w:p>
      <w:pPr>
        <w:spacing w:after="0" w:line="19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Company’s products are distributed through wholesalers and pharmaceutical distributors. Each of these wholesalers and distributors takes control of the product, including title and ownership to the product, upon physical receipt of the product and then distributes the Company’s products to pharmacies.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estimated sales deductions are provided for the following:</w:t>
      </w:r>
    </w:p>
    <w:p>
      <w:pPr>
        <w:spacing w:after="0" w:line="225" w:lineRule="exact"/>
        <w:rPr>
          <w:sz w:val="20"/>
          <w:szCs w:val="20"/>
          <w:color w:val="auto"/>
        </w:rPr>
      </w:pPr>
    </w:p>
    <w:p>
      <w:pPr>
        <w:ind w:left="660" w:right="120" w:hanging="328"/>
        <w:spacing w:after="0" w:line="25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Rebates: Rebates include mandated discounts under the Medicaid Drug Rebate Program, the Medicare coverage gap program, as well as negotiated discounts with commercial healthcare providers. Rebates are amounts owed after the final dispensing of product to a benefit plan participant has occurred and are based upon contractual agreements or legal requirements with the public sector (e.g., Medicaid) and with private sector benefit providers (e.g., commercial managed care providers). The allowance for rebates is based on statutory and contractual discount rates and expected claimed rebates based on a plan provider’s utilization.</w:t>
      </w:r>
    </w:p>
    <w:p>
      <w:pPr>
        <w:spacing w:after="0" w:line="18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 xml:space="preserve">Rebates are generally invoiced and paid quarterly in arrears so that the accrual balance consists of an estimate of the amount expected to be incurred for the current quarter’s activity, plus an accrual balance for known or estimated prior quarters’ unpaid rebates. If actual rebates vary from estimates, the Company may need to adjust the balances of such rebates to reflect its actual expenditures with respect to these programs, which would affect net product sales and earnings in the period of adjustment. Allowances for estimated rebates are recorded as current liabilities in </w:t>
      </w:r>
      <w:r>
        <w:rPr>
          <w:rFonts w:ascii="Arial" w:cs="Arial" w:eastAsia="Arial" w:hAnsi="Arial"/>
          <w:sz w:val="18"/>
          <w:szCs w:val="18"/>
          <w:i w:val="1"/>
          <w:iCs w:val="1"/>
          <w:color w:val="auto"/>
        </w:rPr>
        <w:t>Accrued Sales</w:t>
      </w:r>
      <w:r>
        <w:rPr>
          <w:rFonts w:ascii="Arial" w:cs="Arial" w:eastAsia="Arial" w:hAnsi="Arial"/>
          <w:sz w:val="18"/>
          <w:szCs w:val="18"/>
          <w:color w:val="auto"/>
        </w:rPr>
        <w:t xml:space="preserve"> </w:t>
      </w:r>
      <w:r>
        <w:rPr>
          <w:rFonts w:ascii="Arial" w:cs="Arial" w:eastAsia="Arial" w:hAnsi="Arial"/>
          <w:sz w:val="18"/>
          <w:szCs w:val="18"/>
          <w:i w:val="1"/>
          <w:iCs w:val="1"/>
          <w:color w:val="auto"/>
        </w:rPr>
        <w:t>Deductions</w:t>
      </w:r>
      <w:r>
        <w:rPr>
          <w:rFonts w:ascii="Arial" w:cs="Arial" w:eastAsia="Arial" w:hAnsi="Arial"/>
          <w:sz w:val="18"/>
          <w:szCs w:val="18"/>
          <w:color w:val="auto"/>
        </w:rPr>
        <w:t>.</w:t>
      </w:r>
    </w:p>
    <w:p>
      <w:pPr>
        <w:spacing w:after="0" w:line="188" w:lineRule="exact"/>
        <w:rPr>
          <w:sz w:val="20"/>
          <w:szCs w:val="20"/>
          <w:color w:val="auto"/>
        </w:rPr>
      </w:pPr>
    </w:p>
    <w:p>
      <w:pPr>
        <w:jc w:val="both"/>
        <w:ind w:left="660" w:right="160" w:hanging="328"/>
        <w:spacing w:after="0" w:line="279"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Co-pay assistance: Patients who pay in cash or have commercial healthcare insurance and meet certain eligibility requirements may receive co-pay assistance from the Company. The intent of this program is to reduce the patient’s out of pocket costs when filling a prescription. Liabilities for co-pay assistance are based on actual program participation as well as estimates of program activity using data provided by third-party administrators. Allowances for estimated co-pay are recorded as current liabilities in </w:t>
      </w:r>
      <w:r>
        <w:rPr>
          <w:rFonts w:ascii="Arial" w:cs="Arial" w:eastAsia="Arial" w:hAnsi="Arial"/>
          <w:sz w:val="17"/>
          <w:szCs w:val="17"/>
          <w:i w:val="1"/>
          <w:iCs w:val="1"/>
          <w:color w:val="auto"/>
        </w:rPr>
        <w:t>Accrued Sales Deductions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60" w:right="120" w:hanging="328"/>
        <w:spacing w:after="0" w:line="276"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Distributor/wholesaler deductions and discounts: U.S. specialty distributors and wholesalers are offered various forms of consideration including allowances, service fees and prompt payment discounts as consideration for distributing our products. Distributor allowances and service fees arise from contractual agreements with distributors and are generally a percentage of the price at which the Company sells product to distributors and wholesalers. Wholesale customers are offered a prompt pay discount for payment within a specified period. Allowances for estimated discounts are recorded as a deduction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which is recorded under current assets.</w:t>
      </w:r>
    </w:p>
    <w:p>
      <w:pPr>
        <w:spacing w:after="0" w:line="172" w:lineRule="exact"/>
        <w:rPr>
          <w:rFonts w:ascii="Arial" w:cs="Arial" w:eastAsia="Arial" w:hAnsi="Arial"/>
          <w:sz w:val="17"/>
          <w:szCs w:val="17"/>
          <w:color w:val="auto"/>
        </w:rPr>
      </w:pPr>
    </w:p>
    <w:p>
      <w:pPr>
        <w:ind w:left="660" w:right="80" w:hanging="328"/>
        <w:spacing w:after="0" w:line="291" w:lineRule="auto"/>
        <w:tabs>
          <w:tab w:leader="none" w:pos="62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Returns: Sales of the Company’s products are not subject to a general right of return; however, the Company will accept the return of product that is damaged or defective when shipped directly from our warehouse. The Company will also accept expired product six months prior to and up to</w:t>
      </w:r>
    </w:p>
    <w:p>
      <w:pPr>
        <w:ind w:left="660" w:right="8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12 months subsequent to its expiry date. Product that has been used to fill patient prescriptions is no longer subject to any right of return. Returned product (i.e., damaged, defective or expired) cannot be re-sold, therefore a right of return asset is not recorded. Allowances for estimated returns are recorded as current liabilities in </w:t>
      </w:r>
      <w:r>
        <w:rPr>
          <w:rFonts w:ascii="Arial" w:cs="Arial" w:eastAsia="Arial" w:hAnsi="Arial"/>
          <w:sz w:val="18"/>
          <w:szCs w:val="18"/>
          <w:i w:val="1"/>
          <w:iCs w:val="1"/>
          <w:color w:val="auto"/>
        </w:rPr>
        <w:t>Accrued Sales Deductions</w:t>
      </w:r>
      <w:r>
        <w:rPr>
          <w:rFonts w:ascii="Arial" w:cs="Arial" w:eastAsia="Arial" w:hAnsi="Arial"/>
          <w:sz w:val="18"/>
          <w:szCs w:val="18"/>
          <w:color w:val="auto"/>
        </w:rPr>
        <w:t>.</w:t>
      </w:r>
    </w:p>
    <w:p>
      <w:pPr>
        <w:spacing w:after="0" w:line="190" w:lineRule="exact"/>
        <w:rPr>
          <w:rFonts w:ascii="Arial" w:cs="Arial" w:eastAsia="Arial" w:hAnsi="Arial"/>
          <w:sz w:val="16"/>
          <w:szCs w:val="16"/>
          <w:color w:val="auto"/>
        </w:rPr>
      </w:pPr>
    </w:p>
    <w:p>
      <w:pPr>
        <w:ind w:left="660" w:right="20" w:hanging="328"/>
        <w:spacing w:after="0" w:line="255"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Chargebacks: Chargebacks are discounts that occur when contracted customers purchase directly from an intermediary distributor or wholesaler. Contracted customers, which currently consist primarily of Public Health Service institutions and federal government entities purchasing via the Federal Supply Schedule, generally purchase the Company’s products at a discounted price. The distributor or wholesaler, in turn, charges back the difference between the price initially paid by the distributor or wholesaler and the discounted price paid to the distributor or wholesaler by the customer. The allowance for distributor/wholesaler chargebacks is based on sales to contracted customers. Allowances for estimated chargebacks are recorded as current liabilities in </w:t>
      </w:r>
      <w:r>
        <w:rPr>
          <w:rFonts w:ascii="Arial" w:cs="Arial" w:eastAsia="Arial" w:hAnsi="Arial"/>
          <w:sz w:val="18"/>
          <w:szCs w:val="18"/>
          <w:i w:val="1"/>
          <w:iCs w:val="1"/>
          <w:color w:val="auto"/>
        </w:rPr>
        <w:t>Accrued Sales Deductions</w:t>
      </w:r>
      <w:r>
        <w:rPr>
          <w:rFonts w:ascii="Arial" w:cs="Arial" w:eastAsia="Arial" w:hAnsi="Arial"/>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Customer orders are generally fulfilled within a few days of receipt, resulting in minimal order backlog. Open purchase orders for products from customers are expected to be fulfilled within the next twelve months. There are no minimum product purchase requirements.</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Incremental costs of obtaining a contract include only those costs that the Company would not have incurred if the contract had not been obtained, for example sales commissions. Costs of obtaining a contract that are incremental and recoverable are capitalized and amortized on a straight-line basis over the expected customer relationship period. As a practical expedient, the Company expenses costs to obtain a contract as incurred if the expected amortization period of the asset would have been a year or less or if the amount is immaterial. These costs are recorded in selling, general and administrative expenses in the consolidated statement of earnings. Costs to fulfill a contract are expensed as incurred and recorded in cost of product sales in the consolidated statement of earnings.</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of June 30, 2018, the Company had not capitalized any costs of obtaining any of its contracts and had not incurred any costs to fulfill any contracts.</w:t>
      </w:r>
    </w:p>
    <w:p>
      <w:pPr>
        <w:sectPr>
          <w:pgSz w:w="11900" w:h="16838" w:orient="portrait"/>
          <w:cols w:equalWidth="0" w:num="1">
            <w:col w:w="11400"/>
          </w:cols>
          <w:pgMar w:left="240" w:top="517" w:right="259" w:bottom="0" w:gutter="0" w:footer="0" w:header="0"/>
        </w:sectPr>
      </w:pPr>
    </w:p>
    <w:bookmarkStart w:id="7" w:name="page8"/>
    <w:bookmarkEnd w:id="7"/>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License and Collaboration Agreements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entered into collaboration agreements to commercialize both Oxtellar XR and Trokendi XR outside of the United States which involve the right to use the Company’s intellectual property as a functional license. These agreements generally include an up-front license fee and ongoing milestone payments upon the achievement of specific events. These agreements may also require minimum royalty payments based on sales of products developed from the applicable intellectual property.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Up-front license fees are recognized once the license has been delivered to the customer.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Milestones are a form of variable consideration that are recognized when either the underlying events have been achieved (event-based milestone) or the sales-based targets have been met by the collaborative partner (sales-based milestone). Both types of milestone payments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availability of third party information; and expected duration of time until achievement of event. These factors will be evaluated based on the specific facts and circumstances. If it is probable that a significant revenue reversal would not occur, the value of the associated milestone is included in the transaction price.</w:t>
      </w:r>
    </w:p>
    <w:p>
      <w:pPr>
        <w:spacing w:after="0" w:line="18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Event-based milestones are recognized in the period that the related event, such as regulatory approval, occurs. Sales-based milestones are recognized as revenue when the sales target is achieved. Milestone payments that are not within the control of the Company, such as approval from regulatory authorities or where attainment of the specified event is dependent on the development activities of a third-party, are not considered probable of being achieved until the specified event occurs. Revenue is recognized from the satisfaction of performance obligations in the amount billable to the customer.</w:t>
      </w:r>
    </w:p>
    <w:p>
      <w:pPr>
        <w:spacing w:after="0" w:line="15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 recorded $750,000 of milestone revenue for both the three and six months ended June 30, 2018 and $1.3 million of milestone revenue for both the three and six months ended June 30, 2017, respectively. Revenue associated with future milestones will be recognized when the related event occurs or sales-based target is achieved. There are no guaranteed minimum amounts owed to the Company related to license and collaboration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 recognizes non-cash royalty revenue for royalty amounts earned pursuant to a royalty agreement with United Therapeutics that involves the right to use the Company’s intellectual property as a functional license. In 2014, the Company sold certain of these royalty rights to Healthcare Royalty Partners III, L.P. (HC Royalty) (see Note 14). Accordingly, the Company records non-cash royalty revenue based on estimated sales by United Therapeutics that result in payments made from United Therapeutics to HC Royalty in connection with these agreements.</w:t>
      </w:r>
    </w:p>
    <w:p>
      <w:pPr>
        <w:spacing w:after="0" w:line="17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Royalty revenue also includes royalty amounts received from collaboration partners, including from Shire Plc (Shire) based on net product sales of Shire’s product, Mydayis. Royalty revenue is only recognized when the underlying sale occurs. The Shire arrangement also involves the right to use the Company’s intellectual property as a functional license and royalty revenue is recognized based on estimated net product sales by Shire in the current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royalty revenue agreements.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For the three and six months ended June 30, 2018, revenue recognized from performance obligations related to prior periods (for example, due to changes in transaction price) was not material in the aggregate for Net Product Sales, License Revenue and Royalty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Accounts receivable are reported on the consolidated balance sheets at outstanding amounts due from customers, less an allowance for doubtful accounts and discounts. The Company extends credit without requiring collateral. 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 All arrangements are payable no later than one year after the transfer of the product. The Company does not assess whether a contract has a significant financing component if the expectation at contract inception is such that the period between the transfer of the promised good to the customer and receipt of payment will be one year or less. There are no significant financing components.</w:t>
      </w:r>
    </w:p>
    <w:p>
      <w:pPr>
        <w:spacing w:after="0" w:line="16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recorded no allowance for bad debt as of June 30, 2018 and December 31, 2017. There were no impairment losses on accounts receivable for the three and six months ended June 30, 2018 and June 30, 2017.</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recorded an allowance of approximately $9.3 million and $8.9 million for expected sales discounts, related to prompt pay discounts and contractual fee for service arrangements, to wholesalers and distributors as of June 30, 2018 and December 31, 2017,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contract assets or liabilities recorded as of January 1, 2018 or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costs are expensed as incurred. Research and development costs consist primarily of: employee-related expenses, including salaries and benefits; share-based compensation expense; expenses incurred under agreements with CROs; fees paid to clinical investigators who</w:t>
      </w:r>
    </w:p>
    <w:p>
      <w:pPr>
        <w:sectPr>
          <w:pgSz w:w="11900" w:h="16908" w:orient="portrait"/>
          <w:cols w:equalWidth="0" w:num="1">
            <w:col w:w="11380"/>
          </w:cols>
          <w:pgMar w:left="240" w:top="121" w:right="279" w:bottom="0" w:gutter="0" w:footer="0" w:header="0"/>
        </w:sectPr>
      </w:pPr>
    </w:p>
    <w:bookmarkStart w:id="8" w:name="page9"/>
    <w:bookmarkEnd w:id="8"/>
    <w:p>
      <w:pPr>
        <w:ind w:right="220"/>
        <w:spacing w:after="0" w:line="257" w:lineRule="auto"/>
        <w:rPr>
          <w:sz w:val="20"/>
          <w:szCs w:val="20"/>
          <w:color w:val="auto"/>
        </w:rPr>
      </w:pPr>
      <w:r>
        <w:rPr>
          <w:rFonts w:ascii="Arial" w:cs="Arial" w:eastAsia="Arial" w:hAnsi="Arial"/>
          <w:sz w:val="18"/>
          <w:szCs w:val="18"/>
          <w:color w:val="auto"/>
        </w:rPr>
        <w:t>are participating in our clinical trials; fees paid to consultants and other vendors that conduct the Company’s clinical trials; the cost of acquiring and manufacturing clinical trial materials; the cost of manufacturing materials used in process validation, but only to the extent that those materials are manufactured prior to receiving regulatory approval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Advertising expense includes costs of promotional materials and activities, such as marketing materials, marketing programs and speaker programs. The costs of the Company’s advertising efforts are expensed as incurred. The Company incurred approximately $11.1 million and $19.0 million in advertising costs for the three and six months ended June 30, 2018 and approximately $9.8 million and $16.5 million in advertising costs for the three and six months ended June 30, 2017, respectively. These expenses are recorded in the selling, general and administrative expense line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Employee share-based compensation is measured based on the estimated fair value as of the grant date. The grant date fair value is calculated using the Black-Scholes option-pricing model, which requires the use of subjective assumptions, including stock volatility, expected term, risk-free rate, and the fair value of the underlying common stock. The Company recognizes expense using the straight-line method.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 using the Black-Scholes option pricing model. The fair value of awards to non-employees is re-measured at each reporting period. As a result, stock compensation expense for non-employee awards with vesting is affected by subsequent changes in the fair value of the Company’s common stock, with those changes recorded in the relevant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 The Company’s policy is to recognize any interest and penalties related to income taxes as income tax expense in the relevant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2018</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has subsequently issued a number of amendments to ASU 2014-09, which provides a comprehensive model to be used in the accounting for revenue arising from contracts with customers and supersedes current revenue recognition guidance, including industry-specific guidance.</w:t>
      </w:r>
    </w:p>
    <w:p>
      <w:pPr>
        <w:spacing w:after="0" w:line="18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On January 1, 2018,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all the related amendments (the New Revenue Standard) using the modified retrospective method applied to those contracts which had not been completed as of January 1, 2018. The Company recognized the cumulative effect of initially applying the New Revenue Standard as an adjustment to the opening balance of retained earnings.</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recorded a decrease of $2.3 million to the accumulated deficit of January 1, 2018 due to the cumulative impact of adopting the New Revenue Standard. The decrease resulted from the acceleration of both up-front licensing fees from license and collaboration agreements and the acceleration of royalties from sales of licensed product. Under the New Revenue Standard, up-front licensing fees will be recognized when the license is delivered to the customer and royalties from the sale of licensed product will be recognized as the underlying sales of product occur by the licensee. There were no changes in the timing of revenue recognition related to net product sales.</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comparative information has not been restated and continues to be reported under the accounting standards in effect for those periods, in thousands of dollars: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1, 2018</w:t>
            </w:r>
          </w:p>
        </w:tc>
      </w:tr>
      <w:tr>
        <w:trPr>
          <w:trHeight w:val="17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As Reported</w:t>
            </w:r>
          </w:p>
        </w:tc>
        <w:tc>
          <w:tcPr>
            <w:tcW w:w="1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Deferred licensing revenue</w:t>
            </w: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licensing revenue, net of current portion</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Deferred income taxes (asset)</w:t>
            </w: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20,843</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20,109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26,823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24,501</w:t>
            </w:r>
          </w:p>
        </w:tc>
      </w:tr>
    </w:tbl>
    <w:p>
      <w:pPr>
        <w:spacing w:after="0" w:line="20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Adoption of the New Revenue Standard had no material impact on the Company’s consolidated balance sheets or statements of earnings and had no impact on cash from or used in total operating, investing or financing activities on the Company’s consolidated statements of cash flows.</w:t>
      </w:r>
    </w:p>
    <w:p>
      <w:pPr>
        <w:sectPr>
          <w:pgSz w:w="11900" w:h="16838" w:orient="portrait"/>
          <w:cols w:equalWidth="0" w:num="1">
            <w:col w:w="11420"/>
          </w:cols>
          <w:pgMar w:left="240" w:top="125" w:right="239" w:bottom="244"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44" w:gutter="0" w:footer="0" w:header="0"/>
          <w:type w:val="continuous"/>
        </w:sectPr>
      </w:pPr>
    </w:p>
    <w:bookmarkStart w:id="9" w:name="page10"/>
    <w:bookmarkEnd w:id="9"/>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ASU 2017-09 is effective for all annual periods, and interim periods within those annual periods, beginning after December 15, 2017, with early adoption permitted. The adoption of this guidance did not have a material impact on the Company’s consolidated financial statements.</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The standard eliminates diversity in the practice of how certain cash receipts and cash payments are presented and classified in the statement of cash flows under Topic 230, </w:t>
      </w:r>
      <w:r>
        <w:rPr>
          <w:rFonts w:ascii="Arial" w:cs="Arial" w:eastAsia="Arial" w:hAnsi="Arial"/>
          <w:sz w:val="17"/>
          <w:szCs w:val="17"/>
          <w:i w:val="1"/>
          <w:iCs w:val="1"/>
          <w:color w:val="auto"/>
        </w:rPr>
        <w:t>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Cash Flows</w:t>
      </w:r>
      <w:r>
        <w:rPr>
          <w:rFonts w:ascii="Arial" w:cs="Arial" w:eastAsia="Arial" w:hAnsi="Arial"/>
          <w:sz w:val="17"/>
          <w:szCs w:val="17"/>
          <w:color w:val="auto"/>
        </w:rPr>
        <w:t>, and other Topics. ASU 2016-15 is effective for annual reporting periods, and interim periods therein, beginning after December 15,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this guidance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standard requires a lessee to recognize a right-of-use asset and a lease liability on the balance sheet for leases with lease terms greater than 12 months. ASU 2016-02 is effective for fiscal years, and interim periods within those years, beginning after December 15, 2018, and early adoption is permitted. The Company is evaluating the impact that adopting this new standard will have on its consolidated financial statements. The Company expects the ASU to have a material impact on its consolidated balance sheet due to the recognition of assets and liabilities, principally for certain leases currently accounted for as operating leases. The Company does not expect the ASU to have a material impact on its cash flows or results of operations.</w:t>
      </w:r>
    </w:p>
    <w:p>
      <w:pPr>
        <w:spacing w:after="0" w:line="19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August 2017, the FASB issued ASU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Activities.” </w:t>
      </w:r>
      <w:r>
        <w:rPr>
          <w:rFonts w:ascii="Arial" w:cs="Arial" w:eastAsia="Arial" w:hAnsi="Arial"/>
          <w:sz w:val="17"/>
          <w:szCs w:val="17"/>
          <w:color w:val="auto"/>
        </w:rPr>
        <w:t>ASU 2017-12 provides new guidance about income statement classification and eliminates the requirement to separately measure and report</w:t>
      </w:r>
      <w:r>
        <w:rPr>
          <w:rFonts w:ascii="Arial" w:cs="Arial" w:eastAsia="Arial" w:hAnsi="Arial"/>
          <w:sz w:val="17"/>
          <w:szCs w:val="17"/>
          <w:i w:val="1"/>
          <w:iCs w:val="1"/>
          <w:color w:val="auto"/>
        </w:rPr>
        <w:t xml:space="preserve"> </w:t>
      </w:r>
      <w:r>
        <w:rPr>
          <w:rFonts w:ascii="Arial" w:cs="Arial" w:eastAsia="Arial" w:hAnsi="Arial"/>
          <w:sz w:val="17"/>
          <w:szCs w:val="17"/>
          <w:color w:val="auto"/>
        </w:rPr>
        <w:t>hedge ineffectiveness. The entire change in fair value for qualifying hedge instruments included in the effectiveness measurement will be recorded in other comprehensive income (OCI) and amounts deferred in OCI will be reclassified to earnings in the same income statement line item in which the earnings effect of the hedged item is reported. This standard will be effective for the first annual period beginning after December 15, 2018, including interim periods within those periods. Early adoption is permitted. The Company is currently assessing the impact that this standard will have on its consolidated financial statements, but does not expect it to have a material impact.</w:t>
      </w:r>
    </w:p>
    <w:p>
      <w:pPr>
        <w:spacing w:after="0" w:line="17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Company has evaluated all other ASUs issued through the date the consolidated financial statements were issued in this Quarterly Report on Form 10-Q and believes that no other ASUs will have a material impact on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market participants. Such transactions to sell an asset or transfer a liability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1" w:lineRule="exact"/>
        <w:rPr>
          <w:sz w:val="20"/>
          <w:szCs w:val="20"/>
          <w:color w:val="auto"/>
        </w:rPr>
      </w:pPr>
    </w:p>
    <w:p>
      <w:pPr>
        <w:ind w:left="980" w:right="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at the measurement date.</w:t>
      </w:r>
    </w:p>
    <w:p>
      <w:pPr>
        <w:spacing w:after="0" w:line="170" w:lineRule="exact"/>
        <w:rPr>
          <w:rFonts w:ascii="Arial" w:cs="Arial" w:eastAsia="Arial" w:hAnsi="Arial"/>
          <w:sz w:val="18"/>
          <w:szCs w:val="18"/>
          <w:color w:val="auto"/>
        </w:rPr>
      </w:pPr>
    </w:p>
    <w:p>
      <w:pPr>
        <w:ind w:left="980" w:right="200" w:hanging="324"/>
        <w:spacing w:after="0" w:line="312"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980" w:right="2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tables show the fair value of the Company’s financial assets and liabilities that are required to be measured at fair value,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Fair Value Measurements at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left="761"/>
              <w:spacing w:after="0" w:line="149" w:lineRule="exact"/>
              <w:rPr>
                <w:sz w:val="20"/>
                <w:szCs w:val="20"/>
                <w:color w:val="auto"/>
              </w:rPr>
            </w:pPr>
            <w:r>
              <w:rPr>
                <w:rFonts w:ascii="Arial" w:cs="Arial" w:eastAsia="Arial" w:hAnsi="Arial"/>
                <w:sz w:val="14"/>
                <w:szCs w:val="14"/>
                <w:b w:val="1"/>
                <w:bCs w:val="1"/>
                <w:color w:val="auto"/>
                <w:w w:val="90"/>
              </w:rPr>
              <w:t>June 30, 2018</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781"/>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 at</w:t>
            </w: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35,205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35,205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137,832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Long term marketable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499,484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Government debt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3,139</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5"/>
        </w:trPr>
        <w:tc>
          <w:tcPr>
            <w:tcW w:w="4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37,271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640,810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Fair Value Measurements at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 at</w:t>
            </w: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100,304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100,304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Long term marketable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Government debt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restricted marketable securities is included within other non-current assets in the consolidated balance sheets.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Level 1 assets include cash held with banks, certificates of deposit, and money market funds.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Level 2 assets include the SERP (Supplemental Executive Retirement Plan) assets, commercial paper and investment grade corporate and government debt securities and other fixed income securities. Level 2 securities are valued using third-party pricing sources that apply applicable inputs and other relevant data in their models to estimate fair value.</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carrying value, face value and estimated fair value of the 2023 Notes were approximately $321.9 million, $402.5 million and $491.0 million, respectively, as of June 30, 2018. The fair value was estimated based on actual trade information as well as quoted prices provided by bond traders, which would be characterized within Level 2 of the fair value hierarchy.</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marketable securities held by the Company were as follows, in thousands of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2018 (unaudited):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Corporate and government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647,253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Corporate and government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174,235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 for sale marketable securities held by the Company were as follows, in thousands of dollars:</w:t>
      </w:r>
    </w:p>
    <w:p>
      <w:pPr>
        <w:sectPr>
          <w:pgSz w:w="11900" w:h="16857"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-121920</wp:posOffset>
            </wp:positionV>
            <wp:extent cx="33274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137160"/>
                    </a:xfrm>
                    <a:prstGeom prst="rect">
                      <a:avLst/>
                    </a:prstGeom>
                    <a:noFill/>
                  </pic:spPr>
                </pic:pic>
              </a:graphicData>
            </a:graphic>
          </wp:anchor>
        </w:drawing>
      </w:r>
    </w:p>
    <w:p>
      <w:pPr>
        <w:spacing w:after="0" w:line="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 year to 2 years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 year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-130810</wp:posOffset>
            </wp:positionV>
            <wp:extent cx="332740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13716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3 years to 4 years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Greater Than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-108585</wp:posOffset>
            </wp:positionV>
            <wp:extent cx="33274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137160"/>
                    </a:xfrm>
                    <a:prstGeom prst="rect">
                      <a:avLst/>
                    </a:prstGeom>
                    <a:noFill/>
                  </pic:spPr>
                </pic:pic>
              </a:graphicData>
            </a:graphic>
          </wp:anchor>
        </w:drawing>
      </w:r>
    </w:p>
    <w:p>
      <w:pPr>
        <w:spacing w:after="0" w:line="2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676"/>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3676"/>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489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ind w:left="304"/>
        <w:spacing w:after="0" w:line="235" w:lineRule="auto"/>
        <w:rPr>
          <w:sz w:val="20"/>
          <w:szCs w:val="20"/>
          <w:color w:val="auto"/>
        </w:rPr>
      </w:pPr>
      <w:r>
        <w:rPr>
          <w:rFonts w:ascii="Arial" w:cs="Arial" w:eastAsia="Arial" w:hAnsi="Arial"/>
          <w:sz w:val="14"/>
          <w:szCs w:val="14"/>
          <w:b w:val="1"/>
          <w:bCs w:val="1"/>
          <w:color w:val="auto"/>
        </w:rPr>
        <w:t>(unaudited)</w:t>
      </w:r>
    </w:p>
    <w:p>
      <w:pPr>
        <w:ind w:left="744" w:hanging="744"/>
        <w:spacing w:after="0"/>
        <w:tabs>
          <w:tab w:leader="none" w:pos="744" w:val="left"/>
        </w:tabs>
        <w:numPr>
          <w:ilvl w:val="0"/>
          <w:numId w:val="7"/>
        </w:numPr>
        <w:rPr>
          <w:rFonts w:ascii="Arial" w:cs="Arial" w:eastAsia="Arial" w:hAnsi="Arial"/>
          <w:sz w:val="16"/>
          <w:szCs w:val="16"/>
          <w:color w:val="auto"/>
        </w:rPr>
      </w:pPr>
      <w:r>
        <w:rPr>
          <w:rFonts w:ascii="Arial" w:cs="Arial" w:eastAsia="Arial" w:hAnsi="Arial"/>
          <w:sz w:val="16"/>
          <w:szCs w:val="16"/>
          <w:color w:val="auto"/>
        </w:rPr>
        <w:t>139,208</w:t>
      </w:r>
    </w:p>
    <w:p>
      <w:pPr>
        <w:spacing w:after="0" w:line="30"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165,451</w:t>
      </w:r>
    </w:p>
    <w:p>
      <w:pPr>
        <w:spacing w:after="0" w:line="32"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169,167</w:t>
      </w:r>
    </w:p>
    <w:p>
      <w:pPr>
        <w:spacing w:after="0" w:line="32"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168,694</w:t>
      </w:r>
    </w:p>
    <w:p>
      <w:pPr>
        <w:spacing w:after="0" w:line="32" w:lineRule="exact"/>
        <w:rPr>
          <w:rFonts w:ascii="Arial" w:cs="Arial" w:eastAsia="Arial" w:hAnsi="Arial"/>
          <w:sz w:val="16"/>
          <w:szCs w:val="16"/>
          <w:color w:val="auto"/>
        </w:rPr>
      </w:pPr>
    </w:p>
    <w:p>
      <w:pPr>
        <w:ind w:left="11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ind w:left="744" w:hanging="744"/>
        <w:spacing w:after="0"/>
        <w:tabs>
          <w:tab w:leader="none" w:pos="744" w:val="left"/>
        </w:tabs>
        <w:numPr>
          <w:ilvl w:val="0"/>
          <w:numId w:val="8"/>
        </w:numPr>
        <w:rPr>
          <w:rFonts w:ascii="Arial" w:cs="Arial" w:eastAsia="Arial" w:hAnsi="Arial"/>
          <w:sz w:val="16"/>
          <w:szCs w:val="16"/>
          <w:color w:val="auto"/>
        </w:rPr>
      </w:pPr>
      <w:r>
        <w:rPr>
          <w:rFonts w:ascii="Arial" w:cs="Arial" w:eastAsia="Arial" w:hAnsi="Arial"/>
          <w:sz w:val="16"/>
          <w:szCs w:val="16"/>
          <w:color w:val="auto"/>
        </w:rPr>
        <w:t>642,520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89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489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8489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22" w:lineRule="exact"/>
        <w:rPr>
          <w:sz w:val="20"/>
          <w:szCs w:val="20"/>
          <w:color w:val="auto"/>
        </w:rPr>
      </w:pPr>
    </w:p>
    <w:p>
      <w:pPr>
        <w:sectPr>
          <w:pgSz w:w="11900" w:h="16857" w:orient="portrait"/>
          <w:cols w:equalWidth="0" w:num="2">
            <w:col w:w="5676" w:space="720"/>
            <w:col w:w="5024"/>
          </w:cols>
          <w:pgMar w:left="240" w:top="140" w:right="239" w:bottom="0" w:gutter="0" w:footer="0" w:header="0"/>
          <w:type w:val="continuous"/>
        </w:sectPr>
      </w:pPr>
    </w:p>
    <w:p>
      <w:pPr>
        <w:spacing w:after="0" w:line="6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has not experienced any other-than-temporary losses on its marketable securities and restricted marketable securities. The cost of securities sold is calculated using the specific identification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in thousands of dollars: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99"/>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6,142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57" w:orient="portrait"/>
          <w:cols w:equalWidth="0" w:num="1">
            <w:col w:w="11420"/>
          </w:cols>
          <w:pgMar w:left="240" w:top="140"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20,680</w:t>
            </w:r>
          </w:p>
        </w:tc>
        <w:tc>
          <w:tcPr>
            <w:tcW w:w="240" w:type="dxa"/>
            <w:vAlign w:val="bottom"/>
          </w:tcPr>
          <w:p>
            <w:pPr>
              <w:spacing w:after="0"/>
              <w:rPr>
                <w:sz w:val="20"/>
                <w:szCs w:val="20"/>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jc w:val="right"/>
              <w:ind w:right="63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5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3"/>
          </w:tcPr>
          <w:p>
            <w:pPr>
              <w:ind w:left="660"/>
              <w:spacing w:after="0"/>
              <w:rPr>
                <w:sz w:val="20"/>
                <w:szCs w:val="20"/>
                <w:color w:val="auto"/>
              </w:rPr>
            </w:pPr>
            <w:r>
              <w:rPr>
                <w:rFonts w:ascii="Arial" w:cs="Arial" w:eastAsia="Arial" w:hAnsi="Arial"/>
                <w:sz w:val="18"/>
                <w:szCs w:val="18"/>
                <w:color w:val="auto"/>
              </w:rPr>
              <w:t>Property and equipment consist of the following, in thousands of dollars: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5"/>
          </w:tcPr>
          <w:p>
            <w:pPr>
              <w:jc w:val="center"/>
              <w:ind w:right="2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8,331</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Computer equipment</w:t>
            </w:r>
          </w:p>
        </w:tc>
        <w:tc>
          <w:tcPr>
            <w:tcW w:w="20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15,144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(9,346)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4,897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-2505710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-2505710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Depreciation and amortization expense on property and equipment was approximately $500,000 and $900,000 for the three and six months ended June 30, 2018, and approximately $300,000 and $600,000 for the three and six months ended June 30,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indicators of impairment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consist of patent defense costs, which are legal fees incurred in conjunction with defending patents for Oxtellar XR and Trokendi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gross carrying amount and related accumulated amortization of the intangible assets, in thousands of dollars: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0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Average Life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9"/>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4.5 -8.75 years</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(8,166)</w:t>
            </w:r>
          </w:p>
        </w:tc>
      </w:tr>
      <w:tr>
        <w:trPr>
          <w:trHeight w:val="210"/>
        </w:trPr>
        <w:tc>
          <w:tcPr>
            <w:tcW w:w="50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In March 2017, the Company entered into two settlements with various companies related to Trokendi XR patent litigation. The remaining unamortized aggregate capitalized patent defense costs for Trokendi XR have subsequently been amortized over the remaining useful life of the patents at issue, or January 1, 2023, which is the date the Company is obligated under the settlements to grant a non-exclusive license to the patents at issue.</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Amortization expense on intangible assets was approximately $1.3 million and $2.6 million for the three and six months ended June 30, 2018, and approximately $1.0 million and $1.4 million for the three and six months ended June 30,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indicators of impairment identified.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are comprised of the following, in thousands of dollars: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5"/>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clinical supply costs</w:t>
            </w: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12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Accrued compensation</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10,279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costs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Pr>
          <w:p>
            <w:pPr>
              <w:spacing w:after="0"/>
              <w:rPr>
                <w:sz w:val="18"/>
                <w:szCs w:val="18"/>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On March 14, 2018, the Company entered into a Purchase Agreement (the Purchase Agreement) with Jefferies LLC, J.P. Morgan Securities LLC and Cowen and Company, LLC, as the initial purchasers (collectively, the Initial Purchasers), in connection with the offering and sale of $350 million aggregate principal amount of 2023 Notes. The Company also granted the Initial Purchasers an over-allotment option to purchase, within a 30-day period, up to an</w:t>
      </w:r>
    </w:p>
    <w:p>
      <w:pPr>
        <w:sectPr>
          <w:pgSz w:w="11900" w:h="16838" w:orient="portrait"/>
          <w:cols w:equalWidth="0" w:num="1">
            <w:col w:w="11460"/>
          </w:cols>
          <w:pgMar w:left="240" w:top="125" w:right="199" w:bottom="0" w:gutter="0" w:footer="0" w:header="0"/>
        </w:sectPr>
      </w:pPr>
    </w:p>
    <w:bookmarkStart w:id="12" w:name="page13"/>
    <w:bookmarkEnd w:id="12"/>
    <w:p>
      <w:pPr>
        <w:spacing w:after="0" w:line="2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additional $52.5 million principal amount of additional 2023 Notes on the same terms and conditions, which the Initial Purchasers exercised in full on March 15, 2018.</w:t>
      </w:r>
    </w:p>
    <w:p>
      <w:pPr>
        <w:spacing w:after="0" w:line="1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19, 2018, the sale of the 2023 Notes was settled and the 2023 Notes were issued pursuant to an Indenture, dated as of March 19, 2018 (the Indenture), between the Company and Wilmington Trust, National Association, as trustee. The Indenture includes customary terms and covenants, including certain events of default upon which the 2023 Notes may be due and payable immediately. The Indenture governing the 2023 Notes does not contain any financial or operating covenants or any restrictions on the payment of dividends, the issuance of other indebtedness or the issuance or repurchase of securities by the Company.</w:t>
      </w:r>
    </w:p>
    <w:p>
      <w:pPr>
        <w:spacing w:after="0" w:line="18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will pay interest on the 2023 Notes at an annual rate of 0.625%, payable semi-annually in arrears on April 1 and October 1 of each year, beginning on October 1, 2018. The 2023 Notes will mature on April 1, 2023, unless earlier converted or repurchased by the Company.</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Noteholders may convert their 2023 Notes at their option only in the following circumstances: (1) during any calendar quarter commencing after the calendar quarter ending on June 30, 2018, if the last reported sale price per share of the Company’s common stock for each of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 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w:t>
      </w:r>
    </w:p>
    <w:p>
      <w:pPr>
        <w:spacing w:after="0" w:line="16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not redeem the 2023 Notes at its option before maturity.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the event of conversion, holders would forgo all future interest payments, any unpaid accrued interest and the possibility of further stock price appreciation. Upon the receipt of conversion requests, the settlement of the 2023 Notes will be paid pursuant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terms of the Indenture. In the event that all of the 2023 Notes are converted, the Company would be required to repay the $402.5 million in principal value and any conversion premium in cash, shares or any combination of cash and shares of its common stock (at the Company’s option).</w:t>
      </w:r>
    </w:p>
    <w:p>
      <w:pPr>
        <w:spacing w:after="0" w:line="14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2023 Notes are the Company’s senior, unsecured obligations and will be equal in right of payment with the Company’s future senior, unsecured indebtedness, senior in right of payment to the Company’s future indebtedness that is expressly subordinated to the 2023 Notes and effectively subordinated to the Company’s future secured indebtedness, to the extent of the value of the collateral securing that indebtedness. The 2023 Notes will be structurally subordinated to all future indebtedness and other liabilities, including trade payables.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Hedge and Warrant Transactions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connection with the pricing of the 2023 Notes on March 14, 2018, and in connection with the exercise of the over-allotment option by the Initial Purchasers on March 15, 2018, the Company entered into separate privately negotiated convertible note hedge transactions (collectively, the Convertible Note Hedge Transactions) with each of the call spread counterparties. The Convertible Note Hedge Transactions cover, subject to customary anti-dilution adjustments substantially similar to those applicable to the 2023 Notes, the number of shares of the Company’s common stock underlying the 2023 Notes, as described above. The Company issued 402,500 convertible note hedge options, including options purchased on the exercise of the overallotment option. In the event that shares or cash are deliverable to holders of the 2023 Notes upon conversion at limits defined in the Indenture, counterparties to the convertible note hedges will be required to deliver up to approximately 6.8 million shares of the Company’s common stock or pay cash to the Company in a similar amount as the value that the Company delivers to the holders of the 2023 Notes based on a conversion price of $59.33 per share. The total cost of the convertible note hedge transactions was $92.9 million.</w:t>
      </w:r>
    </w:p>
    <w:p>
      <w:pPr>
        <w:spacing w:after="0" w:line="18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Concurrently with entering into the Convertible Note Hedge Transactions on each such date, the Company also entered into separate privately negotiated warrant transactions (collectively, the Warrant Transactions) with each of the call spread counterparties whereby the Company sold to the call spread counterparties warrants to purchase, subject to customary anti-dilution adjustments, up to the same number of shares of the Company’s common stock.</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Convertible Note Hedge Transactions and the Warrant Transactions are separate contracts entered into by the Company with the Call Spread Counterparties, are not part of the terms of the 2023 Notes and will not affect the noteholders’ rights under the 2023 Notes. Holders of the 2023 Notes will not have any rights with respect to the Convertible Note Hedge Transactions or the Warrant Transactions. The Company issued a total of 6,783,939 warrants. The warrants entitle the holder to one share per warrant at the strike price through 2023. The strike price of the Warrant Transactions will initially be $80.9063 per share of the Company’s common stock (subject to adjustment). The Company received proceeds of approximately $65.7 million from the sale of these warrants.</w:t>
      </w:r>
    </w:p>
    <w:p>
      <w:pPr>
        <w:spacing w:after="0" w:line="19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Convertible Note Hedge Transactions are expected to reduce generally the potential dilution with respect to the Company’s common stock upon conversion of the 2023 Notes and/or offset any potential cash payments the Company is required to make in excess of the principal amount of converted 2023 Notes, as the case may be, upon any conversion of the 2023 Notes.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 As these transactions meet certain accounting criteria under ASC 815-40-25, the convertible note hedges and warrants are</w:t>
      </w:r>
    </w:p>
    <w:p>
      <w:pPr>
        <w:sectPr>
          <w:pgSz w:w="11900" w:h="16867" w:orient="portrait"/>
          <w:cols w:equalWidth="0" w:num="1">
            <w:col w:w="11420"/>
          </w:cols>
          <w:pgMar w:left="240" w:top="125" w:right="239" w:bottom="0" w:gutter="0" w:footer="0" w:header="0"/>
        </w:sectPr>
      </w:pPr>
    </w:p>
    <w:bookmarkStart w:id="13" w:name="page14"/>
    <w:bookmarkEnd w:id="13"/>
    <w:p>
      <w:pPr>
        <w:ind w:right="200"/>
        <w:spacing w:after="0" w:line="308" w:lineRule="auto"/>
        <w:rPr>
          <w:sz w:val="20"/>
          <w:szCs w:val="20"/>
          <w:color w:val="auto"/>
        </w:rPr>
      </w:pPr>
      <w:r>
        <w:rPr>
          <w:rFonts w:ascii="Arial" w:cs="Arial" w:eastAsia="Arial" w:hAnsi="Arial"/>
          <w:sz w:val="17"/>
          <w:szCs w:val="17"/>
          <w:color w:val="auto"/>
        </w:rPr>
        <w:t>recorded in stockholders’ equity and are not accounted for as derivatives. The net cost incurred in connection with the convertible note hedges and warrant transactions was recorded as a reduction to additional paid-in capital in the consolidated balance sheet as of June 30,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accounting guidance on embedded conversion features, the Company valued and bifurcated the conversion option associated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the 2023 Notes from the respective host debt instrument, which is referred to as debt discount, and initially recorded the conversion option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$76.4 million in additional paid-in capital on the consolidated balance sheet. The resulting debt discount on the 2023 Notes is being amortized to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at an effective interest rate of 5.41% over the contractual term of the 2023 Notes.</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incurred approximately $10.4 million of debt financing costs. Approximately $2.0 million of this amount is allocated to the additional paid-in capital and the remaining $8.4 million is recorded as deferred costs and is being amortized to interest expense over the contractual term of the 2023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consisted of the following, in thousands of dollars, unaudited: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8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the 2023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(76,434)</w:t>
            </w: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(8,453)</w:t>
            </w:r>
          </w:p>
        </w:tc>
      </w:tr>
      <w:tr>
        <w:trPr>
          <w:trHeight w:val="216"/>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tcPr>
          <w:p>
            <w:pPr>
              <w:spacing w:after="0"/>
              <w:rPr>
                <w:sz w:val="18"/>
                <w:szCs w:val="18"/>
                <w:color w:val="auto"/>
              </w:rPr>
            </w:pPr>
          </w:p>
        </w:tc>
      </w:tr>
      <w:tr>
        <w:trPr>
          <w:trHeight w:val="210"/>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 carrying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2023 Notes were converted in the six months ended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Summary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summary table provides details related to the activity in certain captions within Stockholders’ Equity for the six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in thousands of dollars: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 Earnings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(Accumulated Deficit)</w:t>
            </w: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294,999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Cumulative-effect of adoption of ASC 606</w:t>
            </w:r>
          </w:p>
        </w:tc>
        <w:tc>
          <w:tcPr>
            <w:tcW w:w="1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ESPP shares</w:t>
            </w:r>
          </w:p>
        </w:tc>
        <w:tc>
          <w:tcPr>
            <w:tcW w:w="1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component of convertible notes issuance, net of tax</w:t>
            </w:r>
          </w:p>
        </w:tc>
        <w:tc>
          <w:tcPr>
            <w:tcW w:w="1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Purchases of convertible note hedges, net of tax</w:t>
            </w:r>
          </w:p>
        </w:tc>
        <w:tc>
          <w:tcPr>
            <w:tcW w:w="1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(70,137)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w:t>
            </w:r>
          </w:p>
        </w:tc>
        <w:tc>
          <w:tcPr>
            <w:tcW w:w="1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118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The Company has adopted the Supernus Pharmaceuticals, Inc. 2012 Equity Incentive Plan, as amended (the 2012 Plan), which is stockholder approved, and provides for the grant of stock options and certain other awards, including stock appreciation rights (SAR),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and provides for the issuance of up to 8,000,000 shares of the Company’s common stock. Option awards are granted with an exercise price equal to the estimated fair value of the Company’s common stock at the grant date. Option awards granted to employees, consultants and advisors generally vest in four equivalent annual installments, starting on the first anniversary of the date of the grant and have ten-year contractual terms. Option awards granted to the directors generally vest over a one year term and have ten year contractual terms.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Share-based compensation recognized related to the grant of employee and non-employee stock options, SAR, Employee Stock Purchase Plan (ESPP) awards and non-vested stock was as follows, in thousands of dollars: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6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3"/>
          </w:tcPr>
          <w:p>
            <w:pPr>
              <w:jc w:val="right"/>
              <w:ind w:right="596"/>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2,534</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1,862</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4,751</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r>
      <w:tr>
        <w:trPr>
          <w:trHeight w:val="21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60"/>
          </w:cols>
          <w:pgMar w:left="240" w:top="125" w:right="29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stock option and SAR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 (in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4,280,670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Granted (unaudited)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734,465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39.84</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 (unaudited)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Forfeited (unaudited)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(168,816)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24.26</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2018 (unaudited)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4,016,801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19.65</w:t>
            </w:r>
          </w:p>
        </w:tc>
        <w:tc>
          <w:tcPr>
            <w:tcW w:w="13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Vested and expected to vest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4,280,670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14.50</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Exercisable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1,952,769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2018:</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Vested and expected to vest (unaudited)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4,016,801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19.65</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Exercisable (unaudited)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1,947,495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Basic earnings per common share is determined by dividing earnings attributable to common stockholders by the weighted-average number of common shares outstanding during the period, without consideration of common stock equivalents. Diluted earnings per share is computed by dividing the earnings attributable to common stockholders by the weighted-average number of common share equivalents outstanding for the period. The treasury stock method is used to determine the dilutive effect of the Company’s stock option grants, SAR, warrants, ESPP awards, and the 2023 Notes.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following common stock equivalents were excluded in the calculation of diluted earnings per share because their inclusion would be anti-dilutive as applied to the earnings from continuing operations applicable to common stockholders for the three and six months ended June 30, 2018 and 2017:</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300" w:type="dxa"/>
            <w:vAlign w:val="bottom"/>
            <w:gridSpan w:val="3"/>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1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00" w:type="dxa"/>
            <w:vAlign w:val="bottom"/>
          </w:tcPr>
          <w:p>
            <w:pPr>
              <w:spacing w:after="0"/>
              <w:rPr>
                <w:sz w:val="12"/>
                <w:szCs w:val="12"/>
                <w:color w:val="auto"/>
              </w:rPr>
            </w:pPr>
          </w:p>
        </w:tc>
        <w:tc>
          <w:tcPr>
            <w:tcW w:w="2020" w:type="dxa"/>
            <w:vAlign w:val="bottom"/>
            <w:tcBorders>
              <w:top w:val="single" w:sz="8" w:color="auto"/>
              <w:bottom w:val="single" w:sz="8" w:color="auto"/>
            </w:tcBorders>
          </w:tcPr>
          <w:p>
            <w:pPr>
              <w:jc w:val="right"/>
              <w:ind w:right="1118"/>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020" w:type="dxa"/>
            <w:vAlign w:val="bottom"/>
            <w:tcBorders>
              <w:top w:val="single" w:sz="8" w:color="auto"/>
              <w:bottom w:val="single" w:sz="8" w:color="auto"/>
            </w:tcBorders>
          </w:tcPr>
          <w:p>
            <w:pPr>
              <w:jc w:val="right"/>
              <w:ind w:right="1118"/>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20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4,362,485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2,816,135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Convertible notes</w:t>
            </w:r>
          </w:p>
        </w:tc>
        <w:tc>
          <w:tcPr>
            <w:tcW w:w="2020" w:type="dxa"/>
            <w:vAlign w:val="bottom"/>
          </w:tcPr>
          <w:p>
            <w:pPr>
              <w:jc w:val="right"/>
              <w:ind w:right="578"/>
              <w:spacing w:after="0"/>
              <w:rPr>
                <w:sz w:val="20"/>
                <w:szCs w:val="20"/>
                <w:color w:val="auto"/>
              </w:rPr>
            </w:pPr>
            <w:r>
              <w:rPr>
                <w:rFonts w:ascii="Arial" w:cs="Arial" w:eastAsia="Arial" w:hAnsi="Arial"/>
                <w:sz w:val="18"/>
                <w:szCs w:val="18"/>
                <w:color w:val="auto"/>
              </w:rPr>
              <w:t>66,961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578"/>
              <w:spacing w:after="0"/>
              <w:rPr>
                <w:sz w:val="20"/>
                <w:szCs w:val="20"/>
                <w:color w:val="auto"/>
              </w:rPr>
            </w:pPr>
            <w:r>
              <w:rPr>
                <w:rFonts w:ascii="Arial" w:cs="Arial" w:eastAsia="Arial" w:hAnsi="Arial"/>
                <w:sz w:val="18"/>
                <w:szCs w:val="18"/>
                <w:color w:val="auto"/>
              </w:rPr>
              <w:t>61,104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hedges</w:t>
            </w:r>
          </w:p>
        </w:tc>
        <w:tc>
          <w:tcPr>
            <w:tcW w:w="20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67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61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Stock options, stock appreciation rights, and ESPP</w:t>
            </w:r>
          </w:p>
        </w:tc>
        <w:tc>
          <w:tcPr>
            <w:tcW w:w="2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awards</w:t>
            </w:r>
          </w:p>
        </w:tc>
        <w:tc>
          <w:tcPr>
            <w:tcW w:w="2020" w:type="dxa"/>
            <w:vAlign w:val="bottom"/>
          </w:tcPr>
          <w:p>
            <w:pPr>
              <w:jc w:val="right"/>
              <w:ind w:right="578"/>
              <w:spacing w:after="0"/>
              <w:rPr>
                <w:sz w:val="20"/>
                <w:szCs w:val="20"/>
                <w:color w:val="auto"/>
              </w:rPr>
            </w:pPr>
            <w:r>
              <w:rPr>
                <w:rFonts w:ascii="Arial" w:cs="Arial" w:eastAsia="Arial" w:hAnsi="Arial"/>
                <w:sz w:val="18"/>
                <w:szCs w:val="18"/>
                <w:color w:val="auto"/>
              </w:rPr>
              <w:t>137,565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122,666</w:t>
            </w:r>
          </w:p>
        </w:tc>
        <w:tc>
          <w:tcPr>
            <w:tcW w:w="2020" w:type="dxa"/>
            <w:vAlign w:val="bottom"/>
          </w:tcPr>
          <w:p>
            <w:pPr>
              <w:jc w:val="right"/>
              <w:ind w:right="578"/>
              <w:spacing w:after="0"/>
              <w:rPr>
                <w:sz w:val="20"/>
                <w:szCs w:val="20"/>
                <w:color w:val="auto"/>
              </w:rPr>
            </w:pPr>
            <w:r>
              <w:rPr>
                <w:rFonts w:ascii="Arial" w:cs="Arial" w:eastAsia="Arial" w:hAnsi="Arial"/>
                <w:sz w:val="18"/>
                <w:szCs w:val="18"/>
                <w:color w:val="auto"/>
              </w:rPr>
              <w:t>184,760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206,448</w:t>
            </w:r>
          </w:p>
        </w:tc>
      </w:tr>
    </w:tbl>
    <w:p>
      <w:pPr>
        <w:spacing w:after="0" w:line="202" w:lineRule="exact"/>
        <w:rPr>
          <w:sz w:val="20"/>
          <w:szCs w:val="20"/>
          <w:color w:val="auto"/>
        </w:rPr>
      </w:pPr>
    </w:p>
    <w:p>
      <w:pPr>
        <w:jc w:val="both"/>
        <w:ind w:right="46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three and six months ended June 30, 2018 and 2017, in thousands of dollars,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Net earnings used for calculation of basic EPS</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30,737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17,368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57,089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Interest expense on convertible debt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Loss on extinguishment of outstanding debt, as if converted</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adjustments</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used for calculation of diluted EPS</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51,919,894</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50,530,968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51,729,243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50,345,830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underlying Convertible Senior Notes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421,708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9"/>
              </w:rPr>
              <w:t>Shares issuable to settle interest make-whole derivatives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and stock appreciation rights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2,283,414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2,292,698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dilutive potential common shares</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2,283,414</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2,692,746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2,292,698</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2,680,493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54,203,308</w:t>
            </w:r>
          </w:p>
        </w:tc>
        <w:tc>
          <w:tcPr>
            <w:tcW w:w="3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53,223,714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54,021,941</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53,026,323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basic</w:t>
            </w:r>
          </w:p>
        </w:tc>
        <w:tc>
          <w:tcPr>
            <w:tcW w:w="5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earnings per share, diluted</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0.57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ectPr>
          <w:pgSz w:w="11900" w:h="16838" w:orient="portrait"/>
          <w:cols w:equalWidth="0" w:num="1">
            <w:col w:w="11420"/>
          </w:cols>
          <w:pgMar w:left="240" w:top="341" w:right="239" w:bottom="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The following table provides a comparative summary of the Company’s income tax expense and effective tax rate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in thousands of dollars: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500" w:type="dxa"/>
            <w:vAlign w:val="bottom"/>
            <w:gridSpan w:val="3"/>
          </w:tcPr>
          <w:p>
            <w:pPr>
              <w:jc w:val="center"/>
              <w:ind w:left="407"/>
              <w:spacing w:after="0"/>
              <w:rPr>
                <w:sz w:val="20"/>
                <w:szCs w:val="20"/>
                <w:color w:val="auto"/>
              </w:rPr>
            </w:pPr>
            <w:r>
              <w:rPr>
                <w:rFonts w:ascii="Arial" w:cs="Arial" w:eastAsia="Arial" w:hAnsi="Arial"/>
                <w:sz w:val="14"/>
                <w:szCs w:val="14"/>
                <w:b w:val="1"/>
                <w:bCs w:val="1"/>
                <w:color w:val="auto"/>
                <w:w w:val="92"/>
              </w:rPr>
              <w:t>Three Months ended June 30,</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34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61"/>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2"/>
          </w:tcPr>
          <w:p>
            <w:pPr>
              <w:jc w:val="center"/>
              <w:ind w:right="339"/>
              <w:spacing w:after="0" w:line="142" w:lineRule="exact"/>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left="601"/>
              <w:spacing w:after="0" w:line="142" w:lineRule="exact"/>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3,119</w:t>
            </w:r>
          </w:p>
        </w:tc>
        <w:tc>
          <w:tcPr>
            <w:tcW w:w="94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7,949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14,983</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9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r>
    </w:tbl>
    <w:p>
      <w:pPr>
        <w:spacing w:after="0" w:line="18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income tax expense for the three and six months ended June 30, 2018, is attributable to U.S. federal and state income taxes. The decrease in the income tax expense and the effective tax rate for the three and six months ended June 30, 2018 as compared to the same periods in the prior year is primarily attributable to the reduction of the U.S. corporate income tax rate, from 35% to 21%, as a result of the Tax Cuts and Jobs Act passed on December 22, 2017.</w:t>
      </w:r>
    </w:p>
    <w:p>
      <w:pPr>
        <w:spacing w:after="0" w:line="14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addition, for the three and six months ended June 30, 2018, the Company recorded income tax benefits of approximately $4.4 million and $6.4 million, respectively, as a result of the Company recognizing excess tax benefits related to the employee exercise of stock options. These tax benefits caused the effective tax rate to be significantly less than the Company’s statutory annual effective tax rate for the three and six months ended June 30, 2018.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 has concurrent leases for its current headquarters office and lab space that extend through April 2020. The Company may elect to extend the term of the leases for an additional five-year term. The leases provide for a tenant improvement allowance of approximately $2.1 million in aggregate. During the three and six months ended June 30, 2018, none of the allowance was utilized. During the three and six months ended June 30, 2017, approximately $49,000 and $79,000 of the allowance, respectively, was utilized. These amounts were included in fixed assets and deferred rent. As of June 30, 2018, approximately $400,000 is available for tenant improvements.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entered into a new lease agreement, effective February 27, 2018, with Rockside-700 LLC, for its new headquarters. The term of the new lease commences upon the Company’s substantial completion of the initial buildout of the premises, but in no event later than July 10, 2019, and shall continue until April 30, 2033, unless earlier terminated in accordance with the terms of the new lease (the Lease Term). Under the new lease, the Company has the option to extend the Lease Term for two additional five-year periods. The new lease provides for a tenant improvement allowance of approximately $8.9 million in aggregate. The Company has the right to terminate the lease if, by September 30, 2018, the landlord fails to obtain certain site approval pre-requisites per the lease agreement. As of June 30, 2018, none of the tenant improvement allowance has been received and the full amount of the allowance is available for tenant improvements.</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Rent expense for the leased facilities and leased vehicles was approximately $898,000 and $1.8 million for the three and six months ended June 30, 2018 and approximately $500,000 and $1.2 million for the three and six months ended June 30,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operating leases as of June 30, 2018 are as follows, in thousands of dollars, unaudited:</w:t>
      </w:r>
    </w:p>
    <w:p>
      <w:pPr>
        <w:spacing w:after="0" w:line="263"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2018 (remaining)</w:t>
            </w: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The Company may pay up to $300,000 upon the achievement of certain milestones, none of which was owed as of June 30, 2018. The Company is obligated to pay royalties to Afecta as a low single digit percentage of worldwide net product sales.</w:t>
      </w:r>
    </w:p>
    <w:p>
      <w:pPr>
        <w:spacing w:after="0" w:line="15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the Company is obligated to pay royalties to Rune as a low single digit percentage of worldwide net product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agreement with United Therapeutics Corporation related to the commercialization of Orenitram (treprostinil) Extended-Release Tablets. The Company will retain full ownership of the royalty rights if and when a certain cumulative payment threshold is reached per the terms of the agreement. The Company has recorded a non-recourse liability related to this transaction and has begun to amortize this amount to recognize non-cash royalty revenue. Revenue recognition is based on estimated net product sales by United Therapeutics that result in payments made from United Therapeutics to HC Royalty in connection with these agreements. The Company also recognized non-cash interest expense related to this liability that accrues at an effective interest rate. That rate is determined based on projections of HC Royalty’s rate of return.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154" w:gutter="0" w:footer="0" w:header="0"/>
        </w:sectPr>
      </w:pPr>
    </w:p>
    <w:bookmarkStart w:id="16" w:name="page17"/>
    <w:bookmarkEnd w:id="16"/>
    <w:p>
      <w:pPr>
        <w:spacing w:after="0" w:line="9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recognized non-cash royalty revenue of $1.5 million and $2.8 million for the three and six months ended June 30, 2018 and $1.2 million and $2.3 million for the three and six months ended June 30, 2017, respectively. The Company recognized non-cash interest expense of $1.2 million and $1.9 million for the three and six months ended June 30, 2018 and $0.2 million and $1.1 million for the three and six months ended June 30,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2017 and the related Management’s Discussion and Analysis of Financial Condition and Results of Operations, both of which are contained in our Annual Report on Form 10-K filed with the Securities and Exchange Commission on March 1, 2018.</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specialty pharmaceutical company focused on developing and commercializing products for the treatment of central nervous system (CNS)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Oxtellar XR and Trokendi XR are the first once-daily extended release oxcarbazepine and topiramate products, launched in 2013 for the treatment of epilepsy in the U.S. market. During 2017, we launched Trokendi XR for the additional indication of prophylaxis of migraine headache in adults and adolescents. These products differ from immediate release products by offering once-daily dosing and unique pharmacokinetic profiles which we believe can have positive clinical effects for many patients. We believe a once-daily dosing regimen improves adherence, making it more probable that patients maintain sufficient levels of medication in their bloodstream to protect against seizures and migraines. In addition, we believe that the unique smooth and steady pharmacokinetic profiles of our once-daily formulations reduce the peak to trough blood level fluctuations that are typically associated with immediate release products and which may result in increased adverse events (AEs), more side effects and decreased efficacy.</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we are developing multiple product candidates in psychiatry to address significant unmet medical needs and market opportunities. We are developing SPN-810 (molindone hydrochloride) initially to treat impulsive aggression (IA) in children and adolescents who have attention deficit hyperactivity disorder (ADHD). We plan to subsequently develop SPN-810 for the treatment of IA in other CNS diseases, such as autism, post traumatic stress disorder (PTSD), bipolar disorder, and some forms of dementia. There are currently no approved products in the U.S. indicated for the treatment of IA. We are developing SPN-812 (viloxazine hydrochloride) as a novel, non-stimulant candidate to treat patients who have ADHD.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17" w:lineRule="exact"/>
        <w:rPr>
          <w:sz w:val="20"/>
          <w:szCs w:val="20"/>
          <w:color w:val="auto"/>
        </w:rPr>
      </w:pPr>
    </w:p>
    <w:tbl>
      <w:tblPr>
        <w:tblLayout w:type="fixed"/>
        <w:tblInd w:w="310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Indication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210"/>
        </w:trPr>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Oxtellar XR</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Epilepsy</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In the market</w:t>
            </w:r>
          </w:p>
        </w:tc>
      </w:tr>
      <w:tr>
        <w:trPr>
          <w:trHeight w:val="216"/>
        </w:trPr>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Trokendi XR</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Epilepsy</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In the market</w:t>
            </w:r>
          </w:p>
        </w:tc>
      </w:tr>
      <w:tr>
        <w:trPr>
          <w:trHeight w:val="216"/>
        </w:trPr>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7"/>
              </w:rPr>
              <w:t>Migraine*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the market</w:t>
            </w:r>
          </w:p>
        </w:tc>
      </w:tr>
      <w:tr>
        <w:trPr>
          <w:trHeight w:val="216"/>
        </w:trPr>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SPN-810</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rPr>
              <w:t>IA**</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Phase III</w:t>
            </w:r>
          </w:p>
        </w:tc>
      </w:tr>
      <w:tr>
        <w:trPr>
          <w:trHeight w:val="216"/>
        </w:trPr>
        <w:tc>
          <w:tcPr>
            <w:tcW w:w="1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SPN-812</w:t>
            </w:r>
          </w:p>
        </w:tc>
        <w:tc>
          <w:tcPr>
            <w:tcW w:w="19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ADHD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Phase III</w:t>
            </w:r>
          </w:p>
        </w:tc>
      </w:tr>
      <w:tr>
        <w:trPr>
          <w:trHeight w:val="230"/>
        </w:trPr>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SPN-809</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Depression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Phase II ready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225" w:lineRule="exact"/>
        <w:rPr>
          <w:sz w:val="20"/>
          <w:szCs w:val="20"/>
          <w:color w:val="auto"/>
        </w:rPr>
      </w:pPr>
    </w:p>
    <w:p>
      <w:pPr>
        <w:ind w:left="660" w:right="80" w:hanging="652"/>
        <w:spacing w:after="0" w:line="277"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program is for IA in patients with ADHD, with plans to add other indications, such as IA in patients with autism, PTSD, bipolar disorder, and some forms of dementia.</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continuing to expand our intellectual property portfolio to provide additional protection for our technologies, products, and product candidates. We currently have eight U.S. patents issued covering Oxtellar XR and nine U.S. patents issued covering Trokendi XR, with the patents expiring</w:t>
      </w:r>
    </w:p>
    <w:p>
      <w:pPr>
        <w:sectPr>
          <w:pgSz w:w="11900" w:h="16935" w:orient="portrait"/>
          <w:cols w:equalWidth="0" w:num="1">
            <w:col w:w="11400"/>
          </w:cols>
          <w:pgMar w:left="240" w:top="125"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 earlier than 2027 for each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Trokendi XR, the first once-daily extended release topiramate product indicated for patients with epilepsy in the U.S. market, is designed to improve patient adherence over the current immediate release products, which must be taken multiple times per day. In 2017, we launched Trokendi XR for prophylaxis of migraine headache in adults and adolescents.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Oxtellar XR is the only once-daily extended release oxcarbazepine product indicated for the treatment of patients with epilepsy in the U.S. as adjunctive therapy. In April 2018, the U.S. Food and Drug Administration (FDA) accepted for review our efficacy supplement requesting expansion of the current indication for Oxtellar XR to include monotherapy treatment of partial seizures of epilepsy for adults and for children 6 to 17 years of age. We expect a decision by the FDA on this supplement by year-end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We expect the number of prescriptions filled for Oxtellar XR and Trokendi XR to continue to increase through 2018 and in subsequent years. Data from IQVIA (formerly Intercontinental Marketing Services (IMS)) shows that 415,719 total prescriptions were filled for both of these drugs during the six months ended June 30, 2018, which is 42% higher than the 293,201 prescriptions reported for the same prior year period.</w:t>
      </w:r>
    </w:p>
    <w:p>
      <w:pPr>
        <w:spacing w:after="0" w:line="166"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Total prescriptions for Trokendi XR increased by 52,963 or 43% in the second quarter of 2018 over the second quarter of 2017. Total prescriptions for Oxtellar XR increased by 3,321 or 10% in the second quarter of 2018 over the second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in litigation against TWi Pharmaceuticals, Inc. alleging infringement of some of our Orange Book listed Oxtellar XR patents. In</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August 2017, we prevailed against TWi in the U.S. District Court for the District of New Jersey. TWi has appealed the decision to the U.S. Court of Appeals for the Federal Circuit. (See Part II, Item 1—Legal Proceedings for additional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developing SPN-810 as a novel treatment for IA in children and adolescents who have ADHD. SPN-810 has been granted fast-track designation by the FDA. One of our Phase III clinical trials (P301) is being conducted under a Special Protocol Assessment (SPA) with the FDA, using a novel measurement scale developed by us. We initiated two Phase III clinical trials in 2015 (P301 and P302) in children, using the same trial design and the same novel measurement scale except that under the SPA, an interim analysis was conducted in the first trial when one-half of the patients (146 patients) reached randomization. The purpose of the interim analysis was to assess the efficacy of the doses being tested and to allow for optimization of the trial design of both trials.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interim analysis was completed and both trials will continue through completion. The results of the interim analysis led to our discontinuing the 18 mg dose arm. Moving forward, all patients in each of the two trials are randomized to either the 36 mg dose arm or placebo until the predetermined total number of patients are enrolled in each of the two trials. We expect patient enrollment to continue through 2018. The Company anticipates data from the P301 trial will be available by the first quarter of 2019 and data from the P302 trial will be available in mid-2019. Patients completing the Phase III trials can continue treatment under our open label extension trial.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screening has been initiated in a Phase III trial for SPN-810 treating IA in adolescents who have ADHD.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SPN-812 is being developed as a novel non-stimulant treatment for ADHD. During 2016, we completed a Phase IIb dose ranging trial and announced positive topline results. We initiated four Phase III clinical trials for SPN-812 in September of 2017. The program consists of four three-arm, placebo-controlled trials: P301 and P302 trials in patients 6-11 years old, and P303 and P304 trials in adolescent patients. Patient enrollment is complete in in the P301 trial. Data from this trial is expected to be available in the fourth quarter of 2018. Additionally, we expect data from the remaining three trials to be available by the first quarter of 2019. Patients completing the Phase III trials can continue treatment under our open label extension trial.</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2018 through FDA approval or until the program terminates.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significant accounting policies and bases of presentation for our consolidated financial statements are described in Note 2 “Summary of Significant Accounting Policies.” The preparation of our consolidated financial statements in accordance with U.S. generally accepted accounting principles (GAAP) requires us to make estimates and assumptions that affect the reported amounts of assets, liabilities, revenues, and expenses and to disclose contingent assets and liabilities. Actual results could differ from those estimates.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ectPr>
          <w:pgSz w:w="11900" w:h="16838" w:orient="portrait"/>
          <w:cols w:equalWidth="0" w:num="1">
            <w:col w:w="11400"/>
          </w:cols>
          <w:pgMar w:left="240" w:top="125"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Revenue from product sales is recognized when control of our products is transferred to our customers, who are wholesalers and pharmaceutical distributors. Product sales are recorded net of various forms of variable consideration, including estimated rebates, chargebacks, allowances, discounts, patient co-pay assistance and other deductions as well as estimated product returns (collectively, “sales deductions”)</w:t>
      </w:r>
    </w:p>
    <w:p>
      <w:pPr>
        <w:spacing w:after="0" w:line="16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derive our estimated sales deductions from an analysis of historical levels of deductions specific to each product, as well as contractual terms with our customers, managed care providers and governmental entities. In addition, we also consider the impact of actual or anticipated changes in product price, sales trends and changes in managed care coverage and co-pay assistance programs. We adjust our estimates at the earlier of when the most likely amount of consideration we expect to receive changes or when the consideration becomes fixed. For a complete description of Trokendi XR and Oxtellar XR gross revenues and gross to net adjustments, see Part I, Item 1, Financial Statements, Note 2, Revenue from Product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Clinical Expenses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Research and development expenditures are expensed as incurred. Research and development costs primarily consist of employee-related expenses, including salaries and benefits; share-based compensation expense; expenses incurred under agreements with clinical research organizations (CROs), fees paid to investigators who are participating in our clinical trials, consultants and other vendors that conduct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Clinical trials are inherently complex and often involve multiple service providers. Because billing for services often lags by a substantial period of time, we often are required to estimate and accrue a significant portion of our clinical expenses. This process involves reviewing open contracts and communicating with our subject matter expert personnel and the appropriate service provider personnel to identify services that have been performed on our behalf but for which no invoice has been received. We accrue for the estimated but unbilled services performed and the associated cost incurred.</w:t>
      </w:r>
    </w:p>
    <w:p>
      <w:pPr>
        <w:spacing w:after="0" w:line="15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performance driven milestones. When accruing clinical expenses, we estimate the time period over which services will be performed during the life of the entire clinical program, the total cost of the program, and the level of effort to be expended in each intervening period. To the maximum extent possible, we work with each service provider to obtain an estimate for incurred but unbilled services as of the end of the calendar quarter, including estimates for payments to site investigators.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future periods. Historically, our estimated accrued clinical expenses have closely approximated actual expense incurred.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June 30, 2017</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(unaudited, in thousands)</w:t>
            </w: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080" w:type="dxa"/>
            <w:vAlign w:val="bottom"/>
            <w:gridSpan w:val="2"/>
          </w:tcPr>
          <w:p>
            <w:pPr>
              <w:jc w:val="right"/>
              <w:ind w:right="68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97,030</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73,328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23,702</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Licensing revenue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1,322</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99,538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75,829</w:t>
            </w: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20,038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10,823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9,215</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40,097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35,078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5,019</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63,818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49,762</w:t>
            </w:r>
          </w:p>
        </w:tc>
        <w:tc>
          <w:tcPr>
            <w:tcW w:w="3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26,067</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(4,324)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4,266</w:t>
            </w:r>
          </w:p>
        </w:tc>
      </w:tr>
      <w:tr>
        <w:trPr>
          <w:trHeight w:val="202"/>
        </w:trPr>
        <w:tc>
          <w:tcPr>
            <w:tcW w:w="4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Interest expense-nonrecourse liability related to sale of future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(1,204)</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2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3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33,856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26,425</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9,057</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(5,938)</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17,368</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9" w:name="page20"/>
    <w:bookmarkEnd w:id="19"/>
    <w:p>
      <w:pPr>
        <w:ind w:right="2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Product Sales. </w:t>
      </w:r>
      <w:r>
        <w:rPr>
          <w:rFonts w:ascii="Arial" w:cs="Arial" w:eastAsia="Arial" w:hAnsi="Arial"/>
          <w:sz w:val="18"/>
          <w:szCs w:val="18"/>
          <w:color w:val="auto"/>
        </w:rPr>
        <w:t>The increase in net product sales from 2017 to 2018 is primarily driven by increased prescription volume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 of the migraine indication for Trokendi XR in April 2017. Price increases in 2017 and 2018 also contributed to the increase in net product sales. Net product sales are based on gross revenue from shipments to wholesalers and distributors, less estimates for discounts, rebates, allowances, returns and other sales deductions.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0"/>
              </w:rPr>
              <w:t>Net Product Sales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 in Net Product</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80" w:type="dxa"/>
            <w:vAlign w:val="bottom"/>
            <w:tcBorders>
              <w:bottom w:val="single" w:sz="8" w:color="auto"/>
            </w:tcBorders>
            <w:gridSpan w:val="4"/>
          </w:tcPr>
          <w:p>
            <w:pPr>
              <w:jc w:val="center"/>
              <w:ind w:left="439"/>
              <w:spacing w:after="0"/>
              <w:rPr>
                <w:sz w:val="20"/>
                <w:szCs w:val="20"/>
                <w:color w:val="auto"/>
              </w:rPr>
            </w:pPr>
            <w:r>
              <w:rPr>
                <w:rFonts w:ascii="Arial" w:cs="Arial" w:eastAsia="Arial" w:hAnsi="Arial"/>
                <w:sz w:val="14"/>
                <w:szCs w:val="14"/>
                <w:b w:val="1"/>
                <w:bCs w:val="1"/>
                <w:color w:val="auto"/>
                <w:w w:val="93"/>
              </w:rPr>
              <w:t>Three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Sales (%)</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3"/>
          </w:tcPr>
          <w:p>
            <w:pPr>
              <w:jc w:val="center"/>
              <w:ind w:right="242"/>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76,474</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55,989</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Oxtellar XR</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20,556</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17,339</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97,030</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73,328</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Royalty Revenue. </w:t>
      </w:r>
      <w:r>
        <w:rPr>
          <w:rFonts w:ascii="Arial" w:cs="Arial" w:eastAsia="Arial" w:hAnsi="Arial"/>
          <w:sz w:val="16"/>
          <w:szCs w:val="16"/>
          <w:color w:val="auto"/>
        </w:rPr>
        <w:t>Royalty revenue includes royalty from net product sales of Shire Plc’s (Shire) product, Mydayis, and non-cash royalty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Healthcare Royalty Partners III, L.P. (HC Royalty) agreement. Non-cash royalty revenue for the three months ended June 30, 2018 and 2017 was $1.5 million and $1.2 million, respectively. The increase is primarily due to increased non-cash royalty revenue as a result of increased sales of Orenitram.</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There was $750,000 in milestone revenue earned during the three months ended June 30, 2018. Total licensing revenue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2017 was $1.3 million. The decrease from prior year is primarily due to the adoption of the new revenue recognition standard, Accounting Standards Codification (ASC) 606, which resulted in accelerated amortization of previously deferred up-front license revenue. The impact of the adoption was recorded as an adjustment to the opening balance of retained earnings in 2018.</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three months ended June 30, 2018 was $3.7 million, a decrease of approximately $200,000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$3.9 million for the three months ended June 30, 2017. The quarter over quarter decrease is attributable primarily to manufacturing efficiencies, partially offset by higher unit volume.</w:t>
      </w:r>
    </w:p>
    <w:p>
      <w:pPr>
        <w:spacing w:after="0" w:line="18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b w:val="1"/>
          <w:bCs w:val="1"/>
          <w:i w:val="1"/>
          <w:iCs w:val="1"/>
          <w:color w:val="auto"/>
        </w:rPr>
        <w:t xml:space="preserve">Research and Development Expense. </w:t>
      </w:r>
      <w:r>
        <w:rPr>
          <w:rFonts w:ascii="Arial" w:cs="Arial" w:eastAsia="Arial" w:hAnsi="Arial"/>
          <w:sz w:val="16"/>
          <w:szCs w:val="16"/>
          <w:color w:val="auto"/>
        </w:rPr>
        <w:t>Research and development (R&amp;D) expenses during the three months ended June 30, 2018 were $20.0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to $10.8 million for the three months ended June 30, 2017, an increase of $9.2 million. This increase is primarily due to the initiation of the four Phase III clinical trials for SPN-812, ongoing patient recruitment for the Phase III trials for SPN-810, and their related open label extension trials.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table below shows the comparison of selling and marketing and general and administrative expenses for the three months ended June 30, 2018 and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Selling, General and Administrative Expense</w:t>
      </w:r>
    </w:p>
    <w:p>
      <w:pPr>
        <w:jc w:val="center"/>
        <w:spacing w:after="0" w:line="236" w:lineRule="auto"/>
        <w:rPr>
          <w:sz w:val="20"/>
          <w:szCs w:val="20"/>
          <w:color w:val="auto"/>
        </w:rPr>
      </w:pPr>
      <w:r>
        <w:rPr>
          <w:rFonts w:ascii="Arial" w:cs="Arial" w:eastAsia="Arial" w:hAnsi="Arial"/>
          <w:sz w:val="14"/>
          <w:szCs w:val="14"/>
          <w:b w:val="1"/>
          <w:bCs w:val="1"/>
          <w:color w:val="auto"/>
        </w:rPr>
        <w:t>Three Months ended June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69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0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(unaudited, in thousands)</w:t>
            </w: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31,421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2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23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40,097</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35,078</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expenses increased by approximately $3.7 million for the three months ended June 30,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2017. Approximately $1.4 million of the total increase is due to increased compensation, benefits and other employee-related expenses associated with increased headcount in our field salesforce and headcount related expenses. In addition, approximately $2.0 million of the total increase is due to increased expenses for promotional and marketing programs, speaker programs, and consulting services to support our commercial products, particularly the migraine indication for Trokendi XR.</w:t>
      </w:r>
    </w:p>
    <w:p>
      <w:pPr>
        <w:spacing w:after="0" w:line="188"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(G&amp;A) increased by $1.4 million for the three months ended June 30, 2018,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2017. Of this total, approximately $1.0 million is due to increased compensation, benefits and other employee-related expenses associated with increased administrative headcount, and approximately $300,000 is due to an increase in patent amortization expense.</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For the three months ended June 30, 2018 and 2017, we recognized $3.7 million and approximately $700,000, respectively,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earned on our cash, cash equivalents and marketable securities. The increase is primarily attributable to an increase in cash, cash equivalents and marketable securities holdings year over year and the net proceeds from the issuance of $402.5 million of 0.625% Convertible Senior Notes due 2023 (2023 Notes).</w:t>
      </w:r>
    </w:p>
    <w:p>
      <w:pPr>
        <w:spacing w:after="0" w:line="18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$4.3 million for the three months ended June 30, 2018 as compared to approximately $58,000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The increase of $4.3 million was primarily due to the interest on the 2023 Notes, which were issued in 2018. Of the increase, non-cash interest expense from the amortization of deferred financing costs on the 2023 Notes was $3.7 million for the three months ended June 30, 2018.</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194" w:gutter="0" w:footer="0" w:header="0"/>
        </w:sectPr>
      </w:pPr>
    </w:p>
    <w:bookmarkStart w:id="20" w:name="page21"/>
    <w:bookmarkEnd w:id="20"/>
    <w:p>
      <w:pPr>
        <w:ind w:left="660"/>
        <w:spacing w:after="0"/>
        <w:rPr>
          <w:sz w:val="20"/>
          <w:szCs w:val="20"/>
          <w:color w:val="auto"/>
        </w:rPr>
      </w:pPr>
      <w:r>
        <w:rPr>
          <w:rFonts w:ascii="Arial" w:cs="Arial" w:eastAsia="Arial" w:hAnsi="Arial"/>
          <w:sz w:val="16"/>
          <w:szCs w:val="16"/>
          <w:b w:val="1"/>
          <w:bCs w:val="1"/>
          <w:i w:val="1"/>
          <w:iCs w:val="1"/>
          <w:color w:val="auto"/>
        </w:rPr>
        <w:t xml:space="preserve">Interest Expense—Non-recourse Liability Related to Sale of Future Royalties. </w:t>
      </w:r>
      <w:r>
        <w:rPr>
          <w:rFonts w:ascii="Arial" w:cs="Arial" w:eastAsia="Arial" w:hAnsi="Arial"/>
          <w:sz w:val="16"/>
          <w:szCs w:val="16"/>
          <w:color w:val="auto"/>
        </w:rPr>
        <w:t>Non-cash interest expense related to our non-recourse royalty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liability was $1.2 million for the three months ended June 30, 2018 as compared to $200,000 for the three months ended June 30, 2017. The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for this non-cash expense was primarily due to changes in the projection of future royalties on Orenitram and the liability amortization term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of a favorable settlement of patent litigation for United Therapeutics.</w:t>
      </w:r>
    </w:p>
    <w:p>
      <w:pPr>
        <w:spacing w:after="0" w:line="21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b w:val="1"/>
          <w:bCs w:val="1"/>
          <w:i w:val="1"/>
          <w:iCs w:val="1"/>
          <w:color w:val="auto"/>
        </w:rPr>
        <w:t xml:space="preserve">Changes in Fair Value of Derivative Liability. </w:t>
      </w:r>
      <w:r>
        <w:rPr>
          <w:rFonts w:ascii="Arial" w:cs="Arial" w:eastAsia="Arial" w:hAnsi="Arial"/>
          <w:sz w:val="17"/>
          <w:szCs w:val="17"/>
          <w:color w:val="auto"/>
        </w:rPr>
        <w:t>The “make-whole fundamental change” provision in the Indenture governing the 7.5% Convertible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Secured Notes due 2019 (2019 Notes) expired in May 2017. For the three months ended June 30, 2017, we recognized a non-cash gain of approximately $23,000 related to a change in the estimated fair value of the interest make-whole derivative liability of the 2019 Notes.</w:t>
      </w:r>
    </w:p>
    <w:p>
      <w:pPr>
        <w:spacing w:after="0" w:line="166"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There were no 2023 Notes converted in the three months ended June 30, 2018.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we recognized a non-cash loss on extinguishment of debt of approximately $100,000 related to the conversion of $2.0 million aggregate principal amount of the 2019 Notes.</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 </w:t>
      </w:r>
      <w:r>
        <w:rPr>
          <w:rFonts w:ascii="Arial" w:cs="Arial" w:eastAsia="Arial" w:hAnsi="Arial"/>
          <w:sz w:val="17"/>
          <w:szCs w:val="17"/>
          <w:color w:val="auto"/>
        </w:rPr>
        <w:t>For the three months ended June 30, 2018, we recorded $3.1 million of income tax expense, a decrease of $5.9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June 30, 2017 is primarily due to the reduction of the U.S. corporate income tax rate from, 35% to 21%, as a result of the Tax Cuts and Jobs Act passed on December 22, 2017 and the $4.4 million tax benefit from the exercise of employee stock options.</w:t>
      </w:r>
    </w:p>
    <w:p>
      <w:pPr>
        <w:spacing w:after="0" w:line="16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Earnings. </w:t>
      </w:r>
      <w:r>
        <w:rPr>
          <w:rFonts w:ascii="Arial" w:cs="Arial" w:eastAsia="Arial" w:hAnsi="Arial"/>
          <w:sz w:val="17"/>
          <w:szCs w:val="17"/>
          <w:color w:val="auto"/>
        </w:rPr>
        <w:t>Net earnings for the three months ended June 30, 2018 were $30.7 million, compared to net earnings of $17.4 million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June 30, 2017, an increase of $13.3 million. This increase was primarily due to the revenue generated from our two commercial products, Trokendi XR and Oxtellar XR, and lower income tax expense, partially offset by an increase in R&amp;D and SG&amp;A spending.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June 30,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118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60" w:type="dxa"/>
            <w:vAlign w:val="bottom"/>
            <w:gridSpan w:val="3"/>
          </w:tcPr>
          <w:p>
            <w:pPr>
              <w:jc w:val="right"/>
              <w:ind w:right="45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4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c>
          <w:tcPr>
            <w:tcW w:w="11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186,150</w:t>
            </w:r>
          </w:p>
        </w:tc>
        <w:tc>
          <w:tcPr>
            <w:tcW w:w="180" w:type="dxa"/>
            <w:vAlign w:val="bottom"/>
          </w:tcPr>
          <w:p>
            <w:pPr>
              <w:spacing w:after="0"/>
              <w:rPr>
                <w:sz w:val="18"/>
                <w:szCs w:val="18"/>
                <w:color w:val="auto"/>
              </w:rPr>
            </w:pP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129,697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56,453</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18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Licensing revenue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1,380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11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133,405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 sales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18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38,946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20,425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18,521</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13,630</w:t>
            </w:r>
          </w:p>
        </w:tc>
        <w:tc>
          <w:tcPr>
            <w:tcW w:w="11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90,550</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3,683</w:t>
            </w:r>
          </w:p>
        </w:tc>
        <w:tc>
          <w:tcPr>
            <w:tcW w:w="118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4,894</w:t>
            </w:r>
          </w:p>
        </w:tc>
        <w:tc>
          <w:tcPr>
            <w:tcW w:w="1180" w:type="dxa"/>
            <w:vAlign w:val="bottom"/>
          </w:tcPr>
          <w:p>
            <w:pPr>
              <w:spacing w:after="0"/>
              <w:rPr>
                <w:sz w:val="18"/>
                <w:szCs w:val="18"/>
                <w:color w:val="auto"/>
              </w:rPr>
            </w:pPr>
          </w:p>
        </w:tc>
      </w:tr>
      <w:tr>
        <w:trPr>
          <w:trHeight w:val="202"/>
        </w:trPr>
        <w:tc>
          <w:tcPr>
            <w:tcW w:w="50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Interest expense-nonrecourse liability related to sale of future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royalties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1180" w:type="dxa"/>
            <w:vAlign w:val="bottom"/>
          </w:tcPr>
          <w:p>
            <w:pPr>
              <w:spacing w:after="0"/>
              <w:rPr>
                <w:sz w:val="20"/>
                <w:szCs w:val="20"/>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Changes in fair value of derivative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1180" w:type="dxa"/>
            <w:vAlign w:val="bottom"/>
          </w:tcPr>
          <w:p>
            <w:pPr>
              <w:spacing w:after="0"/>
              <w:rPr>
                <w:sz w:val="18"/>
                <w:szCs w:val="18"/>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1180" w:type="dxa"/>
            <w:vAlign w:val="bottom"/>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14,983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(7,034)</w:t>
            </w:r>
          </w:p>
        </w:tc>
        <w:tc>
          <w:tcPr>
            <w:tcW w:w="1180" w:type="dxa"/>
            <w:vAlign w:val="bottom"/>
          </w:tcPr>
          <w:p>
            <w:pPr>
              <w:spacing w:after="0"/>
              <w:rPr>
                <w:sz w:val="18"/>
                <w:szCs w:val="18"/>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992"/>
              <w:spacing w:after="0"/>
              <w:rPr>
                <w:sz w:val="20"/>
                <w:szCs w:val="20"/>
                <w:color w:val="auto"/>
              </w:rPr>
            </w:pPr>
            <w:r>
              <w:rPr>
                <w:rFonts w:ascii="Arial" w:cs="Arial" w:eastAsia="Arial" w:hAnsi="Arial"/>
                <w:sz w:val="18"/>
                <w:szCs w:val="18"/>
                <w:color w:val="auto"/>
                <w:w w:val="89"/>
              </w:rPr>
              <w:t>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Net Product Sales. </w:t>
      </w:r>
      <w:r>
        <w:rPr>
          <w:rFonts w:ascii="Arial" w:cs="Arial" w:eastAsia="Arial" w:hAnsi="Arial"/>
          <w:sz w:val="16"/>
          <w:szCs w:val="16"/>
          <w:color w:val="auto"/>
        </w:rPr>
        <w:t>The increase in net product sales from 2017 to 2018 is primarily driven by increased prescription volume generated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migraine indication for Trokendi XR. Price increases in 2017 and 2018 also contributed to the increase in net product sales. Net product sales are based on gross revenue from shipments to wholesalers and distributors, less estimates for discounts, rebates, allowances, returns and other sales deductions.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0"/>
              </w:rPr>
              <w:t>Net Product Sales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 in Net Product</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Six Months ended June 30,</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06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Sales (%)</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147,029</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97,998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Oxtellar XR</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39,121</w:t>
            </w:r>
          </w:p>
        </w:tc>
        <w:tc>
          <w:tcPr>
            <w:tcW w:w="4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31,699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19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186,150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129,697</w:t>
            </w:r>
          </w:p>
        </w:tc>
        <w:tc>
          <w:tcPr>
            <w:tcW w:w="28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Royalty Revenue. </w:t>
      </w:r>
      <w:r>
        <w:rPr>
          <w:rFonts w:ascii="Arial" w:cs="Arial" w:eastAsia="Arial" w:hAnsi="Arial"/>
          <w:sz w:val="18"/>
          <w:szCs w:val="18"/>
          <w:color w:val="auto"/>
        </w:rPr>
        <w:t>Royalty revenue includes royalty from net product sales of Shire’s product, Mydayis, and non-cash royalty from the HC Royalty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Non-cash royalty revenue for the six months ended June 30, 2018 and 2017 was $2.8 million and $2.3 million, respectively. The increase is primarily due to increased non-cash royalty revenue as a result of increased sales of Orenitram.</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b w:val="1"/>
          <w:bCs w:val="1"/>
          <w:i w:val="1"/>
          <w:iCs w:val="1"/>
          <w:color w:val="auto"/>
        </w:rPr>
        <w:t xml:space="preserve">Licensing Revenue. </w:t>
      </w:r>
      <w:r>
        <w:rPr>
          <w:rFonts w:ascii="Arial" w:cs="Arial" w:eastAsia="Arial" w:hAnsi="Arial"/>
          <w:sz w:val="16"/>
          <w:szCs w:val="16"/>
          <w:color w:val="auto"/>
        </w:rPr>
        <w:t>There was $750,000 in milestone revenue earned during the six months ended June 30, 2018. Total licensing revenue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was $1.4 million. The decrease from prior year is primarily due to the adoption of ASC 606, which resulted in accelerated</w:t>
      </w:r>
    </w:p>
    <w:p>
      <w:pPr>
        <w:sectPr>
          <w:pgSz w:w="11900" w:h="16838" w:orient="portrait"/>
          <w:cols w:equalWidth="0" w:num="1">
            <w:col w:w="11460"/>
          </w:cols>
          <w:pgMar w:left="240" w:top="125" w:right="199" w:bottom="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t>amortization of previously deferred up-front license revenue. The impact of the adoption was recorded as an adjustment to the opening balance of retained earnings in 2018.</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six months ended June 30, 2018 was $7.0 million, an increase of approximately $200,000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$6.8 million for the six months ended June 30, 2017. The period over period increase is attributable primarily to increased product unit volume, partially offset by manufacturing efficiencies.</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R&amp;D expenses during the six months ended June 30, 2018 were $38.9 million as compared to $20.4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June 30, 2017, an increase of $18.5 million. This increase is primarily due to the initiation of the four Phase III clinical trials for SPN-812, ongoing patient recruitment for the Phase III trials for SPN-810, and their related open label extension trials.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comparison of selling and marketing and general and administrative expenses for the six months ended June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Selling, General and Administrative Expense</w:t>
      </w:r>
    </w:p>
    <w:p>
      <w:pPr>
        <w:jc w:val="center"/>
        <w:ind w:right="-219"/>
        <w:spacing w:after="0" w:line="236" w:lineRule="auto"/>
        <w:rPr>
          <w:sz w:val="20"/>
          <w:szCs w:val="20"/>
          <w:color w:val="auto"/>
        </w:rPr>
      </w:pPr>
      <w:r>
        <w:rPr>
          <w:rFonts w:ascii="Arial" w:cs="Arial" w:eastAsia="Arial" w:hAnsi="Arial"/>
          <w:sz w:val="14"/>
          <w:szCs w:val="14"/>
          <w:b w:val="1"/>
          <w:bCs w:val="1"/>
          <w:color w:val="auto"/>
        </w:rPr>
        <w:t>Six Months ended June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02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(unaudited, in thousands)</w:t>
            </w:r>
          </w:p>
        </w:tc>
        <w:tc>
          <w:tcPr>
            <w:tcW w:w="11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59,015</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49,676</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17,931</w:t>
            </w: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13,640</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76,946</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63,316</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expenses increased by approximately $9.3 million for the six months ended June 30,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2017. Approximately $4.7 million of the total increase is due to increased compensation, benefits and other employee-related expenses associated with increased headcount in our field salesforce and headcount related expenses. In addition, approximately $4.1 million of the total increase is due to increased expenses for promotional and marketing programs, speaker programs, and consulting services to support our commercial products, particularly the migraine indication for Trokendi XR.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G&amp;A expenses increased by $4.3 million for the six months ended June 30, 2018, as compared to 2017. Of this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$2.4 million is due to increased compensation, benefits and other employee-related expenses associated with increased administrative headcount, approximately $1.1 million is due to an increase in patent amortization expense, and approximately $900,000 is due to increased professional and consulting services.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For the six months ended June 30, 2018 and 2017, we recognized $4.9 million and $1.2 million, respectively, of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on our cash, cash equivalents and marketable securities. The increase is primarily attributable to an increase in cash, cash equivalents and marketable securities holdings period over period as a result of the net proceeds from the issuance of the 2023 Notes.</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$5.0 million for the six months ended June 30, 2018 as compared to approximately $150,000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2017. The increase of $4.9 million was primarily due to the interest on the 2023 Notes entered into in March 2018. Of the increase, non-cash interest expense related to the amortization of deferred financing costs on the 2023 Notes was $4.3 million for the six months ended June 30, 2018.</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Expense—Non-recourse Liability Related to Sale of Future Royalties. </w:t>
      </w:r>
      <w:r>
        <w:rPr>
          <w:rFonts w:ascii="Arial" w:cs="Arial" w:eastAsia="Arial" w:hAnsi="Arial"/>
          <w:sz w:val="18"/>
          <w:szCs w:val="18"/>
          <w:color w:val="auto"/>
        </w:rPr>
        <w:t>Non-cash interest expense related to our non-recourse royalty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was $1.9 million for the six months ended June 30, 2018 as compared to $1.1 million for the six months ended June 30, 2017. The increase of approximately $800,000 for this non-cash expense was primarily due to changes in the projected sales of Orenitram and the liability amortization term as a result of favorable settlement of patent litigation for United Therapeutics.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Changes in Fair Value of Derivative Liability. </w:t>
      </w:r>
      <w:r>
        <w:rPr>
          <w:rFonts w:ascii="Arial" w:cs="Arial" w:eastAsia="Arial" w:hAnsi="Arial"/>
          <w:sz w:val="18"/>
          <w:szCs w:val="18"/>
          <w:color w:val="auto"/>
        </w:rPr>
        <w:t>The “make-whole fundamental change” provision in the Indenture governing the 2019 Notes expired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2017. For the six months ended June 30, 2017, we recognized a non-cash gain of approximately $76,000 related to a change in the estimated fair value of the interest make-whole derivative liability of the 2019 Notes.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There were no 2023 Notes converted in the six months ended June 30, 2018.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we recognized a non-cash loss on extinguishment of debt of approximately $200,000 related to the conversion of $2.0 million aggregate principal amount of the 2019 Notes.</w:t>
      </w:r>
    </w:p>
    <w:p>
      <w:pPr>
        <w:spacing w:after="0" w:line="181"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For the six months ended June 30, 2018, we recorded $7.9 million of income tax expense. As compared to 2017, this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 million is primarily due to the reduction of the U.S. corporate income tax rate from, 35% to 21%, as a result of the Tax Cuts and Jobs Act passed on December 22, 2017 and the $6.4 million tax benefit from the exercise of employee stock options.</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Earnings. </w:t>
      </w:r>
      <w:r>
        <w:rPr>
          <w:rFonts w:ascii="Arial" w:cs="Arial" w:eastAsia="Arial" w:hAnsi="Arial"/>
          <w:sz w:val="17"/>
          <w:szCs w:val="17"/>
          <w:color w:val="auto"/>
        </w:rPr>
        <w:t>Net earnings for the six months ended June 30, 2018 were $57.1 million, compared to net earnings of $27.7 million during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2017, an increase of $29.4 million. This increase was primarily due to the revenue generated from our two commercial products, Trokendi XR and Oxtellar XR, and lower income tax expense, partially offset by an increase in R&amp;D and SG&amp;A spending.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believe our increasing levels of net product sales will be sufficient to finance our operations in 2018 and subsequent years, including the increased R&amp;D expenses for our clinical trials, increased expenses to support our commercial products, and the increased expenses in anticipation of launching our product candidates. We expect to incur R&amp;D expenses for the remainder of 2018 at levels similar to that incurred in the first six months to support the development of SPN-810 and SPN-812, including their respective Phase III trials. We expect our selling, general and administrative expenses to continue to increase for the foreseeable future, as we continue to invest in the commercialization of Trokendi XR and Oxtellar XR, and in areas such as</w:t>
      </w:r>
    </w:p>
    <w:p>
      <w:pPr>
        <w:sectPr>
          <w:pgSz w:w="11900" w:h="16838" w:orient="portrait"/>
          <w:cols w:equalWidth="0" w:num="1">
            <w:col w:w="11420"/>
          </w:cols>
          <w:pgMar w:left="240" w:top="125" w:right="239" w:bottom="0" w:gutter="0" w:footer="0" w:header="0"/>
        </w:sectPr>
      </w:pPr>
    </w:p>
    <w:bookmarkStart w:id="22" w:name="page23"/>
    <w:bookmarkEnd w:id="22"/>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compliance, finance, management of our intellectual property portfolio, information technology systems, and personnel, in each case, commensurate with the growth of our business.</w:t>
      </w:r>
    </w:p>
    <w:p>
      <w:pPr>
        <w:spacing w:after="0" w:line="170"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Our working capital at June 30, 2018 was $180.6 million, an increase of $75.1 million compared to our working capital of $105.5 million at December 31, 2017. In addition, our long term marketable securities at June 30, 2018 were $503.3 million, an increase of $369.7 million, as compared to $133.6 million at December 31, 2017. This increase is primarily attributable to the net proceeds generated by the issuance of the 2023 Notes.</w:t>
      </w:r>
    </w:p>
    <w:p>
      <w:pPr>
        <w:spacing w:after="0" w:line="14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Our stockholders’ equity increased by $123.0 million during the six-month period ended June 30, 2018, primarily as a result of net earnings, option exercises, share-based compensation and the issuance of the 2023 Notes and warrants, partially offset by the purchase of convertible note hedges.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March 14, 2018, we issued $402.5 million in aggregate principal amount of 2023 Notes pursuant to an indenture, dated as of March 19, 2018 (the Indenture) between us and Wilmington Trust, National Association, as trustee. The Indenture includes customary terms and covenants, including certain events of default after which the 2023 Notes may be due and payable immediately. Interest on the 2023 Notes, at an annual rate of 0.625%, is payable semi-annually in arrears on April 1 and October 1 of each year. As of June 30, 2018, the outstanding aggregate principal amount of 2023 Notes was $402.5 million. We will settle conversions of the 2023 Notes by paying or delivering, as applicable, cash, shares of our common stock or a combination of cash and shares of our common stock, at our election, based on the applicable conversion rate. The initial conversion rate is 16.8545 shares per $1,000 principal amount of the 2023 Notes, which represents an initial conversion price of approximately $59.33 per share, and is subject to adjustments specified in the Indenture. We may not redeem the 2023 Notes at our option before maturity.</w:t>
      </w:r>
    </w:p>
    <w:p>
      <w:pPr>
        <w:spacing w:after="0" w:line="17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also entered into separately negotiated convertible note hedge transactions (collectively, the Convertible Note Hedge Transactions). The Convertible Note Hedge Transactions cover, subject to customary anti-dilution adjustments substantially similar to those applicable to the 2023 Notes, the number of shares of our common stock underlying the 2023 Notes. Concurrently with entering into the Convertible Note Hedge Transactions on each such date, we also entered into separate privately negotiated warrant transactions (collectively, the Warrant Transactions) whereby we sold warrants to purchase, subject to customary anti-dilution adjustments, up to the same number of shares of our common stock. The Convertible Note Hedge Transactions and the Warrant Transactions are separate contracts entered into by the Company. The Convertible Note Hedge Transactions are expected to reduce generally the potential dilution with respect to the Company’s common stock upon conversion of the 2023 Notes and/or offset any potential cash payments we are required to make in excess of the principal amount of converted Notes, as the case may be, upon any conversion of the 2023 Notes. The Warrant Transactions are intended to partially offset the cost to the purchased Convertible Note Hedge Transactions; however, the Warrant Transactions could have a dilutive effect with respect to our common stock to the extent that the market price per share of our common stock, as measured under the terms of the Warrant Transactions, exceeds the strike price of the warrants, or $80.9063 per share of Company’s common stock.</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achieved positive cash flow and profitability from operations in the six months ended June 30, 2018 and 2017. While we expect continued profitability in 2018 as we continue to increase sales, we anticipate there may be significant variability from quarter to quarter in our level of profitability due to increasing spending to advance our clinical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33,689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(473,147)</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(427,022)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374,359</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372,195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(65,099)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(60,438)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changes in working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Results for the six months ended June 30, 2018 and June 30, 2017 are summarized below,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earnings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67,481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44,150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used in working capital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(28,942)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1040" w:type="dxa"/>
            <w:vAlign w:val="bottom"/>
            <w:tcBorders>
              <w:top w:val="single" w:sz="8" w:color="auto"/>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980" w:type="dxa"/>
            <w:vAlign w:val="bottom"/>
            <w:tcBorders>
              <w:top w:val="single" w:sz="8" w:color="auto"/>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23" w:name="page24"/>
    <w:bookmarkEnd w:id="23"/>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33,689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39,300</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(5,611)</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top w:val="single" w:sz="8" w:color="CCEEFF"/>
            </w:tcBorders>
            <w:gridSpan w:val="3"/>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0" w:type="dxa"/>
            <w:vAlign w:val="bottom"/>
            <w:gridSpan w:val="21"/>
          </w:tcPr>
          <w:p>
            <w:pPr>
              <w:ind w:left="640"/>
              <w:spacing w:after="0"/>
              <w:rPr>
                <w:sz w:val="20"/>
                <w:szCs w:val="20"/>
                <w:color w:val="auto"/>
              </w:rPr>
            </w:pPr>
            <w:r>
              <w:rPr>
                <w:rFonts w:ascii="Arial" w:cs="Arial" w:eastAsia="Arial" w:hAnsi="Arial"/>
                <w:sz w:val="18"/>
                <w:szCs w:val="18"/>
                <w:color w:val="auto"/>
                <w:w w:val="95"/>
              </w:rPr>
              <w:t>The decrease in net cash provided by operating activities is primarily driven by an increase in cash used in working capital due to payments of</w:t>
            </w: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60" w:type="dxa"/>
            <w:vAlign w:val="bottom"/>
            <w:gridSpan w:val="9"/>
          </w:tcPr>
          <w:p>
            <w:pPr>
              <w:ind w:left="640"/>
              <w:spacing w:after="0"/>
              <w:rPr>
                <w:sz w:val="20"/>
                <w:szCs w:val="20"/>
                <w:color w:val="auto"/>
              </w:rPr>
            </w:pPr>
            <w:r>
              <w:rPr>
                <w:rFonts w:ascii="Arial" w:cs="Arial" w:eastAsia="Arial" w:hAnsi="Arial"/>
                <w:sz w:val="18"/>
                <w:szCs w:val="18"/>
                <w:color w:val="auto"/>
                <w:w w:val="95"/>
              </w:rPr>
              <w:t>The changes in certain operating assets and liabilities are, in thousands: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Explanation of Change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3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600" w:type="dxa"/>
            <w:vAlign w:val="bottom"/>
            <w:gridSpan w:val="8"/>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in accounts receivable</w:t>
            </w:r>
          </w:p>
        </w:tc>
        <w:tc>
          <w:tcPr>
            <w:tcW w:w="700" w:type="dxa"/>
            <w:vAlign w:val="bottom"/>
            <w:shd w:val="clear" w:color="auto" w:fill="CCEEFF"/>
          </w:tcPr>
          <w:p>
            <w:pPr>
              <w:jc w:val="right"/>
              <w:ind w:right="573"/>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(7,776)</w:t>
            </w:r>
          </w:p>
        </w:tc>
        <w:tc>
          <w:tcPr>
            <w:tcW w:w="74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w w:val="94"/>
              </w:rPr>
              <w:t>(9,630)</w:t>
            </w:r>
          </w:p>
        </w:tc>
        <w:tc>
          <w:tcPr>
            <w:tcW w:w="360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w w:val="97"/>
              </w:rPr>
              <w:t>Increased product sales offset by timing of cash collections.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Increase (decrease) in inventory</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40" w:type="dxa"/>
            <w:vAlign w:val="bottom"/>
            <w:gridSpan w:val="12"/>
          </w:tcPr>
          <w:p>
            <w:pPr>
              <w:spacing w:after="0" w:line="130" w:lineRule="exact"/>
              <w:rPr>
                <w:sz w:val="20"/>
                <w:szCs w:val="20"/>
                <w:color w:val="auto"/>
              </w:rPr>
            </w:pPr>
            <w:r>
              <w:rPr>
                <w:rFonts w:ascii="Arial" w:cs="Arial" w:eastAsia="Arial" w:hAnsi="Arial"/>
                <w:sz w:val="14"/>
                <w:szCs w:val="14"/>
                <w:color w:val="auto"/>
              </w:rPr>
              <w:t>Increased inventory volume production resulting from increased product demand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(4,376)</w:t>
            </w:r>
          </w:p>
        </w:tc>
        <w:tc>
          <w:tcPr>
            <w:tcW w:w="740" w:type="dxa"/>
            <w:vAlign w:val="bottom"/>
          </w:tcPr>
          <w:p>
            <w:pPr>
              <w:spacing w:after="0"/>
              <w:rPr>
                <w:sz w:val="14"/>
                <w:szCs w:val="14"/>
                <w:color w:val="auto"/>
              </w:rPr>
            </w:pPr>
          </w:p>
        </w:tc>
        <w:tc>
          <w:tcPr>
            <w:tcW w:w="680" w:type="dxa"/>
            <w:vAlign w:val="bottom"/>
            <w:gridSpan w:val="3"/>
          </w:tcPr>
          <w:p>
            <w:pPr>
              <w:jc w:val="right"/>
              <w:ind w:right="239"/>
              <w:spacing w:after="0"/>
              <w:rPr>
                <w:sz w:val="20"/>
                <w:szCs w:val="20"/>
                <w:color w:val="auto"/>
              </w:rPr>
            </w:pPr>
            <w:r>
              <w:rPr>
                <w:rFonts w:ascii="Arial" w:cs="Arial" w:eastAsia="Arial" w:hAnsi="Arial"/>
                <w:sz w:val="14"/>
                <w:szCs w:val="14"/>
                <w:color w:val="auto"/>
              </w:rPr>
              <w:t>178</w:t>
            </w:r>
          </w:p>
        </w:tc>
        <w:tc>
          <w:tcPr>
            <w:tcW w:w="3600" w:type="dxa"/>
            <w:vAlign w:val="bottom"/>
            <w:gridSpan w:val="8"/>
          </w:tcPr>
          <w:p>
            <w:pPr>
              <w:spacing w:after="0"/>
              <w:rPr>
                <w:sz w:val="20"/>
                <w:szCs w:val="20"/>
                <w:color w:val="auto"/>
              </w:rPr>
            </w:pPr>
            <w:r>
              <w:rPr>
                <w:rFonts w:ascii="Arial" w:cs="Arial" w:eastAsia="Arial" w:hAnsi="Arial"/>
                <w:sz w:val="14"/>
                <w:szCs w:val="14"/>
                <w:color w:val="auto"/>
                <w:w w:val="99"/>
              </w:rPr>
              <w:t>following launch of the migraine indication of Trokendi XR.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Decrease in prepaid expenses, other current assets,</w:t>
            </w: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40" w:type="dxa"/>
            <w:vAlign w:val="bottom"/>
            <w:gridSpan w:val="12"/>
            <w:shd w:val="clear" w:color="auto" w:fill="CCEEFF"/>
          </w:tcPr>
          <w:p>
            <w:pPr>
              <w:spacing w:after="0" w:line="130" w:lineRule="exact"/>
              <w:rPr>
                <w:sz w:val="20"/>
                <w:szCs w:val="20"/>
                <w:color w:val="auto"/>
              </w:rPr>
            </w:pPr>
            <w:r>
              <w:rPr>
                <w:rFonts w:ascii="Arial" w:cs="Arial" w:eastAsia="Arial" w:hAnsi="Arial"/>
                <w:sz w:val="14"/>
                <w:szCs w:val="14"/>
                <w:color w:val="auto"/>
                <w:w w:val="97"/>
              </w:rPr>
              <w:t>Progress of clinical trials and timing differences primarily related to prepayment of drug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and other non-current assets</w:t>
            </w:r>
          </w:p>
        </w:tc>
        <w:tc>
          <w:tcPr>
            <w:tcW w:w="7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(8,402)</w:t>
            </w:r>
          </w:p>
        </w:tc>
        <w:tc>
          <w:tcPr>
            <w:tcW w:w="7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99"/>
              <w:spacing w:after="0"/>
              <w:rPr>
                <w:sz w:val="20"/>
                <w:szCs w:val="20"/>
                <w:color w:val="auto"/>
              </w:rPr>
            </w:pPr>
            <w:r>
              <w:rPr>
                <w:rFonts w:ascii="Arial" w:cs="Arial" w:eastAsia="Arial" w:hAnsi="Arial"/>
                <w:sz w:val="14"/>
                <w:szCs w:val="14"/>
                <w:color w:val="auto"/>
                <w:w w:val="94"/>
              </w:rPr>
              <w:t>(1,791)</w:t>
            </w:r>
          </w:p>
        </w:tc>
        <w:tc>
          <w:tcPr>
            <w:tcW w:w="5240" w:type="dxa"/>
            <w:vAlign w:val="bottom"/>
            <w:gridSpan w:val="12"/>
            <w:shd w:val="clear" w:color="auto" w:fill="CCEEFF"/>
          </w:tcPr>
          <w:p>
            <w:pPr>
              <w:spacing w:after="0"/>
              <w:rPr>
                <w:sz w:val="20"/>
                <w:szCs w:val="20"/>
                <w:color w:val="auto"/>
              </w:rPr>
            </w:pPr>
            <w:r>
              <w:rPr>
                <w:rFonts w:ascii="Arial" w:cs="Arial" w:eastAsia="Arial" w:hAnsi="Arial"/>
                <w:sz w:val="14"/>
                <w:szCs w:val="14"/>
                <w:color w:val="auto"/>
              </w:rPr>
              <w:t>regulatory fees in fourth quarter of 2017 and income tax payments in 2018.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Increase in accounts payable, accrued sales</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140" w:type="dxa"/>
            <w:vAlign w:val="bottom"/>
            <w:gridSpan w:val="11"/>
          </w:tcPr>
          <w:p>
            <w:pPr>
              <w:spacing w:after="0" w:line="130" w:lineRule="exact"/>
              <w:rPr>
                <w:sz w:val="20"/>
                <w:szCs w:val="20"/>
                <w:color w:val="auto"/>
              </w:rPr>
            </w:pPr>
            <w:r>
              <w:rPr>
                <w:rFonts w:ascii="Arial" w:cs="Arial" w:eastAsia="Arial" w:hAnsi="Arial"/>
                <w:sz w:val="14"/>
                <w:szCs w:val="14"/>
                <w:color w:val="auto"/>
                <w:w w:val="96"/>
              </w:rPr>
              <w:t>Timing of vendor payments and increased accrued sales deductions due to increased</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gridSpan w:val="2"/>
          </w:tcPr>
          <w:p>
            <w:pPr>
              <w:ind w:left="160"/>
              <w:spacing w:after="0"/>
              <w:rPr>
                <w:sz w:val="20"/>
                <w:szCs w:val="20"/>
                <w:color w:val="auto"/>
              </w:rPr>
            </w:pPr>
            <w:r>
              <w:rPr>
                <w:rFonts w:ascii="Arial" w:cs="Arial" w:eastAsia="Arial" w:hAnsi="Arial"/>
                <w:sz w:val="14"/>
                <w:szCs w:val="14"/>
                <w:color w:val="auto"/>
              </w:rPr>
              <w:t>deductions and accrued expenses</w:t>
            </w:r>
          </w:p>
        </w:tc>
        <w:tc>
          <w:tcPr>
            <w:tcW w:w="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827</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gridSpan w:val="3"/>
          </w:tcPr>
          <w:p>
            <w:pPr>
              <w:jc w:val="right"/>
              <w:ind w:right="239"/>
              <w:spacing w:after="0"/>
              <w:rPr>
                <w:sz w:val="20"/>
                <w:szCs w:val="20"/>
                <w:color w:val="auto"/>
              </w:rPr>
            </w:pPr>
            <w:r>
              <w:rPr>
                <w:rFonts w:ascii="Arial" w:cs="Arial" w:eastAsia="Arial" w:hAnsi="Arial"/>
                <w:sz w:val="14"/>
                <w:szCs w:val="14"/>
                <w:color w:val="auto"/>
              </w:rPr>
              <w:t>4,445</w:t>
            </w:r>
          </w:p>
        </w:tc>
        <w:tc>
          <w:tcPr>
            <w:tcW w:w="104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income taxes payable</w:t>
            </w:r>
          </w:p>
        </w:tc>
        <w:tc>
          <w:tcPr>
            <w:tcW w:w="7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w w:val="88"/>
              </w:rPr>
              <w:t>(15,938)</w:t>
            </w:r>
          </w:p>
        </w:tc>
        <w:tc>
          <w:tcPr>
            <w:tcW w:w="7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1,601</w:t>
            </w:r>
          </w:p>
        </w:tc>
        <w:tc>
          <w:tcPr>
            <w:tcW w:w="26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Timing of income tax payments.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1,873</w:t>
            </w:r>
          </w:p>
        </w:tc>
        <w:tc>
          <w:tcPr>
            <w:tcW w:w="740" w:type="dxa"/>
            <w:vAlign w:val="bottom"/>
          </w:tcPr>
          <w:p>
            <w:pPr>
              <w:spacing w:after="0"/>
              <w:rPr>
                <w:sz w:val="12"/>
                <w:szCs w:val="12"/>
                <w:color w:val="auto"/>
              </w:rPr>
            </w:pPr>
          </w:p>
        </w:tc>
        <w:tc>
          <w:tcPr>
            <w:tcW w:w="680" w:type="dxa"/>
            <w:vAlign w:val="bottom"/>
            <w:gridSpan w:val="3"/>
          </w:tcPr>
          <w:p>
            <w:pPr>
              <w:jc w:val="right"/>
              <w:ind w:right="239"/>
              <w:spacing w:after="0" w:line="149" w:lineRule="exact"/>
              <w:rPr>
                <w:sz w:val="20"/>
                <w:szCs w:val="20"/>
                <w:color w:val="auto"/>
              </w:rPr>
            </w:pPr>
            <w:r>
              <w:rPr>
                <w:rFonts w:ascii="Arial" w:cs="Arial" w:eastAsia="Arial" w:hAnsi="Arial"/>
                <w:sz w:val="14"/>
                <w:szCs w:val="14"/>
                <w:color w:val="auto"/>
              </w:rPr>
              <w:t>347</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268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473"/>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8"/>
              </w:rPr>
              <w:t>(33,792</w:t>
            </w:r>
          </w:p>
        </w:tc>
        <w:tc>
          <w:tcPr>
            <w:tcW w:w="280" w:type="dxa"/>
            <w:vAlign w:val="bottom"/>
            <w:tcBorders>
              <w:top w:val="single" w:sz="8" w:color="CCEEFF"/>
              <w:bottom w:val="single" w:sz="8" w:color="CCEEFF"/>
            </w:tcBorders>
            <w:shd w:val="clear" w:color="auto" w:fill="CCEEFF"/>
          </w:tcPr>
          <w:p>
            <w:pPr>
              <w:jc w:val="right"/>
              <w:ind w:right="199"/>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shd w:val="clear" w:color="auto" w:fill="CCEEFF"/>
          </w:tcPr>
          <w:p>
            <w:pPr>
              <w:jc w:val="right"/>
              <w:ind w:right="508"/>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(4,850</w:t>
            </w:r>
          </w:p>
        </w:tc>
        <w:tc>
          <w:tcPr>
            <w:tcW w:w="280" w:type="dxa"/>
            <w:vAlign w:val="bottom"/>
            <w:tcBorders>
              <w:top w:val="single" w:sz="8" w:color="CCEEFF"/>
              <w:bottom w:val="single" w:sz="8" w:color="CCEEFF"/>
            </w:tcBorders>
            <w:shd w:val="clear" w:color="auto" w:fill="CCEEFF"/>
          </w:tcPr>
          <w:p>
            <w:pPr>
              <w:jc w:val="right"/>
              <w:ind w:right="199"/>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invest excess cash in marketable securities in accordance with our investment policy. Marketable securities consist of investments which mature in four years or less, including U.S. Treasury and various government agency debt securities, as well as investment grade securities in industrial and financial institutions. Fluctuations in investing activities between periods relate exclusively to the timing of marketable security purchases and the related maturities of these securities.</w:t>
      </w:r>
    </w:p>
    <w:p>
      <w:pPr>
        <w:spacing w:after="0" w:line="187"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Net cash used in investing activities for the six months ended June 30, 2018 of $473.1 million primarily relates to net purchases of marketable securities of $472.2 million. Net cash used in investing activities for the six months ended June 30, 2017 of $46.1 million related to net purchase of marketable securities of $36.0 million, patent defense costs of $9.2 million, and property and equipment purchases of approximately $900,000.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provided by financing activities of $374.4 million for the six months ended June 30, 2018 is from proceeds from the issuance of the 2023 Notes, the Warrant Transactions, and the issuance of common stock due to stock option exercises, partially offset by payments made for the Convertible Note Hedge Transactions and financing costs.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Net cash provided by financing activities of $2.2 million for the six months ended June 30, 2017 is from proceeds from the issuance of common stock due to stock option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contractual obligations and commitments as of June 30, 2018 (except as noted below), in thousands, unaudited:</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1 - 3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3 - 5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Greater than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(1)</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Interest on Convertible Notes (1)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41,349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Purchase Obligations (3)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151,171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2,236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the 2023 Notes (see Note 8 in the Notes to the Consolidated Financial Statements in Part I.)</w:t>
      </w:r>
    </w:p>
    <w:p>
      <w:pPr>
        <w:spacing w:after="0" w:line="225" w:lineRule="exact"/>
        <w:rPr>
          <w:rFonts w:ascii="Arial" w:cs="Arial" w:eastAsia="Arial" w:hAnsi="Arial"/>
          <w:sz w:val="18"/>
          <w:szCs w:val="18"/>
          <w:color w:val="auto"/>
        </w:rPr>
      </w:pPr>
    </w:p>
    <w:p>
      <w:pPr>
        <w:ind w:left="660" w:right="340" w:hanging="652"/>
        <w:spacing w:after="0" w:line="264"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commitments for operating leases relate to our lease of office equipment, fleet vehicles and lease of current and new headquarters office and laboratory space as of June 30, 2018. We have the right to terminate the new headquarters lease if, by September 30, 2018, the landlord fails to obtain certain site approval pre-requisites per the lease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primarily to agreements and purchase orders with contractors and vendors.</w:t>
      </w:r>
    </w:p>
    <w:p>
      <w:pPr>
        <w:spacing w:after="0" w:line="225" w:lineRule="exact"/>
        <w:rPr>
          <w:rFonts w:ascii="Arial" w:cs="Arial" w:eastAsia="Arial" w:hAnsi="Arial"/>
          <w:sz w:val="18"/>
          <w:szCs w:val="18"/>
          <w:color w:val="auto"/>
        </w:rPr>
      </w:pPr>
    </w:p>
    <w:p>
      <w:pPr>
        <w:ind w:left="660" w:right="20" w:hanging="652"/>
        <w:spacing w:after="0" w:line="259"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table does not include (a) any milestone payments which may become payable to third parties under license agreements or contractual agreements regarding our clinical trials, as the timing and likelihood of such payments are not known, (b) any royalty payments to third parties as the amounts, timing and likelihood of such payments are not known and (c) contracts that are entered into in the ordinary course of business which are not material in the aggregate in any period presented above.</w:t>
      </w:r>
    </w:p>
    <w:p>
      <w:pPr>
        <w:spacing w:after="0" w:line="186" w:lineRule="exact"/>
        <w:rPr>
          <w:rFonts w:ascii="Arial" w:cs="Arial" w:eastAsia="Arial" w:hAnsi="Arial"/>
          <w:sz w:val="18"/>
          <w:szCs w:val="18"/>
          <w:color w:val="auto"/>
        </w:rPr>
      </w:pPr>
    </w:p>
    <w:p>
      <w:pPr>
        <w:ind w:left="660" w:right="200" w:hanging="652"/>
        <w:spacing w:after="0" w:line="286" w:lineRule="auto"/>
        <w:tabs>
          <w:tab w:leader="none" w:pos="6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of June 30, 2018, we had liabilities related to uncertain tax positions. Due to uncertainties in the timing of potential tax audits, the timing of the resolution of these positions is uncertain and we are unable to make a reasonably reliable estimate of the timing of payments in individual years beyond 12 months. As a result, liabilities related to uncertain tax positions are not included in the above table.</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addition to the above table, we are contractually obligated to pay to HC Royalty all royalty payments earned under a licensing agreement with United Therapeutics. Although we have recorded a liability of $25.5 million at June 30, 2018 related to this obligation, it is a non-recourse liability for which</w:t>
      </w:r>
    </w:p>
    <w:p>
      <w:pPr>
        <w:sectPr>
          <w:pgSz w:w="11900" w:h="16935" w:orient="portrait"/>
          <w:cols w:equalWidth="0" w:num="1">
            <w:col w:w="11420"/>
          </w:cols>
          <w:pgMar w:left="240" w:top="140" w:right="239" w:bottom="0" w:gutter="0" w:footer="0" w:header="0"/>
        </w:sectPr>
      </w:pPr>
    </w:p>
    <w:bookmarkStart w:id="24" w:name="page25"/>
    <w:bookmarkEnd w:id="24"/>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no obligation to make any cash payments to HC Royalty. Accordingly, this obligation will have no impact on our liquidity at any time. Therefore, the non-recourse liability has not been included in the table above.</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have obtained exclusive licenses from third parties for proprietary rights to support the product candidates in our psychiatry portfolio. We have two license agreements with Afecta Pharmaceuticals, Inc. (Afecta) pursuant to which we obtained exclusive worldwide rights to selected product candidates, including an exclusive license to SPN-810. We may pay up to $300,000 upon the achievement of certain milestones. If a product candidate is successfully developed and commercialized, we will be obligated to pay royalties to Afecta at a low single digit percentage of worldwide net product sales.</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also entered into a purchase and sale agreement with Rune HealthCare Limited (Rune), where we obtained the exclusive worldwide rights to a product concept from Rune. There are no future milestone payments owing to Rune under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If we receive approval to market and sell any products based on the Rune product concept for SPN-809, we will be obligated to pay royalties at a low single digit percentage of worldwide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the Consolidated Financial Statements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primary objective of our investment activities is to preserve our capital to fund operations and to facilitate business development activities. We also seek to maximize income from our investments without assuming significant interest rate or liquidity risk. Our exposure to market risk is confined to our cash, cash equivalents, marketable securities and long term marketable securities. As of June 30, 2018, we had unrestricted cash, cash equivalents, marketable securities and long term marketable securities of $677.7 million. We do not engage in any hedging activities against changes in interest rates. Because of the short-term maturities of our cash, cash equivalents, marketable securities and long term marketable securities and because we generally hold these securities to maturity, we do not believe that an increase in market rates would have any significant impact on the realizable value of our investments. We do not have any currency or other derivative financial instruments other than the outstanding warrants to purchase common stock and the convertible note hedges.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contract with CROs and investigational sites globally. Currently, we do not have ongoing trials outside the United States. We do not hedge our foreign currency exchange rate risk. Transactions denominated in currencies other than the U.S. dollar are recorded based on exchange rates at the time such transaction arises. As of December 31, 2017, substantially all of our total liabilities were denominated in the U.S. dollar. Inflation generally affects us by increasing our cost of labor and clinical trial costs. We do not believe that inflation and changing prices over the six months ended June 30, 2018 and 2017 had a significant impact on our consolidated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June 30, 2018, the end of the period covered by this report. Based on that evaluation, under the supervision and with the participation of our management, including our CEO and CFO, we concluded that our disclosure controls and procedures were effective as of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2018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From time to time and in the ordinary course of business, we are subject to various claims, charges and litigation. We may be required to file infringement claims against third parties for the infringement of our patents. We have filed such claims for infringement of the Orange Book patents listed for our product</w:t>
      </w:r>
    </w:p>
    <w:p>
      <w:pPr>
        <w:sectPr>
          <w:pgSz w:w="11900" w:h="16975" w:orient="portrait"/>
          <w:cols w:equalWidth="0" w:num="1">
            <w:col w:w="11400"/>
          </w:cols>
          <w:pgMar w:left="240" w:top="125" w:right="25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Oxtellar XR.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15-369 (RMB)(JS) (D.N.J.)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Appeal No. 2017-2513 (Fed. Cir.)</w:t>
      </w:r>
    </w:p>
    <w:p>
      <w:pPr>
        <w:spacing w:after="0" w:line="21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 The Complaint—filed in the U.S. District Court for the District of New Jersey—alleged, inter alia, that TWi infringed our Oxtellar XR patents by submitting to the FDA an ANDA seeking to market a generic version of Oxtellar XR prior to the expiration of our patents.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On August 15, 2017, the Court issued an opinion and order finding that:</w:t>
      </w:r>
    </w:p>
    <w:p>
      <w:pPr>
        <w:spacing w:after="0" w:line="1" w:lineRule="exact"/>
        <w:rPr>
          <w:sz w:val="20"/>
          <w:szCs w:val="20"/>
          <w:color w:val="auto"/>
        </w:rPr>
      </w:pPr>
    </w:p>
    <w:p>
      <w:pPr>
        <w:ind w:firstLine="8"/>
        <w:spacing w:after="0" w:line="270" w:lineRule="auto"/>
        <w:tabs>
          <w:tab w:leader="none" w:pos="2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TWi’s ANDA products infringe United States Patent Nos. 7,722,898, 7,910,131, and 8,821,930; and (ii) United States Patent Nos. 7,722,898, 7,910,131, and 8,821,930 are not invalid. The Court entered a final judgment on August 28, 2017: (i) enjoining the FDA from approving TWi’s ANDA before the expiration date of United States Patent Nos. 7,722,898, 7,910,131, and 8,821,930; and (ii) enjoining TWi from commercially manufacturing, using, offering to sell, or selling within the United States, or importing into the United States, TWi’s ANDA products until the expiration of United States Patent Nos. 7,722,898, 7,910,131, and 8,821,930. On August 31, 2017, TWi filed a Notice of Appeal to the United States Court of Appeals for the Federal Circuit. The appeal was briefed and oral arguments were heard by the U.S. Court of Appeals for the Federal Circuit on August 6,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17-2164 (RMB)(JS) (D.N.J.)</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received a second Paragraph IV Notice Letter against United States Patent Nos. 7,722,898, 7,910,131, 8,617,600, 8,821,930, 9,119,791, 9,351,975,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9,370,525 from generic drug maker TWi Pharmaceuticals, Inc. on February 16, 2017. On March 31, 2017, we filed a lawsuit against TWi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and TWi International LLC alleging infringement of United States Patent Nos. 7,722,898, 7,910,131, 8,617,600, 8,821,930, 9,119,791,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9,351,975, and 9,370,525. TWi filed a motion to dismiss Supernus’s March 31, 2017 Complaint on May 10, 2017. On May 19, 2017, the Court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“administratively terminate[d] this matter pending this Court’s decision in the First TWi Action [concerning United States Patent Nos. 7,722,898, 7,910,131,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8,617,600, and 8,821,930].” As of the date of this filing, Civil Action No. 17-2164 (RMB)(JS) (D.N.J.) remains administratively terminated.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our consolidated financial statements and related notes, and the additional information in the other reports we file with the Securities and Exchange Commission along with the risks described in our Annual Report on Form 10-K for the year ended December 31, 2017 and Quarterly Report on Form 10-Q for the quarter ended March 31, 2018. These risks may result in material harm to our business and our financial condition and results of operations. In such an eventuality, the market price of our common stock may decline and you could lose part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During the three months ended June 30, 2018, the Company granted options to employees to purchase an aggregate of 35,013 shares of common stock at a weighted-average exercise price of $48.59 per share. Once vested, the options are exercisable for a period of ten years from the grant date. These issuances were exempt from registration in reliance on Section 4(a)(2) of the Securities Act as transactions not involving any public offering.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31.1</w:t>
            </w:r>
          </w:p>
        </w:tc>
        <w:tc>
          <w:tcPr>
            <w:tcW w:w="10500" w:type="dxa"/>
            <w:vAlign w:val="bottom"/>
          </w:tcPr>
          <w:p>
            <w:pPr>
              <w:ind w:left="48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432"/>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31.2</w:t>
            </w:r>
          </w:p>
        </w:tc>
        <w:tc>
          <w:tcPr>
            <w:tcW w:w="10500" w:type="dxa"/>
            <w:vAlign w:val="bottom"/>
          </w:tcPr>
          <w:p>
            <w:pPr>
              <w:ind w:left="48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418"/>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32.1</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30"/>
        </w:trPr>
        <w:tc>
          <w:tcPr>
            <w:tcW w:w="78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of 2002.</w:t>
            </w:r>
          </w:p>
        </w:tc>
      </w:tr>
      <w:tr>
        <w:trPr>
          <w:trHeight w:val="418"/>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32.2</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78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of 2002.</w:t>
            </w:r>
          </w:p>
        </w:tc>
      </w:tr>
    </w:tbl>
    <w:p>
      <w:pPr>
        <w:sectPr>
          <w:pgSz w:w="11900" w:h="16838" w:orient="portrait"/>
          <w:cols w:equalWidth="0" w:num="1">
            <w:col w:w="11420"/>
          </w:cols>
          <w:pgMar w:left="240" w:top="125"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11"/>
          </w:tcPr>
          <w:p>
            <w:pPr>
              <w:ind w:left="22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gridSpan w:val="11"/>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gridSpan w:val="11"/>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gridSpan w:val="11"/>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gridSpan w:val="11"/>
          </w:tcPr>
          <w:p>
            <w:pPr>
              <w:ind w:left="220"/>
              <w:spacing w:after="0"/>
              <w:rPr>
                <w:sz w:val="20"/>
                <w:szCs w:val="20"/>
                <w:color w:val="auto"/>
              </w:rPr>
            </w:pPr>
            <w:r>
              <w:rPr>
                <w:rFonts w:ascii="Arial" w:cs="Arial" w:eastAsia="Arial" w:hAnsi="Arial"/>
                <w:sz w:val="18"/>
                <w:szCs w:val="18"/>
                <w:color w:val="auto"/>
              </w:rPr>
              <w:t>XBRL Taxonomy Extension Label/Linkbase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gridSpan w:val="11"/>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40" w:type="dxa"/>
            <w:vAlign w:val="bottom"/>
          </w:tcPr>
          <w:p>
            <w:pPr>
              <w:spacing w:after="0"/>
              <w:rPr>
                <w:sz w:val="24"/>
                <w:szCs w:val="24"/>
                <w:color w:val="auto"/>
              </w:rPr>
            </w:pPr>
          </w:p>
        </w:tc>
        <w:tc>
          <w:tcPr>
            <w:tcW w:w="5120" w:type="dxa"/>
            <w:vAlign w:val="bottom"/>
            <w:gridSpan w:val="5"/>
          </w:tcPr>
          <w:p>
            <w:pPr>
              <w:ind w:left="458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1460" w:type="dxa"/>
            <w:vAlign w:val="bottom"/>
            <w:gridSpan w:val="1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412"/>
        </w:trPr>
        <w:tc>
          <w:tcPr>
            <w:tcW w:w="10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40" w:type="dxa"/>
            <w:vAlign w:val="bottom"/>
            <w:gridSpan w:val="8"/>
          </w:tcPr>
          <w:p>
            <w:pPr>
              <w:ind w:left="310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Chief Executive Officer pursuant to Rule 13a-14(a).</w:t>
              </w:r>
            </w:hyperlink>
          </w:p>
        </w:tc>
        <w:tc>
          <w:tcPr>
            <w:tcW w:w="5240" w:type="dxa"/>
            <w:vAlign w:val="bottom"/>
            <w:gridSpan w:val="5"/>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Chief Financial Officer pursuant to Rule 13a-14(a).</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0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of 2002.</w:t>
              </w:r>
            </w:hyperlink>
          </w:p>
        </w:tc>
        <w:tc>
          <w:tcPr>
            <w:tcW w:w="9540" w:type="dxa"/>
            <w:vAlign w:val="bottom"/>
            <w:gridSpan w:val="8"/>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of 2002.</w:t>
              </w:r>
            </w:hyperlink>
          </w:p>
        </w:tc>
        <w:tc>
          <w:tcPr>
            <w:tcW w:w="9380" w:type="dxa"/>
            <w:vAlign w:val="bottom"/>
            <w:tcBorders>
              <w:top w:val="single" w:sz="8" w:color="0000EE"/>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Label/Linkbase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40" w:type="dxa"/>
            <w:vAlign w:val="bottom"/>
          </w:tcPr>
          <w:p>
            <w:pPr>
              <w:spacing w:after="0"/>
              <w:rPr>
                <w:sz w:val="24"/>
                <w:szCs w:val="24"/>
                <w:color w:val="auto"/>
              </w:rPr>
            </w:pPr>
          </w:p>
        </w:tc>
        <w:tc>
          <w:tcPr>
            <w:tcW w:w="5120" w:type="dxa"/>
            <w:vAlign w:val="bottom"/>
            <w:gridSpan w:val="5"/>
          </w:tcPr>
          <w:p>
            <w:pPr>
              <w:ind w:left="458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-4291330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-4291330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SUPERNUS PHARMACEUTICALS, INC.</w:t>
      </w:r>
    </w:p>
    <w:p>
      <w:pPr>
        <w:spacing w:after="0" w:line="225" w:lineRule="exact"/>
        <w:rPr>
          <w:sz w:val="20"/>
          <w:szCs w:val="20"/>
          <w:color w:val="auto"/>
        </w:rPr>
      </w:pPr>
    </w:p>
    <w:p>
      <w:pPr>
        <w:ind w:left="5740" w:right="3900" w:hanging="5725"/>
        <w:spacing w:after="0" w:line="258" w:lineRule="auto"/>
        <w:tabs>
          <w:tab w:leader="none" w:pos="572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8"/>
          <w:szCs w:val="18"/>
          <w:color w:val="auto"/>
        </w:rPr>
        <w:t>By: /s/ Jack A. Khattar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-135890</wp:posOffset>
            </wp:positionV>
            <wp:extent cx="3302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President, Secretary and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DATED: August 9, 2018</w:t>
            </w:r>
          </w:p>
        </w:tc>
        <w:tc>
          <w:tcPr>
            <w:tcW w:w="7700" w:type="dxa"/>
            <w:vAlign w:val="bottom"/>
            <w:gridSpan w:val="2"/>
          </w:tcPr>
          <w:p>
            <w:pPr>
              <w:ind w:left="202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82"/>
        </w:trPr>
        <w:tc>
          <w:tcPr>
            <w:tcW w:w="3720" w:type="dxa"/>
            <w:vAlign w:val="bottom"/>
          </w:tcPr>
          <w:p>
            <w:pPr>
              <w:spacing w:after="0"/>
              <w:rPr>
                <w:sz w:val="15"/>
                <w:szCs w:val="15"/>
                <w:color w:val="auto"/>
              </w:rPr>
            </w:pPr>
          </w:p>
        </w:tc>
        <w:tc>
          <w:tcPr>
            <w:tcW w:w="2500" w:type="dxa"/>
            <w:vAlign w:val="bottom"/>
          </w:tcPr>
          <w:p>
            <w:pPr>
              <w:ind w:left="2020"/>
              <w:spacing w:after="0" w:line="182" w:lineRule="exact"/>
              <w:rPr>
                <w:sz w:val="20"/>
                <w:szCs w:val="20"/>
                <w:color w:val="auto"/>
              </w:rPr>
            </w:pPr>
            <w:r>
              <w:rPr>
                <w:rFonts w:ascii="Arial" w:cs="Arial" w:eastAsia="Arial" w:hAnsi="Arial"/>
                <w:sz w:val="18"/>
                <w:szCs w:val="18"/>
                <w:color w:val="auto"/>
                <w:w w:val="70"/>
              </w:rPr>
              <w:t>Gregory</w:t>
            </w:r>
          </w:p>
        </w:tc>
        <w:tc>
          <w:tcPr>
            <w:tcW w:w="520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S. Patrick</w:t>
            </w:r>
          </w:p>
        </w:tc>
        <w:tc>
          <w:tcPr>
            <w:tcW w:w="40" w:type="dxa"/>
            <w:vAlign w:val="bottom"/>
          </w:tcPr>
          <w:p>
            <w:pPr>
              <w:spacing w:after="0"/>
              <w:rPr>
                <w:sz w:val="15"/>
                <w:szCs w:val="15"/>
                <w:color w:val="auto"/>
              </w:rPr>
            </w:pPr>
          </w:p>
        </w:tc>
      </w:tr>
      <w:tr>
        <w:trPr>
          <w:trHeight w:val="230"/>
        </w:trPr>
        <w:tc>
          <w:tcPr>
            <w:tcW w:w="3720" w:type="dxa"/>
            <w:vAlign w:val="bottom"/>
          </w:tcPr>
          <w:p>
            <w:pPr>
              <w:spacing w:after="0"/>
              <w:rPr>
                <w:sz w:val="20"/>
                <w:szCs w:val="20"/>
                <w:color w:val="auto"/>
              </w:rPr>
            </w:pPr>
          </w:p>
        </w:tc>
        <w:tc>
          <w:tcPr>
            <w:tcW w:w="7700" w:type="dxa"/>
            <w:vAlign w:val="bottom"/>
            <w:gridSpan w:val="2"/>
          </w:tcPr>
          <w:p>
            <w:pPr>
              <w:ind w:left="2020"/>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A. Khattar,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40" w:firstLine="656"/>
        <w:spacing w:after="0" w:line="264"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42" w:lineRule="auto"/>
        <w:tabs>
          <w:tab w:leader="none" w:pos="130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20" w:firstLine="656"/>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80" w:firstLine="656"/>
        <w:spacing w:after="0" w:line="308" w:lineRule="auto"/>
        <w:tabs>
          <w:tab w:leader="none" w:pos="129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20" w:val="left"/>
          <w:tab w:leader="none" w:pos="62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Patrick,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40" w:firstLine="656"/>
        <w:spacing w:after="0" w:line="264"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42" w:lineRule="auto"/>
        <w:tabs>
          <w:tab w:leader="none" w:pos="130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20" w:firstLine="656"/>
        <w:spacing w:after="0" w:line="264"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4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80" w:firstLine="656"/>
        <w:spacing w:after="0" w:line="308" w:lineRule="auto"/>
        <w:tabs>
          <w:tab w:leader="none" w:pos="129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20" w:val="left"/>
          <w:tab w:leader="none" w:pos="62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Supernus Pharmaceuticals, Inc. (the “Company”) on Form 10-Q for the period ended June 30, 2018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8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63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32416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June 30, 2018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6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63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32416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2019-12-28T19:55:08Z</dcterms:created>
  <dcterms:modified xsi:type="dcterms:W3CDTF">2019-12-28T19:55:08Z</dcterms:modified>
</cp:coreProperties>
</file>