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4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ind w:left="1260"/>
        <w:spacing w:after="0" w:line="207" w:lineRule="exact"/>
        <w:tabs>
          <w:tab w:leader="none" w:pos="3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25"/>
          <w:szCs w:val="25"/>
          <w:b w:val="1"/>
          <w:bCs w:val="1"/>
          <w:color w:val="auto"/>
        </w:rPr>
        <w:t>SUPERNUS PHARMACEUTICALS, INC.</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118745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(Name of the Registrant as Specified In Its Charter)</w:t>
      </w:r>
    </w:p>
    <w:p>
      <w:pPr>
        <w:spacing w:after="0" w:line="14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3322320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9715 Key West Avenue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(301) 838-2500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VIRTUAL MEETING ONLY</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 BE HELD AT 10:00 A.M. EDT, ON</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the Stockholders of Supernus Pharmaceuticals, Inc.: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NOTICE IS HEREBY GIVEN THAT the 2026 Annual Meeting of the Stockholders of Supernus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Pharmaceuticals, Inc., a Delaware corporation (Supernus), will be held on Tuesday, June 18, 2026,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 A.M. Eastern Daylight Time. The meeting will be held virtually by means of a live webcast and you</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be able to attend the Annual Meeting online, vote your shares electronically and submit your questions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prior to and during the meeting by visiting meetnow.global/MU94RGM on the meeting date and at the time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 forth above. There is no physical location for the Annual Meeting. Your attendance at the virtual Annual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affords you the same rights and opportunities to participate as you would have at an in-person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annual meeting.</w:t>
      </w:r>
    </w:p>
    <w:p>
      <w:pPr>
        <w:spacing w:after="0" w:line="126"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At the 2026 Annual Meeting of Stockholders, you will be asked to consider and vote upon the following matters:</w:t>
      </w:r>
    </w:p>
    <w:p>
      <w:pPr>
        <w:spacing w:after="0" w:line="94" w:lineRule="exact"/>
        <w:rPr>
          <w:sz w:val="20"/>
          <w:szCs w:val="20"/>
          <w:color w:val="auto"/>
        </w:rPr>
      </w:pPr>
    </w:p>
    <w:p>
      <w:pPr>
        <w:ind w:left="1980" w:right="6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directors to hold office for the ensuing three (3) years and until their successors have been duly elected and qualified;</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paid to our named executive officers;</w:t>
      </w:r>
    </w:p>
    <w:p>
      <w:pPr>
        <w:spacing w:after="0" w:line="144"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2026;</w:t>
      </w:r>
    </w:p>
    <w:p>
      <w:pPr>
        <w:spacing w:after="0" w:line="94"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 proposal to amend the Supernus Pharmaceuticals, Inc. 2021 Equity Incentive Plan to increase the number of shares available under the plan; and</w:t>
      </w:r>
    </w:p>
    <w:p>
      <w:pPr>
        <w:spacing w:after="0" w:line="94" w:lineRule="exact"/>
        <w:rPr>
          <w:rFonts w:ascii="Times New Roman" w:cs="Times New Roman" w:eastAsia="Times New Roman" w:hAnsi="Times New Roman"/>
          <w:sz w:val="18"/>
          <w:szCs w:val="18"/>
          <w:color w:val="auto"/>
        </w:rPr>
      </w:pPr>
    </w:p>
    <w:p>
      <w:pPr>
        <w:ind w:left="1980" w:right="127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adjournments thereof.</w:t>
      </w:r>
    </w:p>
    <w:p>
      <w:pPr>
        <w:spacing w:after="0" w:line="8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29, 2026,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w:t>
      </w:r>
    </w:p>
    <w:p>
      <w:pPr>
        <w:spacing w:after="0" w:line="336"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SOLICITING PROXIES TO BE USED AT THE 2026 ANNUAL MEETING OF STOCKHOLDERS. ALL OF OUR STOCKHOLDERS ARE CORDIALLY INVITED TO ATTEND THE ANNUAL MEETING VIRTUALLY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IN ADVANCE WILL NOT AFFECT YOUR RIGHT TO VOTE AT THE ANNUAL MEETING IF YOU ATTEND VIRTUALLY VIA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581660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IMPORTANT NOTICE REGARDING THE AVAILABILITY OF PROXY MATERIALS FOR THE ANNUAL MEETING OF STOCKHOLDERS TO BE HELD ON JUNE 18, 2026. THE NOTICE OF THE ANNUAL MEETING OF STOCKHOLDERS, PROXY STATEMENT AND 2025 ANNUAL REPORT TO STOCKHOLDERS ARE AVAILABLE AT: www.edocumentview.com/SUPN.</w:t>
      </w:r>
    </w:p>
    <w:p>
      <w:pPr>
        <w:spacing w:after="0" w:line="1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137160</wp:posOffset>
            </wp:positionV>
            <wp:extent cx="12084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Jack A. Khattar, </w:t>
      </w:r>
      <w:r>
        <w:rPr>
          <w:rFonts w:ascii="Times New Roman" w:cs="Times New Roman" w:eastAsia="Times New Roman" w:hAnsi="Times New Roman"/>
          <w:sz w:val="18"/>
          <w:szCs w:val="18"/>
          <w:i w:val="1"/>
          <w:iCs w:val="1"/>
          <w:color w:val="auto"/>
        </w:rPr>
        <w:t>Secretary</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6305550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9715 Key West Avenue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Rockville, MD 20850</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(301) 838-2500</w:t>
      </w: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DATED APRIL 30, 2026</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with the attached Notice of Annual Meeting on or about April 30, 2026, to each stockholder of record of Supernus Pharmaceuticals, Inc. (Supernus or the Company) as of the close of business on April 29, 2026 (the “Record Date”), in connection with the solicitation of proxies by the Board of Directors to be voted at the Annual Meeting of Stockholders (Annual Meeting) of the Company to be held virtually via a webcast on June 18, 2026, at 10:00 A.M. Eastern Daylight Time, and at any adjournment or adjournments thereof for the purposes stated below.</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the Record Date will be entitled to vote on all matters presented for vote at the Annual Meeting. At the close of business on April 29, 2026, the total number of shares of our common stock (Common Stock) outstanding was 58,039,721 shares. Each share of Common Stock will be entitled to one vote per share on all business to come before the Annual Meeting.</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or about May 7, 2026, we will mail to stockholders a Notice Regarding the Availability of Proxy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Materials. Stockholders may access the proxy materials, which include the Notice of Annual Meeting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Proxy Statement and 2025 Annual Report on the Internet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www.edocumentview.com/ SUPN. You can also request that a paper copy of the proxy materials be mailed</w:t>
      </w:r>
    </w:p>
    <w:p>
      <w:pPr>
        <w:spacing w:after="0" w:line="9"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to you free of charge via the Internet at www.investorvote.com/SUPN, by toll-free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1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You will be able to attend the Annual Meeting online and submit your questions during the meeting by visiting meetnow.global/MU94RGM.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w:t>
      </w:r>
    </w:p>
    <w:p>
      <w:pPr>
        <w:spacing w:after="0" w:line="10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online meeting will begin promptly at 10:00 A.M. Eastern Daylight Time, on June 18, 2026. We encourage you to access the meeting prior to the start time leaving ample time for the check in process. Please follow the registration instructions as outlined in this Proxy Statement.</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live webcast and listen-only audio. If you encounter any difficulties accessing the live webcast and listen-only audio before or during the Annual Meeting, please call Local 1-888-724-2416 or International +1 781-575-2748. (toll free). Technical support will be available starting at 9:00 A.M. Eastern Daylight Time, on June 18, 2026, and will remain available until thirty minutes after the Annual Meeting has finished. The virtual meeting platform is fully supported across browsers (Edge, Firefox, Chrome, and Safari) and devices (desktops, laptops, tablets, and cell phones) running the most updated version of applicable software and plugins. Participants should ensure that they have a strong and reliable internet connection wherever they intend to participate in the Annual Meeting. Participants should also give themselves sufficient time to log in and ensure that they can hear audio prior to the start of the Annual Meeting.</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If you are a registered shareholder (i.e., you hold your shares through our transfer agent, Computershare), you do not need to register to attend the Annual Meeting virtually on the Internet. Please follow the instructions on the Notice card that you received.</w:t>
      </w:r>
    </w:p>
    <w:p>
      <w:pPr>
        <w:spacing w:after="0" w:line="10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15, 2026.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12080" cy="1491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491615"/>
                    </a:xfrm>
                    <a:prstGeom prst="rect">
                      <a:avLst/>
                    </a:prstGeom>
                    <a:noFill/>
                  </pic:spPr>
                </pic:pic>
              </a:graphicData>
            </a:graphic>
          </wp:anchor>
        </w:drawing>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VOLUNTARY ELECTRONIC RECEIPT OF PROXY MATERIALS</w:t>
      </w:r>
    </w:p>
    <w:p>
      <w:pPr>
        <w:spacing w:after="0" w:line="121" w:lineRule="exact"/>
        <w:rPr>
          <w:sz w:val="20"/>
          <w:szCs w:val="20"/>
          <w:color w:val="auto"/>
        </w:rPr>
      </w:pPr>
    </w:p>
    <w:p>
      <w:pPr>
        <w:jc w:val="both"/>
        <w:ind w:left="1380" w:right="999" w:firstLine="146"/>
        <w:spacing w:after="0" w:line="266" w:lineRule="auto"/>
        <w:rPr>
          <w:sz w:val="20"/>
          <w:szCs w:val="20"/>
          <w:color w:val="auto"/>
        </w:rPr>
      </w:pPr>
      <w:r>
        <w:rPr>
          <w:rFonts w:ascii="Times New Roman" w:cs="Times New Roman" w:eastAsia="Times New Roman" w:hAnsi="Times New Roman"/>
          <w:sz w:val="18"/>
          <w:szCs w:val="18"/>
          <w:color w:val="auto"/>
        </w:rPr>
        <w:t>Supernus is pleased to deliver proxy materials electronically via the internet. Electronic delivery allows Supernus to provide you with the information you need for the Annual Meeting in a fast and convenient medium while reducing costs.</w:t>
      </w:r>
    </w:p>
    <w:p>
      <w:pPr>
        <w:spacing w:after="0" w:line="68" w:lineRule="exact"/>
        <w:rPr>
          <w:sz w:val="20"/>
          <w:szCs w:val="20"/>
          <w:color w:val="auto"/>
        </w:rPr>
      </w:pPr>
    </w:p>
    <w:p>
      <w:pPr>
        <w:ind w:left="1380" w:right="1319" w:firstLine="143"/>
        <w:spacing w:after="0" w:line="282" w:lineRule="auto"/>
        <w:rPr>
          <w:sz w:val="20"/>
          <w:szCs w:val="20"/>
          <w:color w:val="auto"/>
        </w:rPr>
      </w:pPr>
      <w:r>
        <w:rPr>
          <w:rFonts w:ascii="Times New Roman" w:cs="Times New Roman" w:eastAsia="Times New Roman" w:hAnsi="Times New Roman"/>
          <w:sz w:val="18"/>
          <w:szCs w:val="18"/>
          <w:color w:val="auto"/>
        </w:rPr>
        <w:t>We encourage our shareholders to elect to receive all proxy materials (including the notice of availability of such materials) electronically.</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380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5"/>
              </w:rPr>
              <w:t>Shareholders of Record</w:t>
            </w:r>
          </w:p>
        </w:tc>
        <w:tc>
          <w:tcPr>
            <w:tcW w:w="3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4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5"/>
              </w:rPr>
              <w:t>Beneficial Owners</w:t>
            </w:r>
          </w:p>
        </w:tc>
      </w:tr>
      <w:tr>
        <w:trPr>
          <w:trHeight w:val="315"/>
        </w:trPr>
        <w:tc>
          <w:tcPr>
            <w:tcW w:w="38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Enroll at: www.investorvote.com/SUPN</w:t>
            </w:r>
          </w:p>
        </w:tc>
        <w:tc>
          <w:tcPr>
            <w:tcW w:w="3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Enroll by contacting your broker</w:t>
            </w:r>
          </w:p>
        </w:tc>
      </w:tr>
      <w:tr>
        <w:trPr>
          <w:trHeight w:val="108"/>
        </w:trPr>
        <w:tc>
          <w:tcPr>
            <w:tcW w:w="380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bl>
    <w:p>
      <w:pPr>
        <w:spacing w:after="0" w:line="18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QUORUM AND REQUIRED VOTE</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w:t>
      </w:r>
    </w:p>
    <w:p>
      <w:pPr>
        <w:spacing w:after="0" w:line="32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w:t>
      </w:r>
    </w:p>
    <w:p>
      <w:pPr>
        <w:spacing w:after="0" w:line="11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An affirmative vote of the majority of the votes cast, present in person or by proxy at the meeting, is required for the approval of Proposals 2, 3, and 4. Abstentions will have no effect on the outcome of the vote with respect to Proposals 2, 3, and 4 and broker non-votes will have no effect on the outcome of these proposals.</w:t>
      </w:r>
    </w:p>
    <w:p>
      <w:pPr>
        <w:spacing w:after="0" w:line="17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REVOCABILITY OF PROXY</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w:t>
      </w:r>
    </w:p>
    <w:p>
      <w:pPr>
        <w:spacing w:after="0" w:line="10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matters submitted to the stockholders for their approval will not give rise to dissenter’s appraisal rights under Delaware law.</w:t>
      </w:r>
    </w:p>
    <w:p>
      <w:pPr>
        <w:spacing w:after="0" w:line="15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VOTING SECURITIES AND PRINCIPAL STOCKHOLDERS</w:t>
      </w:r>
    </w:p>
    <w:p>
      <w:pPr>
        <w:spacing w:after="0" w:line="162" w:lineRule="exact"/>
        <w:rPr>
          <w:sz w:val="20"/>
          <w:szCs w:val="20"/>
          <w:color w:val="auto"/>
        </w:rPr>
      </w:pPr>
    </w:p>
    <w:p>
      <w:pPr>
        <w:ind w:left="1260" w:right="479" w:firstLine="360"/>
        <w:spacing w:after="0" w:line="219" w:lineRule="exact"/>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April 29, 2026 by: (i) any person who, to our knowledge, owns 5% or more of the Common Stock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w:t>
      </w:r>
    </w:p>
    <w:p>
      <w:pPr>
        <w:spacing w:after="0" w:line="13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29, 2026, are deemed outstanding. These shares, however, are not deemed outstanding for the purposes of computing</w:t>
      </w:r>
    </w:p>
    <w:p>
      <w:pPr>
        <w:spacing w:after="0" w:line="3" w:lineRule="exact"/>
        <w:rPr>
          <w:sz w:val="20"/>
          <w:szCs w:val="20"/>
          <w:color w:val="auto"/>
        </w:rPr>
      </w:pPr>
    </w:p>
    <w:p>
      <w:pPr>
        <w:jc w:val="both"/>
        <w:ind w:left="1260" w:right="439"/>
        <w:spacing w:after="0" w:line="255" w:lineRule="auto"/>
        <w:rPr>
          <w:sz w:val="20"/>
          <w:szCs w:val="20"/>
          <w:color w:val="auto"/>
        </w:rPr>
      </w:pPr>
      <w:r>
        <w:rPr>
          <w:rFonts w:ascii="Times New Roman" w:cs="Times New Roman" w:eastAsia="Times New Roman" w:hAnsi="Times New Roman"/>
          <w:sz w:val="18"/>
          <w:szCs w:val="18"/>
          <w:color w:val="auto"/>
        </w:rPr>
        <w:t>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wp:posOffset>
            </wp:positionV>
            <wp:extent cx="52120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Stockholders:</w:t>
      </w:r>
    </w:p>
    <w:p>
      <w:pPr>
        <w:ind w:left="1260"/>
        <w:spacing w:after="0" w:line="230" w:lineRule="auto"/>
        <w:rPr>
          <w:sz w:val="20"/>
          <w:szCs w:val="20"/>
          <w:color w:val="auto"/>
        </w:rPr>
      </w:pPr>
      <w:r>
        <w:rPr>
          <w:rFonts w:ascii="Times New Roman" w:cs="Times New Roman" w:eastAsia="Times New Roman" w:hAnsi="Times New Roman"/>
          <w:sz w:val="18"/>
          <w:szCs w:val="18"/>
          <w:color w:val="auto"/>
        </w:rPr>
        <w:t>BlackRock, Inc. and its affiliates</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50 Hudson Yards</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488950"/>
                    </a:xfrm>
                    <a:prstGeom prst="rect">
                      <a:avLst/>
                    </a:prstGeom>
                    <a:noFill/>
                  </pic:spPr>
                </pic:pic>
              </a:graphicData>
            </a:graphic>
          </wp:anchor>
        </w:drawing>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3"/>
          <w:szCs w:val="23"/>
          <w:color w:val="auto"/>
          <w:vertAlign w:val="superscript"/>
        </w:rPr>
        <w:t>(2 )</w:t>
      </w:r>
    </w:p>
    <w:p>
      <w:pPr>
        <w:spacing w:after="0" w:line="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Dimensional Fund Advisors LP</w:t>
      </w:r>
      <w:r>
        <w:rPr>
          <w:rFonts w:ascii="Times New Roman" w:cs="Times New Roman" w:eastAsia="Times New Roman" w:hAnsi="Times New Roman"/>
          <w:sz w:val="23"/>
          <w:szCs w:val="23"/>
          <w:color w:val="auto"/>
          <w:vertAlign w:val="superscript"/>
        </w:rPr>
        <w:t>(3 )</w:t>
      </w:r>
    </w:p>
    <w:p>
      <w:pPr>
        <w:spacing w:after="0" w:line="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6300 Bee Cave Road, Building One,</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Austin, TX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488950"/>
                    </a:xfrm>
                    <a:prstGeom prst="rect">
                      <a:avLst/>
                    </a:prstGeom>
                    <a:noFill/>
                  </pic:spPr>
                </pic:pic>
              </a:graphicData>
            </a:graphic>
          </wp:anchor>
        </w:drawing>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Millenium Management LLC and its affiliates</w:t>
      </w:r>
      <w:r>
        <w:rPr>
          <w:rFonts w:ascii="Times New Roman" w:cs="Times New Roman" w:eastAsia="Times New Roman" w:hAnsi="Times New Roman"/>
          <w:sz w:val="23"/>
          <w:szCs w:val="23"/>
          <w:color w:val="auto"/>
          <w:vertAlign w:val="superscript"/>
        </w:rPr>
        <w:t>(4 )</w:t>
      </w:r>
    </w:p>
    <w:p>
      <w:pPr>
        <w:spacing w:after="0" w:line="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399 Park Avenue</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 of 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Common 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5"/>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24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​8,197,023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902"/>
        </w:trPr>
        <w:tc>
          <w:tcPr>
            <w:tcW w:w="1240" w:type="dxa"/>
            <w:vAlign w:val="bottom"/>
          </w:tcPr>
          <w:p>
            <w:pPr>
              <w:ind w:left="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2,764,000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4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4.8%</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769"/>
        </w:trPr>
        <w:tc>
          <w:tcPr>
            <w:tcW w:w="1240" w:type="dxa"/>
            <w:vAlign w:val="bottom"/>
          </w:tcPr>
          <w:p>
            <w:pPr>
              <w:ind w:left="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2,712,341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4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4.7%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769"/>
        </w:trPr>
        <w:tc>
          <w:tcPr>
            <w:tcW w:w="1240" w:type="dxa"/>
            <w:vAlign w:val="bottom"/>
          </w:tcPr>
          <w:p>
            <w:pPr>
              <w:ind w:left="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3,281,615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4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411" w:lineRule="exact"/>
        <w:rPr>
          <w:sz w:val="20"/>
          <w:szCs w:val="20"/>
          <w:color w:val="auto"/>
        </w:rPr>
      </w:pPr>
    </w:p>
    <w:p>
      <w:pPr>
        <w:sectPr>
          <w:pgSz w:w="11900" w:h="16838" w:orient="portrait"/>
          <w:cols w:equalWidth="0" w:num="2">
            <w:col w:w="6000" w:space="720"/>
            <w:col w:w="31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7" w:lineRule="auto"/>
        <w:rPr>
          <w:sz w:val="20"/>
          <w:szCs w:val="20"/>
          <w:color w:val="auto"/>
        </w:rPr>
      </w:pPr>
      <w:r>
        <w:rPr>
          <w:rFonts w:ascii="Times New Roman" w:cs="Times New Roman" w:eastAsia="Times New Roman" w:hAnsi="Times New Roman"/>
          <w:sz w:val="18"/>
          <w:szCs w:val="18"/>
          <w:color w:val="auto"/>
        </w:rPr>
        <w:t>Jack A. Khattar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p>
      <w:pPr>
        <w:ind w:left="1260"/>
        <w:spacing w:after="0" w:line="221" w:lineRule="auto"/>
        <w:rPr>
          <w:sz w:val="20"/>
          <w:szCs w:val="20"/>
          <w:color w:val="auto"/>
        </w:rPr>
      </w:pPr>
      <w:r>
        <w:rPr>
          <w:rFonts w:ascii="Times New Roman" w:cs="Times New Roman" w:eastAsia="Times New Roman" w:hAnsi="Times New Roman"/>
          <w:sz w:val="18"/>
          <w:szCs w:val="18"/>
          <w:color w:val="auto"/>
        </w:rPr>
        <w:t>Timothy C. Dec</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0" w:lineRule="auto"/>
        <w:rPr>
          <w:sz w:val="20"/>
          <w:szCs w:val="20"/>
          <w:color w:val="auto"/>
        </w:rPr>
      </w:pPr>
      <w:r>
        <w:rPr>
          <w:rFonts w:ascii="Times New Roman" w:cs="Times New Roman" w:eastAsia="Times New Roman" w:hAnsi="Times New Roman"/>
          <w:sz w:val="18"/>
          <w:szCs w:val="18"/>
          <w:color w:val="auto"/>
        </w:rPr>
        <w:t>Padmanabh P. Bhatt, Ph.D.</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w:t>
      </w:r>
    </w:p>
    <w:p>
      <w:pPr>
        <w:ind w:left="1260"/>
        <w:spacing w:after="0" w:line="221" w:lineRule="auto"/>
        <w:rPr>
          <w:sz w:val="20"/>
          <w:szCs w:val="20"/>
          <w:color w:val="auto"/>
        </w:rPr>
      </w:pPr>
      <w:r>
        <w:rPr>
          <w:rFonts w:ascii="Times New Roman" w:cs="Times New Roman" w:eastAsia="Times New Roman" w:hAnsi="Times New Roman"/>
          <w:sz w:val="18"/>
          <w:szCs w:val="18"/>
          <w:color w:val="auto"/>
        </w:rPr>
        <w:t>Jonathan Rubin, M.D.</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0" w:lineRule="auto"/>
        <w:rPr>
          <w:sz w:val="20"/>
          <w:szCs w:val="20"/>
          <w:color w:val="auto"/>
        </w:rPr>
      </w:pPr>
      <w:r>
        <w:rPr>
          <w:rFonts w:ascii="Times New Roman" w:cs="Times New Roman" w:eastAsia="Times New Roman" w:hAnsi="Times New Roman"/>
          <w:sz w:val="18"/>
          <w:szCs w:val="18"/>
          <w:color w:val="auto"/>
        </w:rPr>
        <w:t>Frank Mottola</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w:t>
      </w:r>
    </w:p>
    <w:p>
      <w:pPr>
        <w:ind w:left="1260"/>
        <w:spacing w:after="0" w:line="221" w:lineRule="auto"/>
        <w:rPr>
          <w:sz w:val="20"/>
          <w:szCs w:val="20"/>
          <w:color w:val="auto"/>
        </w:rPr>
      </w:pPr>
      <w:r>
        <w:rPr>
          <w:rFonts w:ascii="Times New Roman" w:cs="Times New Roman" w:eastAsia="Times New Roman" w:hAnsi="Times New Roman"/>
          <w:sz w:val="18"/>
          <w:szCs w:val="18"/>
          <w:color w:val="auto"/>
        </w:rPr>
        <w:t>William Todd Horich, Ph.D., MBA</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0" w:lineRule="auto"/>
        <w:rPr>
          <w:sz w:val="20"/>
          <w:szCs w:val="20"/>
          <w:color w:val="auto"/>
        </w:rPr>
      </w:pPr>
      <w:r>
        <w:rPr>
          <w:rFonts w:ascii="Times New Roman" w:cs="Times New Roman" w:eastAsia="Times New Roman" w:hAnsi="Times New Roman"/>
          <w:sz w:val="18"/>
          <w:szCs w:val="18"/>
          <w:color w:val="auto"/>
        </w:rPr>
        <w:t>Carrolee Barlow, M.D., Ph.D.</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w:t>
      </w:r>
    </w:p>
    <w:p>
      <w:pPr>
        <w:ind w:left="1260"/>
        <w:spacing w:after="0" w:line="221" w:lineRule="auto"/>
        <w:rPr>
          <w:sz w:val="20"/>
          <w:szCs w:val="20"/>
          <w:color w:val="auto"/>
        </w:rPr>
      </w:pPr>
      <w:r>
        <w:rPr>
          <w:rFonts w:ascii="Times New Roman" w:cs="Times New Roman" w:eastAsia="Times New Roman" w:hAnsi="Times New Roman"/>
          <w:sz w:val="18"/>
          <w:szCs w:val="18"/>
          <w:color w:val="auto"/>
        </w:rPr>
        <w:t>Georges Gemayel, Ph.D.</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1" w:lineRule="auto"/>
        <w:rPr>
          <w:sz w:val="20"/>
          <w:szCs w:val="20"/>
          <w:color w:val="auto"/>
        </w:rPr>
      </w:pPr>
      <w:r>
        <w:rPr>
          <w:rFonts w:ascii="Times New Roman" w:cs="Times New Roman" w:eastAsia="Times New Roman" w:hAnsi="Times New Roman"/>
          <w:sz w:val="18"/>
          <w:szCs w:val="18"/>
          <w:color w:val="auto"/>
        </w:rPr>
        <w:t>Frederick M. Hudson</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w:t>
      </w:r>
    </w:p>
    <w:p>
      <w:pPr>
        <w:ind w:left="1260"/>
        <w:spacing w:after="0" w:line="220" w:lineRule="auto"/>
        <w:rPr>
          <w:sz w:val="20"/>
          <w:szCs w:val="20"/>
          <w:color w:val="auto"/>
        </w:rPr>
      </w:pPr>
      <w:r>
        <w:rPr>
          <w:rFonts w:ascii="Times New Roman" w:cs="Times New Roman" w:eastAsia="Times New Roman" w:hAnsi="Times New Roman"/>
          <w:sz w:val="18"/>
          <w:szCs w:val="18"/>
          <w:color w:val="auto"/>
        </w:rPr>
        <w:t>Charles W. Newhall, III</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Bethany L. Sensenig</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133350</wp:posOffset>
            </wp:positionV>
            <wp:extent cx="123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4" w:lineRule="exact"/>
        <w:rPr>
          <w:sz w:val="20"/>
          <w:szCs w:val="20"/>
          <w:color w:val="auto"/>
        </w:rPr>
      </w:pPr>
    </w:p>
    <w:p>
      <w:pPr>
        <w:ind w:left="1620" w:hanging="360"/>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0"/>
                <w:szCs w:val="20"/>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​3,934,409</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6.6%</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183,232</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27,044</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110,841</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129,440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95,043</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99,711</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140,752</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204,458</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27,625</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​5,047,055</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8.5%</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630" w:lineRule="exact"/>
        <w:rPr>
          <w:sz w:val="20"/>
          <w:szCs w:val="20"/>
          <w:color w:val="auto"/>
        </w:rPr>
      </w:pPr>
    </w:p>
    <w:p>
      <w:pPr>
        <w:sectPr>
          <w:pgSz w:w="11900" w:h="16838" w:orient="portrait"/>
          <w:cols w:equalWidth="0" w:num="2">
            <w:col w:w="6260" w:space="720"/>
            <w:col w:w="2899"/>
          </w:cols>
          <w:pgMar w:left="580" w:top="97" w:right="1440" w:bottom="1440" w:gutter="0" w:footer="0" w:header="0"/>
          <w:type w:val="continuous"/>
        </w:sectPr>
      </w:pPr>
    </w:p>
    <w:p>
      <w:pPr>
        <w:ind w:left="1620" w:right="439"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a NEO. The NEOs consist of the following: Chief Executive Officer, Jack A. Khattar; Chief Financial Officer, Timothy C. Dec; and the three most highly compensated officers other than the Chief Executive Officer and Chief Financial Officer.</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hanging="360"/>
        <w:spacing w:after="0" w:line="253"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 based on information provided in a Schedule 13G filed by BlackRock, Inc. with the SEC on April 22, 2025. BlackRock, Inc. indirectly holds the shares on behalf of its affiliated investment adviser subsidiaries, consisting of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and BlackRock</w:t>
      </w:r>
    </w:p>
    <w:p>
      <w:pPr>
        <w:ind w:left="162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Managers Ltd. BlackRock, Inc. has sole voting power with respect to 8,092,706 shares and sole dispositive power with respect to 8,197,023 shares.</w:t>
      </w:r>
    </w:p>
    <w:p>
      <w:pPr>
        <w:spacing w:after="0" w:line="46" w:lineRule="exact"/>
        <w:rPr>
          <w:rFonts w:ascii="Times New Roman" w:cs="Times New Roman" w:eastAsia="Times New Roman" w:hAnsi="Times New Roman"/>
          <w:sz w:val="18"/>
          <w:szCs w:val="18"/>
          <w:color w:val="auto"/>
        </w:rPr>
      </w:pPr>
    </w:p>
    <w:p>
      <w:pPr>
        <w:ind w:left="1620" w:right="739" w:hanging="360"/>
        <w:spacing w:after="0" w:line="263"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 based on information provided in a Schedule 13G/A filed by Armistice Capital, LLC with the SEC on February 17, 2026. Armistice Capital, LLC and Steven Boyd are the beneficial owners of 2,764,000 shares and have shared voting and dispositive power with respect to such shares.</w:t>
      </w:r>
    </w:p>
    <w:p>
      <w:pPr>
        <w:spacing w:after="0" w:line="251"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 based on information provided in a Schedule 13G/A filed by Dimensional Fund Advisors LP with the SEC on January 21, 2026. Dimensional Fund Advisors LP has sole voting power with respect to 2,650,157 shares and sole dispositive power with respect to 2,712,341 shares.</w:t>
      </w:r>
    </w:p>
    <w:p>
      <w:pPr>
        <w:spacing w:after="0" w:line="27"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 based on information provided in a Schedule 13G/A filed jointly by Integrated Core Strategies (US) LLC, Millenium Management LLC, Millenium Group Management LLC, and Israel A. Englander with the SEC on February 18, 2026. Each of the entities named as reporting persons in that filing have shared voting and shared dispositive power with respect to 3,281,615 shares.</w:t>
      </w:r>
    </w:p>
    <w:p>
      <w:pPr>
        <w:spacing w:after="0" w:line="44"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958,100 shares of common stock held by KBT Trust and 1,735,165 shares of common stock issuable to Mr. Khattar that may be acquired at or within 60 days of April 29, 2026, pursuant to the exercise of outstanding options.</w:t>
      </w:r>
    </w:p>
    <w:p>
      <w:pPr>
        <w:spacing w:after="0" w:line="27" w:lineRule="exact"/>
        <w:rPr>
          <w:rFonts w:ascii="Times New Roman" w:cs="Times New Roman" w:eastAsia="Times New Roman" w:hAnsi="Times New Roman"/>
          <w:sz w:val="18"/>
          <w:szCs w:val="18"/>
          <w:color w:val="auto"/>
        </w:rPr>
      </w:pPr>
    </w:p>
    <w:p>
      <w:pPr>
        <w:ind w:left="1620" w:right="103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175,000 shares of common stock issuable to Mr. Dec that may be acquired at or within 60 days of April 29, 2026, pursuant to the exercise of outstanding options.</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of common stock issuable to Dr. Bhatt that may be acquired at or within 60 days of April 29, 2026, pursuant to the exercise of outstanding options.</w:t>
      </w:r>
    </w:p>
    <w:p>
      <w:pPr>
        <w:spacing w:after="0" w:line="26" w:lineRule="exact"/>
        <w:rPr>
          <w:rFonts w:ascii="Times New Roman" w:cs="Times New Roman" w:eastAsia="Times New Roman" w:hAnsi="Times New Roman"/>
          <w:sz w:val="18"/>
          <w:szCs w:val="18"/>
          <w:color w:val="auto"/>
        </w:rPr>
      </w:pPr>
    </w:p>
    <w:p>
      <w:pPr>
        <w:ind w:left="1620" w:right="9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97,500 shares of common stock issuable to Dr. Rubin that may be acquired at or within 60 days of April 29, 2026, pursuant to the exercise of outstanding options.</w:t>
      </w:r>
    </w:p>
    <w:p>
      <w:pPr>
        <w:spacing w:after="0" w:line="13"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111,000 shares of common stock issuable to Mr. Mottola that may be acquired at or within 60 days of April 29, 2026, pursuant to the exercise of outstanding options.</w:t>
      </w:r>
    </w:p>
    <w:p>
      <w:pPr>
        <w:spacing w:after="0" w:line="13"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67,998 shares of common stock issuable to Dr. Barlow that may be acquired at or within 60 days of April 29, 2026, pursuant to the exercise of outstanding options.</w:t>
      </w:r>
    </w:p>
    <w:p>
      <w:pPr>
        <w:spacing w:after="0" w:line="26"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72,434 shares of common stock issuable to Dr. Gemayel that may be acquired at or within 60 days of April 29, 2026, pursuant to the exercise of outstanding options.</w:t>
      </w:r>
    </w:p>
    <w:p>
      <w:pPr>
        <w:spacing w:after="0" w:line="13"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80,339 shares of common stock issuable to Mr. Hudson that may be acquired at or within 60 days of April 29, 2026, pursuant to the exercise of outstanding options.</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80,339 shares of common stock issuable to Mr. Newhall that may be acquired at or within 60 days of April 29, 2026, pursuant to the exercise of outstanding options.</w:t>
      </w:r>
    </w:p>
    <w:p>
      <w:pPr>
        <w:spacing w:after="0" w:line="26"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27,625 shares of common stock issuable to Ms. Sensenig that may be acquired at or within 60 days of April 29, 2026, pursuant to the exercise of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 directors will expire at the 2028 Annual Meeting of Stockholders, the term of the Class II directors will expire at the 2026 Annual Meeting of Stockholders, and the term of the Class III directors will expire at the 2027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Board of Directors shall not be fewer than five and not more than 15 members. At our Annual Meeting, two directors are to be elected. The Board of Directors recommends that stockholders elect Frederick M. Hudson and Charles W. Newhall, III to hold office until the 2029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Each of the nominees named below was re-elected as a director at the Annual Meeting of Stockholders held on June 16, 2023.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below the name, age, and service dates of each member of our Board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w:t>
      </w:r>
    </w:p>
    <w:p>
      <w:pPr>
        <w:sectPr>
          <w:pgSz w:w="11900" w:h="16838" w:orient="portrait"/>
          <w:cols w:equalWidth="0" w:num="1">
            <w:col w:w="9879"/>
          </w:cols>
          <w:pgMar w:left="580" w:top="97" w:right="1440" w:bottom="1440" w:gutter="0" w:footer="0" w:header="0"/>
        </w:sectPr>
      </w:pP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Class I Directors (Term maturing in 2028)</w:t>
      </w:r>
    </w:p>
    <w:p>
      <w:pPr>
        <w:spacing w:after="0" w:line="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Carrolee Barlow, M.D., Ph.D.</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Jack A. Khattar</w:t>
      </w:r>
    </w:p>
    <w:p>
      <w:pPr>
        <w:spacing w:after="0" w:line="1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Class II Directors (Term maturing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Frederick M. Hudson</w:t>
      </w:r>
      <w:r>
        <w:rPr>
          <w:rFonts w:ascii="Times New Roman" w:cs="Times New Roman" w:eastAsia="Times New Roman" w:hAnsi="Times New Roman"/>
          <w:sz w:val="23"/>
          <w:szCs w:val="23"/>
          <w:color w:val="auto"/>
          <w:vertAlign w:val="superscript"/>
        </w:rPr>
        <w:t>(2)(3)</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Charles W. Newhall, III</w:t>
      </w:r>
      <w:r>
        <w:rPr>
          <w:rFonts w:ascii="Times New Roman" w:cs="Times New Roman" w:eastAsia="Times New Roman" w:hAnsi="Times New Roman"/>
          <w:sz w:val="23"/>
          <w:szCs w:val="23"/>
          <w:color w:val="auto"/>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231775"/>
                    </a:xfrm>
                    <a:prstGeom prst="rect">
                      <a:avLst/>
                    </a:prstGeom>
                    <a:noFill/>
                  </pic:spPr>
                </pic:pic>
              </a:graphicData>
            </a:graphic>
          </wp:anchor>
        </w:drawing>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maturing in 2027):</w:t>
      </w:r>
    </w:p>
    <w:p>
      <w:pPr>
        <w:spacing w:after="0" w:line="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Georges Gemayel, Ph.D.</w:t>
      </w:r>
      <w:r>
        <w:rPr>
          <w:rFonts w:ascii="Times New Roman" w:cs="Times New Roman" w:eastAsia="Times New Roman" w:hAnsi="Times New Roman"/>
          <w:sz w:val="23"/>
          <w:szCs w:val="23"/>
          <w:color w:val="auto"/>
          <w:vertAlign w:val="superscript"/>
        </w:rPr>
        <w:t>(1)(2)(3)(4)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Bethany L. Sensenig</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Director Since </w:t>
      </w:r>
      <w:r>
        <w:rPr>
          <w:rFonts w:ascii="Times New Roman" w:cs="Times New Roman" w:eastAsia="Times New Roman" w:hAnsi="Times New Roman"/>
          <w:sz w:val="28"/>
          <w:szCs w:val="28"/>
          <w:b w:val="1"/>
          <w:bCs w:val="1"/>
          <w:color w:val="auto"/>
          <w:vertAlign w:val="subscript"/>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79"/>
        </w:trPr>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​62 ​​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2018</w:t>
            </w:r>
          </w:p>
        </w:tc>
        <w:tc>
          <w:tcPr>
            <w:tcW w:w="160" w:type="dxa"/>
            <w:vAlign w:val="bottom"/>
          </w:tcPr>
          <w:p>
            <w:pPr>
              <w:spacing w:after="0"/>
              <w:rPr>
                <w:sz w:val="24"/>
                <w:szCs w:val="24"/>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​64 ​​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2005</w:t>
            </w:r>
          </w:p>
        </w:tc>
        <w:tc>
          <w:tcPr>
            <w:tcW w:w="160" w:type="dxa"/>
            <w:vAlign w:val="bottom"/>
          </w:tcPr>
          <w:p>
            <w:pPr>
              <w:spacing w:after="0"/>
              <w:rPr>
                <w:sz w:val="22"/>
                <w:szCs w:val="22"/>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​80 ​​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2010</w:t>
            </w:r>
          </w:p>
        </w:tc>
        <w:tc>
          <w:tcPr>
            <w:tcW w:w="160" w:type="dxa"/>
            <w:vAlign w:val="bottom"/>
          </w:tcPr>
          <w:p>
            <w:pPr>
              <w:spacing w:after="0"/>
              <w:rPr>
                <w:sz w:val="24"/>
                <w:szCs w:val="24"/>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​81 ​​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2005</w:t>
            </w:r>
          </w:p>
        </w:tc>
        <w:tc>
          <w:tcPr>
            <w:tcW w:w="160" w:type="dxa"/>
            <w:vAlign w:val="bottom"/>
          </w:tcPr>
          <w:p>
            <w:pPr>
              <w:spacing w:after="0"/>
              <w:rPr>
                <w:sz w:val="24"/>
                <w:szCs w:val="24"/>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​65 ​​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2015</w:t>
            </w:r>
          </w:p>
        </w:tc>
        <w:tc>
          <w:tcPr>
            <w:tcW w:w="160" w:type="dxa"/>
            <w:vAlign w:val="bottom"/>
          </w:tcPr>
          <w:p>
            <w:pPr>
              <w:spacing w:after="0"/>
              <w:rPr>
                <w:sz w:val="24"/>
                <w:szCs w:val="24"/>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 ​50 ​​ ​</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18"/>
                <w:szCs w:val="18"/>
                <w:color w:val="auto"/>
                <w:w w:val="94"/>
              </w:rPr>
              <w:t>2023</w:t>
            </w:r>
          </w:p>
        </w:tc>
        <w:tc>
          <w:tcPr>
            <w:tcW w:w="160" w:type="dxa"/>
            <w:vAlign w:val="bottom"/>
          </w:tcPr>
          <w:p>
            <w:pPr>
              <w:spacing w:after="0"/>
              <w:rPr>
                <w:sz w:val="24"/>
                <w:szCs w:val="24"/>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860" w:space="720"/>
            <w:col w:w="22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committee composition of our Board of Directors: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Governance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Independent</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2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Nominating</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Science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228"/>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Charles W. Newhall III  </w:t>
            </w:r>
          </w:p>
        </w:tc>
        <w:tc>
          <w:tcPr>
            <w:tcW w:w="2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3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Carrolee Barlow, M.D., Ph.D.</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Frederick M. Hudson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Jack A. Khattar</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Bethany L. Sensenig</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1180" w:type="dxa"/>
            <w:vAlign w:val="bottom"/>
            <w:gridSpan w:val="2"/>
          </w:tcPr>
          <w:p>
            <w:pPr>
              <w:spacing w:after="0"/>
              <w:rPr>
                <w:sz w:val="19"/>
                <w:szCs w:val="19"/>
                <w:color w:val="auto"/>
              </w:rPr>
            </w:pPr>
          </w:p>
        </w:tc>
        <w:tc>
          <w:tcPr>
            <w:tcW w:w="2340" w:type="dxa"/>
            <w:vAlign w:val="bottom"/>
            <w:gridSpan w:val="4"/>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 Independent Director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Chairperson</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 Member</w:t>
            </w:r>
          </w:p>
        </w:tc>
        <w:tc>
          <w:tcPr>
            <w:tcW w:w="23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Chairman of the Board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-1722120</wp:posOffset>
            </wp:positionV>
            <wp:extent cx="12001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12890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-1731010</wp:posOffset>
            </wp:positionV>
            <wp:extent cx="12890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-1731010</wp:posOffset>
            </wp:positionV>
            <wp:extent cx="11112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-1731010</wp:posOffset>
            </wp:positionV>
            <wp:extent cx="17145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-1482090</wp:posOffset>
            </wp:positionV>
            <wp:extent cx="12890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-1482090</wp:posOffset>
            </wp:positionV>
            <wp:extent cx="17145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-1482090</wp:posOffset>
            </wp:positionV>
            <wp:extent cx="11112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-1233805</wp:posOffset>
            </wp:positionV>
            <wp:extent cx="1289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-1233805</wp:posOffset>
            </wp:positionV>
            <wp:extent cx="17145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-1233805</wp:posOffset>
            </wp:positionV>
            <wp:extent cx="17145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-1233805</wp:posOffset>
            </wp:positionV>
            <wp:extent cx="17145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-1233805</wp:posOffset>
            </wp:positionV>
            <wp:extent cx="11112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-984885</wp:posOffset>
            </wp:positionV>
            <wp:extent cx="12890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-984885</wp:posOffset>
            </wp:positionV>
            <wp:extent cx="11112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-984885</wp:posOffset>
            </wp:positionV>
            <wp:extent cx="17145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-573405</wp:posOffset>
            </wp:positionV>
            <wp:extent cx="12890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-573405</wp:posOffset>
            </wp:positionV>
            <wp:extent cx="17145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-161925</wp:posOffset>
            </wp:positionV>
            <wp:extent cx="11112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2890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-161925</wp:posOffset>
            </wp:positionV>
            <wp:extent cx="17145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2890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-153670</wp:posOffset>
            </wp:positionV>
            <wp:extent cx="12001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 brief biography of each nominee for election of director and a discussion of the specific experience, qualifications, attributes or skills that led the Board of Directors to select that director for nomination.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II Directors with Term of Office Expiring in 2026:</w:t>
      </w:r>
    </w:p>
    <w:p>
      <w:pPr>
        <w:spacing w:after="0" w:line="14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Frederick M. Hudson </w:t>
      </w:r>
      <w:r>
        <w:rPr>
          <w:rFonts w:ascii="Times New Roman" w:cs="Times New Roman" w:eastAsia="Times New Roman" w:hAnsi="Times New Roman"/>
          <w:sz w:val="18"/>
          <w:szCs w:val="18"/>
          <w:color w:val="auto"/>
        </w:rPr>
        <w:t>has served as a member of our Board of Directors and chair of the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since 2010. Mr. Hudson retired as a partner in the accounting firm of KPMG LLP in 2006 after a 37 year career with the firm. 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Mid-Atlantic area of KPMG, and served as national account lead partner and venture capital liaison partner. From 2018 to 2025, Mr. Hudson was on the board of directors of scPharmaceuticals, Inc., a publicly traded pharmaceutical company acquired by MannKind Corporation, and was also chair of the audit committee. From 2014 to 2019, Mr. Hudson was on the board of directors of Aradigm Corporation, a publicly traded specialty pharmaceutical company, and was also chair of the audit committee and a member of several other board committees. He is a director of GBMC Healthcare, Inc. and its affiliate, Greater Baltimore Medical Center, serving as chair of the board from 2019-2022, and previously as chair of the finance committee and audit committee. He was previously on the board of directors and the audit committee chair of Educate, Inc., Woodhaven Holding Corp., Vicor Technologies, Inc., and Paradigm Management Services LLC; and as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qualifies him to serve as a director.</w:t>
      </w:r>
    </w:p>
    <w:p>
      <w:pPr>
        <w:spacing w:after="0" w:line="32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W. Newhall, III </w:t>
      </w:r>
      <w:r>
        <w:rPr>
          <w:rFonts w:ascii="Times New Roman" w:cs="Times New Roman" w:eastAsia="Times New Roman" w:hAnsi="Times New Roman"/>
          <w:sz w:val="18"/>
          <w:szCs w:val="18"/>
          <w:color w:val="auto"/>
        </w:rPr>
        <w:t>has served as a member of our Board of Directors since 2005 and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since August 2016. In 1977, Mr. Newhall co-founded New Enterprise Associates (NEA), a venture capital firm that focuses on the medical and life sciences and information technology industries, from which he retired effective December 31, 2012. To date, Mr. Newhall has served as a director of over approximately 60 venture-backed companies. In 1986, he founded the Mid-Atlantic Venture Capital Association (MAVA). He served as an advisor to Greenspring Associates from 2012 to 2021.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the Class I nominees to the Board of Directors named above.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I Directors Continuing for Term of Office Expiring in 2028:</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Carrolee Barlow, M.D., Ph.D.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of Directors since 2018. Dr. Barlow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renowned expert in neuroscience and neurodegeneration, rare diseases and clinical development of new therapies. Dr. Barlow serves as Consulting Chief Medical Officer to several companies. Most recently, she was the Chief Medical Officer of Arialys, a position she held from August 2023 to March 2024. Prior to assuming that role, she served as Chief Medical Officer of EScape Bio, a position she held from</w:t>
      </w:r>
    </w:p>
    <w:p>
      <w:pPr>
        <w:spacing w:after="0" w:line="3"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January 2019 to August 2022.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since 2008 Dr. Barlow has also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served as a member of the board of directors of Orphazyme A/S, a publicly traded company, and on the scientific advisory boards of ReCode Therapeutics, Kainos Medicine, CIONIC,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w:t>
      </w:r>
    </w:p>
    <w:p>
      <w:pPr>
        <w:spacing w:after="0" w:line="200" w:lineRule="exact"/>
        <w:rPr>
          <w:sz w:val="20"/>
          <w:szCs w:val="20"/>
          <w:color w:val="auto"/>
        </w:rPr>
      </w:pPr>
    </w:p>
    <w:p>
      <w:pPr>
        <w:spacing w:after="0" w:line="36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A. Khattar </w:t>
      </w:r>
      <w:r>
        <w:rPr>
          <w:rFonts w:ascii="Times New Roman" w:cs="Times New Roman" w:eastAsia="Times New Roman" w:hAnsi="Times New Roman"/>
          <w:sz w:val="18"/>
          <w:szCs w:val="18"/>
          <w:color w:val="auto"/>
        </w:rPr>
        <w:t>is the founder of our Company and has served as our President,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Mr. Khattar’s leadership and his executive, managerial, business and pharmaceutical company experience, along with his more than 35 years of industry experience in the development and commercialization of pharmaceutical products and drug delivery technologies, qualify him to be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III Directors Continuing for Term of Office Expiring in 2027:</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Bethany L. Sensenig </w:t>
      </w:r>
      <w:r>
        <w:rPr>
          <w:rFonts w:ascii="Times New Roman" w:cs="Times New Roman" w:eastAsia="Times New Roman" w:hAnsi="Times New Roman"/>
          <w:sz w:val="18"/>
          <w:szCs w:val="18"/>
          <w:color w:val="auto"/>
        </w:rPr>
        <w:t>has served as a member of our Board of Directors since August 2023. Ms. Sensenig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most recently Chief Financial Officer and Head of Operations of Radius Health, Inc., a commercial stage company focused on osteoporosis and bone health, where she played a critical leadership role in the growth, financial performance, and sale of the company. As of April 2026, Ms. Sensenig serves on the Board of Directors of Alpha Cognition, a publicly traded company. Since 2025, Ms. Sensenig also serves as a member of the Board of Directors of Kalvista Pharmaceuticals, Inc., a publicly traded corporation. From January 2022 through July 2023, she was Chief Financial Officer and Interim Chief Executive Officer of 9 Meters Biopharma, a clinical-stage biotechnology company. 9 Meters Biopharma filed for bankruptcy in July 2023. Prior to that, Ms. Sensenig was Chief Financial Officer and Head of U.S. Operations of Minovia Therapeutics, Ltd., a clinical-stage cell therapy company, where she played a critical leadership role in building the company’s business and financing strategy. She spent 13 years at Biogen Inc., a multinational biotechnology company, where she held several positions of increasing responsibility, the latest of which was Vice President of Finance and Commercial Operations. Ms. Sensenig has led or played key roles in numerous transactions and acquisition-related deals throughout her career and had direct P&amp;L accountability at Biogen for upwards of $1 billion in annual revenue across 30 countries spanning the U.S., Asia-Pacific, Latin America and Europe. Earlier in her career, Ms. Sensenig held financial management and analyst roles at Merck &amp; Co. Inc. and Nexus Technologies, Inc. Ms. Sensenig holds a Bachelor of Science in Accounting and Business Management from Montreat College, a Master of Business Administration from Western Carolina University and is a Certified Management Accountant. Ms. Sensenig’s substantial business and strategic financial leadership experience in the pharmaceutical and biotechnology sectors qualifies her to serve as a director.</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Georges Gemayel, Ph.D.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of Directors since 2015. From</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2011 to December 2012, Dr. Gemayel served as Executive Chairman of Syndexa Pharmaceuticals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 a privately held drug development company. Prior to that, in 2010, Dr. Gemayel served as Executive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Chairman of FoldRx until its acquisition by Pfizer. From June 2008 until November 2009, Dr. Gemayel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served as President and Chief Executive Officer of Altus Pharmaceuticals, a publicly traded pharmaceutical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From 2003 to 2008, he was Executive Vice President at Genzyme Corporation where he was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responsible for Genzyme’s global therapeutics, transplant, renal and biosurgery businesses. From 2000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2003, Dr. Gemayel was employed as Vice President National Specialty Care for Hoffmann La-Roche,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responsible for its U.S. business for dermatology, oncology, transplantation, hepatitis and HIV. Dr. Gemayel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joined Hoffmann-La Roche in 1988 and served in various positions of increasing responsibility over 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tenure there. Dr. Gemayel received his doctorate in pharmacy from St. Joseph University in Beirut, Lebanon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his Ph.D. in Pharmacology from Paris-Sud University in Paris. France. Dr. Gemayel currently serves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Chairman of the board of directors of GlycoEra AG a privately held company, as well as serving as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of Disc Medicine Inc., a publicly traded company. He was previously a director of Flamingo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Therapeutics, a privately held company, Adolor Corporation, a publicly traded company, acquired by Cubist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Pharmaceuticals. Inc., a director at Prosensa, acquired by Biomarin, a director at NPS, acquired by Shire,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of Epitherapeutics, acquired by Gilead, a director of Raptor Pharmaceutical Corp., acquired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Horizon Pharma plc, the Chairman of Enterome Bioscience SA and Dimension Therapeutics, acquired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Ultragenyx, a director of Momenta Pharmaceuticals, a publicly traded company acquired by Johnson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Johnson, the Executive Chairman of Gemini Therapeutics, which merged with Disc Medicine Inc.,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Chairman of Dynacure, which merged with Flamingo Therapeutics, and the Chairman of Vascular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Magnetics and Oxthera AB, both privately owned companies. Dr. Gemayel’s substantial experience 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boards of directors of life science and healthcare companies and his over 35 years of experience in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pharmaceutical industry, including management and executive positions spanning the United States, Europe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the Middle East, qualify him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have a code of ethics and business conduct (the “Code of Ethics”) that applies to all of our employees, officers and directors, including those officers responsible for financial reporting. A copy of the Code of Ethics is currently available at ir.supernus.com/corporate-governance. Supernus will publicly disclose any waivers or amendments to the Code of Ethics that apply to the Chief Executive Officer (CEO) and senior financial officers pursuant to the requirements of the SEC.</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currently consists of six members. Our Class I directors were elected by our stockholders at the 2025 Annual Meeting of Stockholders, our Class II directors were elected by our stockholders at the 2023 Annual Meeting of Stockholders, and our Class III directors were elected by our stockholders at the 2024 Annual Meeting of Stockholders. Our Governance and Nominating Committee and Board of Directors may consider a broad range of factors relating to the qualifications and background of nominees.</w:t>
      </w:r>
    </w:p>
    <w:p>
      <w:pPr>
        <w:spacing w:after="0" w:line="11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Governance and Nominating Committee’s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w:t>
      </w:r>
    </w:p>
    <w:p>
      <w:pPr>
        <w:spacing w:after="0" w:line="32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Nasdaq Stock Market does not require us to disclose demographic information about the members of our Board of Directors. On an aggregate basis, the Board of Directors considers 67% of its members to be diverse, taking into account gender, race, ethnicity, and national origin.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Director Qualifications, Nominating Process and Stockholder Nominations</w:t>
      </w:r>
    </w:p>
    <w:p>
      <w:pPr>
        <w:spacing w:after="0" w:line="162"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Members of our Board of Directors should meet certain minimum qualifications including being at least 21 years old and possessing (1) the ability to read and understand corporate financial statements,</w:t>
      </w:r>
    </w:p>
    <w:p>
      <w:pPr>
        <w:spacing w:after="0" w:line="1" w:lineRule="exact"/>
        <w:rPr>
          <w:sz w:val="20"/>
          <w:szCs w:val="20"/>
          <w:color w:val="auto"/>
        </w:rPr>
      </w:pPr>
    </w:p>
    <w:p>
      <w:pPr>
        <w:ind w:left="1260" w:right="459"/>
        <w:spacing w:after="0" w:line="241" w:lineRule="auto"/>
        <w:tabs>
          <w:tab w:leader="none" w:pos="15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w:t>
      </w:r>
    </w:p>
    <w:p>
      <w:pPr>
        <w:ind w:left="1260" w:right="45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diversity of experience, and (v) the ability to work effectively with other directors in collectively serving the long-term interests of all stockholders. Nominees must also meet any applicable requirements of SEC regulations, Nasdaq rules, state law and Supernus’ charter and bylaws.</w:t>
      </w:r>
    </w:p>
    <w:p>
      <w:pPr>
        <w:spacing w:after="0" w:line="113"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of Directors, determines a need to add a new director with specific qualifications or to fill a vacancy on the Board of Directors, the Governance and Nominating Committee will then initiate the search, work with staff support and seek input from directors and senior management, consider nominees previously submitted by stockholders, and, if deemed necessary or appropriate, hire a search firm. An initial slate of candidates satisfying the specific qualifications, if any, and otherwise qualifying for membership on the Board of Directors, will then be identified, preliminarily assessed by the Governance and Nominating Committee and remaining candidates will be presented to the Board of Directors which will then prioritize the candidates. If any of the members of the Board of Directors or senior management have relationships with the preferred candidates, they may initiate contact with a candidate. Alternatively, contact may be initiated by a search firm. The Governance and Nominating Committee will interview remaining candidate(s). Evaluations and recommendations of the interviewers will be submitted to the Board of Directors for final evaluation. The Board of Directors will meet to consider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such recommendations and to approve the final candidate, and will evaluate all nominees for director, including nominees recommended by a stockholder, on the same basis.</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Annual Meeting of Stockholders, or, if we did not have an Annual Meeting of Stockholders in the prior year or if the date of the current year’s Annual Meeting of Stockholders is more than 30 days before or after the anniversary date of the prior year’s Annual Meeting of Stockholders, on or before 15 days after the day on which the date of the current year’s Annual Meeting of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as set forth in our Amended and Restated Bylaws, a copy of which has been filed with the SEC. In making recommendations or nominations, stockholders must adhere to all of the required procedures set forth in our Amended and Restated Bylaws. Stockholders should also consider the minimum qualifications determined by our Board of Directors for Board members as noted elsewhere in this Proxy Statement. All nominees for director, including nominees recommended by a stockholder, shall be evaluated on the same basis.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stockholder vote. The Governance and Nominating Committee will consider the resignation and recommend to the Board of Directors whether to accept or reject it. The Governance and Nominating Committee, in making its recommendation, and the Board of Directors, in making its decision, may consider any factors or other information that it considers appropriate, including the reasons (if any) given by shareholders as to why they withheld their votes, the qualifications of the director, the composition of and number of independent directors remaining on the Board of Directors if the Board of Directors accepted the resignation of the director, and his or her contributions to the Board of Directors and the Company. The Board of Directors, taking into account the Governance and Nominating Committee’s recommendation, will act on each tendered resignation within 90 days following the certification of the stockholder vote. If a director’s tendered resignation is accepted by the Board of Directors, then the Board of Directors may fill any resulting vacancy or may decrease the number of directors comprising the Board of Directors. If a director’s tendered resignation is rejected by the Board of Directors, the director will continue to serve for the remainder of his or her term and until his or her successor is duly elected, or his or her earlier death, resignation or removal.</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common stock is listed on The Nasdaq Stock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the Marketplace Rules, an affirmative determination must be made that members of a compensation committee are independent from management in connection with the duties of a compensation committee member. Under Rule 5605(a)(2) of the Marketplace Rules, a director will only qualify as an “independent director” if, in the opinion of that company’s Board of Directors, that person does not have a relationship that would interfere with the exercise of independent judgment in carrying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out the responsibilities of a director. The composition and functioning of our Board of Directors and each of our Board committees complies with all applicable rules and regulations of the SEC and The Nasdaq Stock Market. Our Board of Directors has determined that each of the current directors meets the independence requirement of the Marketplace Rules, with the exception of Mr. Khattar, who serves as our CEO. There are no family relationships among any of our directors or executive officers.</w:t>
      </w:r>
    </w:p>
    <w:p>
      <w:pPr>
        <w:spacing w:after="0" w:line="110"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We have not identified any agreements or arrangements relating to compensation provided by a third party to the Company’s directors or director nominees in connection with their candidacy or board service as required to be disclosed by Nasdaq Rule 5250(b)(3).</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w:t>
      </w:r>
    </w:p>
    <w:p>
      <w:pPr>
        <w:spacing w:after="0" w:line="2"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This separation was established when the Company was formed in late 2005. The CEO and Chairman of the Board work closely together to execute the strategic plan of the Company. Presently, the CEO is responsible for setting the Company’s strategic direction and the day -to-day leadership and performance of the Company, while the Chairman of the Board of Directors provides guidance to the CEO and presides over meetings of the full Board of Directors. This current separation of duties has worked effectively for the Company and is the appropriate leadership structure for the Company at this time.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Role in the Oversight of Risk Management</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are functioning as designed. Our Board of Directors is actively involved in oversight of risks that could affect us. The Board of Directors’ oversight is conducted primarily through the full Board of Directors, which has generally retained primary responsibility for general oversight of risks, other than cybersecurity related information technology risks. The Board of Directors has appointed the Audit Committee as its primary body responsible for overseeing risk identification, management and mitigation strategies related to cybersecurity-related information technology risks. Our Board of Directors and Audit Committee satisfy their respective responsibilities by receiving written and oral reports at regularly scheduled board and committee meetings from officers responsible for oversight of particular risks within our Company as our Board of Directors and Audit Committee each believe that full and open communication between management and the Board of Directors and its committees is essential for effective risk management and oversight. Additionally, as the primary body overseeing cybersecurity related information technology risks, the Audit Committee is also charged with ensuring management provides a cybersecurity risk update to the full Board of Directors annually enabling the full board to also oversee the management of that risk. As a critical part of these risk management oversight roles, the Board of Directors encourages full and open communication between management, the Board of Directors and its committees. Our Chairman meets periodically with the President and CEO to discuss strategy and risks facing the Company. Senior management attends meetings of the Board of Directors and the Audit Committee and is available to address any questions or concerns raised by the Board or Audit Committee concerning risk management-related and other matters. The Board of Directors and Audit Committee periodically receive presentations from senior management concerning strategic matters involving the Company’s operations to enable it to understand the Company’s risk identification, risk management and risk mitigation strategies. In addition to serving as the Board of Directors’ primary body to oversee risk identification, management and mitigation strategies related to cybersecurity related information technology risks, the Audit Committee also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The Governance and Nominating Committee assists the Board of Directors concerning the organization, membership and structure of the Board of Directors and facilitating the annual Board of Directors assessment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current members of our Audit Committee are Mr. Hudson, who is the Chair of the committee, Dr. Gemayel, and Ms. Sensenig. All members of our Audit Committee meet the requirements for financial literacy under the applicable rules and regulations of the SEC and The Nasdaq Stock Market. Our Board of Directors has determined that each of Mr. Hudson and Ms. Sensenig is an audit committee financial expert as defined under the applicable rules of the SEC and has the requisite financial sophistication as defined under the applicable rules and regulations of The Nasdaq Stock Market, in the case of Mr. Hudson, as a result of his experience as a partner in the accounting firm of KPMG LLP and his service as chair of the audit committee of other companies, and in the case of Ms. Sensenig, as a result of her experience serving as Chief Financial Officer of several private and public companies. Mr. Hudson, Dr. Gemayel, and</w:t>
      </w:r>
    </w:p>
    <w:p>
      <w:pPr>
        <w:spacing w:after="0" w:line="5"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Ms. Sensenig are independent directors as defined under the applicable rules and regulations of the SEC and The Nasdaq Stock Market. The Audit Committee held five (5) meetings during the last fiscal year. The Audit Committee operates under a written charter that satisfies the applicable standards of the SEC and The Nasdaq Stock Market and is currently available at ir.supernus.com/corporate-governance.</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04" w:lineRule="exact"/>
        <w:rPr>
          <w:sz w:val="20"/>
          <w:szCs w:val="20"/>
          <w:color w:val="auto"/>
        </w:rPr>
      </w:pPr>
    </w:p>
    <w:p>
      <w:pPr>
        <w:ind w:left="1800" w:right="9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auditors the audited financial statements,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internal auditors, and independent auditors the quality and adequacy of our internal controls, and internal auditing procedures;</w:t>
      </w:r>
    </w:p>
    <w:p>
      <w:pPr>
        <w:spacing w:after="0" w:line="53" w:lineRule="exact"/>
        <w:rPr>
          <w:rFonts w:ascii="Times New Roman" w:cs="Times New Roman" w:eastAsia="Times New Roman" w:hAnsi="Times New Roman"/>
          <w:sz w:val="18"/>
          <w:szCs w:val="18"/>
          <w:color w:val="auto"/>
        </w:rPr>
      </w:pPr>
    </w:p>
    <w:p>
      <w:pPr>
        <w:jc w:val="both"/>
        <w:ind w:left="1800" w:right="95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 summary of expenses of all our officers, as defined in Section 16 of the Securities Exchange Act of 1934, as amended, and review on a periodic basis any expenses not currently contemplated by our internal expense policy;</w:t>
      </w:r>
    </w:p>
    <w:p>
      <w:pPr>
        <w:spacing w:after="0" w:line="5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the internal auditors and the independent auditors the significant risks and exposures facing the Company and related risk mitigation plans;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the Board of Director’s primary body to oversee risk identification, management, and mitigation strategies related to cybersecurity related information technology risks, and it shall ensure that Company management provides an annual Cybersecurity Risk update to the Board of Directors;</w:t>
      </w:r>
    </w:p>
    <w:p>
      <w:pPr>
        <w:spacing w:after="0" w:line="54"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our accounting policies, including discussing with the independent auditors any changes in our critical accounting principles;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its processes for complying with certification requirements under the Sarbanes-Oxley Act;</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the independent auditors any material correcting adjustments identified by the independent auditors;</w:t>
      </w:r>
    </w:p>
    <w:p>
      <w:pPr>
        <w:spacing w:after="0" w:line="40"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engagement of the independent auditors, and approving the retention of the independent auditors to perform any proposed permissible non-audit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scope of the annual audit with the independent auditors and approving the audit fee;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independence and performance;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hiring policies for employees or former employees of the independent auditors that meet SEC regulations and applicable Nasdaq listing standards;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regarding the appointment and replacement of the head of the Company’s internal audit department;</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internal audit department’s charter, which sets forth the internal audit department’s role, the overall scope of the internal audit plan, and the internal audit department’s budget and resources;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75"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with the head of the Company’s internal audit department to review the scope and results of the internal audit program, discuss any matters warranting the Audit Committee’s attention;</w:t>
      </w:r>
    </w:p>
    <w:p>
      <w:pPr>
        <w:spacing w:after="0" w:line="295"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and reviewing with the Board of Directors the performance of the internal audit department;</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all related-party transactions required to be disclosed pursuant to Item 404 of Regulation S-K;</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whether the Company’s audited financial statements should be included in the Company’s Annual Report on Form 10-K;</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written report to be included in the Company’s annual proxy statement for each Annual Meeting of Stockholders;</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material communication between the independent auditor and management;</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updating and approving a code of conduct and ethics for senior financial officers and certain other employees and agents of the Company;</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and treatment of complaints received regarding accounting, internal accounting control or auditing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Audit Committee’s performance;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Audit Committee charter.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jc w:val="both"/>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The current members of our Compensation Committee are Dr. Gemayel, who is the Chair of the committee, Mr. Newhall and Mr. Hudson. Each of the members of our Compensation Committee are independent under the applicable rules and regulations of the SEC, The Nasdaq Stock Market and the Internal Revenue Service. Our Compensation Committee reviews and recommends policies relating to compensation and benefits of our officers and employees. The Compensation Committee held three (3) meetings during the last fiscal year. The Compensation Committee operates under a written charter that satisfies the applicable standards of the SEC and The Nasdaq Stock Market and is currently available at ir.supernus.com/corporate-governance. The Compensation Committee’s responsibilities include:</w:t>
      </w:r>
    </w:p>
    <w:p>
      <w:pPr>
        <w:spacing w:after="0" w:line="84" w:lineRule="exact"/>
        <w:rPr>
          <w:sz w:val="20"/>
          <w:szCs w:val="20"/>
          <w:color w:val="auto"/>
        </w:rPr>
      </w:pPr>
    </w:p>
    <w:p>
      <w:pPr>
        <w:ind w:left="1800" w:right="9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and performance goals relevant to the compensation of our CEO and other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executive officers in light of those goals and objectives;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our executive officers, other than the CEO, based on such evaluations and the assessment of our compensation program in conjunction with our compensation consultant;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independent directors on the Board of Directors, the compensation of our CEO based on the Compensation Committee’s review of the CEO’s performance;</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the adoption of incentive compensation plans and equity-based plans, as well as the Company’s 401(k) plan, and administering the Company’s existing incentive compensation plans and equity-based plans;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the compensation of directors;</w:t>
      </w:r>
    </w:p>
    <w:p>
      <w:pPr>
        <w:spacing w:after="0" w:line="117" w:lineRule="exact"/>
        <w:rPr>
          <w:rFonts w:ascii="Times New Roman" w:cs="Times New Roman" w:eastAsia="Times New Roman" w:hAnsi="Times New Roman"/>
          <w:sz w:val="18"/>
          <w:szCs w:val="18"/>
          <w:color w:val="auto"/>
        </w:rPr>
      </w:pPr>
    </w:p>
    <w:p>
      <w:pPr>
        <w:jc w:val="both"/>
        <w:ind w:left="1800" w:right="9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to be included in the Company’s filings with the SEC, and recommending to the Board of Directors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spacing w:after="0" w:line="282" w:lineRule="auto"/>
        <w:rPr>
          <w:sz w:val="20"/>
          <w:szCs w:val="20"/>
          <w:color w:val="auto"/>
        </w:rPr>
      </w:pPr>
      <w:r>
        <w:rPr>
          <w:rFonts w:ascii="Times New Roman" w:cs="Times New Roman" w:eastAsia="Times New Roman" w:hAnsi="Times New Roman"/>
          <w:sz w:val="18"/>
          <w:szCs w:val="18"/>
          <w:color w:val="auto"/>
        </w:rPr>
        <w:t>whether such Compensation Discussion and Analysis should be included in the Company’s annual proxy statement or annual report;</w:t>
      </w:r>
    </w:p>
    <w:p>
      <w:pPr>
        <w:spacing w:after="0" w:line="67" w:lineRule="exact"/>
        <w:rPr>
          <w:sz w:val="20"/>
          <w:szCs w:val="20"/>
          <w:color w:val="auto"/>
        </w:rPr>
      </w:pPr>
    </w:p>
    <w:p>
      <w:pPr>
        <w:ind w:left="1800" w:right="57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written report to be included in the Company’s annual proxy statement for each Annual Meeting of Stockholders;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succession planning for succession of senior management positions including the position of CEO;</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evaluating the performance of the Compensation Committee and its members, including compliance of the Compensation Committee with its charter;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Compensation Committee charter;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collaborating with an independent compensation consultant to establish a peer group and assess the Company’s compensation policies and practices in relation to such peer group.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Governance and Nominating Committee</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current members of our Governance and Nominating Committee are Mr. Newhall, who is the chair of the committee and Drs. Barlow and Gemayel. Each of the members of our Governance and Nominating Committee are independent under the applicable rules and regulations of the SEC and The Nasdaq Stock Market. The Governance and Nominating Committee did not hold a meeting during the last fiscal year. The Governance and Nominating Committee operates under a written charter that satisfies the applicable standards of the SEC and The Nasdaq Stock Market and is currently available at ir.supernus.com/corporate-governance.</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Governance and Nominating Committee’s responsibilities include:</w:t>
      </w:r>
    </w:p>
    <w:p>
      <w:pPr>
        <w:spacing w:after="0" w:line="117" w:lineRule="exact"/>
        <w:rPr>
          <w:sz w:val="20"/>
          <w:szCs w:val="20"/>
          <w:color w:val="auto"/>
        </w:rPr>
      </w:pPr>
    </w:p>
    <w:p>
      <w:pPr>
        <w:ind w:left="1800" w:right="9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candidates for directorships and assisting the Board of Directors in identifying and recruiting such individuals;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qualified individuals to serve as committee members on the various Board committees;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operations and composition of the Board of Directors;</w:t>
      </w:r>
    </w:p>
    <w:p>
      <w:pPr>
        <w:spacing w:after="0" w:line="130"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need for continuing education of directors as specifically related to service on the Board of Directors and board committees;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and reviewing our corporate governance guidelines and recommending any changes to the Board of Directors;</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safeguarding the independence of the Board of Directors and reviewing potential conflicts of interest between a director and the Company or a member of senior management;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making recommendations to our Board concerning governance matters;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Governance and Nominating Committee’s performance;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Governance and Nominating Committee charter.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Science Committee</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current members of the Science Committee are: Dr. Barlow, who is the chair of the committee, and Dr. Gemayel. The Science Committee is responsible for engaging in discussions with management on the Company’s research and development programs and reporting on those discussions to the Board. The Science Committee held three (3) meetings during the last fiscal year.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Committees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may establish other committees as it deems necessary or appropriate from time to time.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Procedures for Related Person Transactions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 and Certain Control Persons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Other than the transactions set forth below, since January 1, 2025,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arrangement set forth below is on terms no less favorable to us than we could have obtained from unaffiliated third parties. The arrangement described below was approved by the Audit Committee under the Audit Committee charter.</w:t>
      </w:r>
    </w:p>
    <w:p>
      <w:pPr>
        <w:spacing w:after="0" w:line="10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During 2025 we employed an adult daughter of Mr. Khattar in a non-executive, managerial capacity as an Associate Director, Digital Marketing. Her employment with the Company ended in December 2025. This individual, who did not reside with and is not supported financially by Mr. Khattar, earned total compensation for fiscal year 2025 of $177,192 and total compensation for fiscal year 2024 of $182,616, which was commensurate with her peers and exclusive of unvested options awarded to her. Mr. Khattar’s daughter was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Associate Directors, Digital Marketing.</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Board of Directors held a total of five (5) meetings. Each of our directors attended at least 75% of the aggregate number of meetings of the Board of Directors and meetings of any committee of which he or she was a member, which were held during the time in which he or she was a director or a committee member.</w:t>
      </w:r>
    </w:p>
    <w:p>
      <w:pPr>
        <w:spacing w:after="0" w:line="11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Each member of the Board of Directors who is up for election at the Annual Meeting of Stockholders or who has a term that continues after such meeting is expected to attend the Annual Meeting of Stockholders. Messrs. Gemayel, Hudson, Khattar, and Newhall attended the 2025 Annual Meeting of Stockholders, which was held on June 16, 2025.</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any such letter and circulate it to the director(s) to whom it is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Ownership and Retention Guidelines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Board of Directors recommended, and the Board of Directors adopted, Share Ownership and Retention Guidelines for the Board of Directors and the CEO (the “Guidelines”). For additional details regarding the Guidelines, see “Compensation Discussion and Analysis — Corporate Policies Covering Executive Compensation — Share Ownership and Retention Guidelines.”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Company’s Policy on Securities Trades by Directors, Officers and Employees (the “Insider Trading Policy”) is reasonably designed to promote compliance with insider trading laws, rules and regulations, and any listing standards applicable to the registrant. The policy prohibits trading in Company securities while aware of material non-public information relating to the Company as well as sharing that information with others who use it to buy or sell securities. It also establishes routine trading blackouts that begin before the end of each fiscal quarter and ends at the close of business on the second business day after the Company files the periodic report with the SEC applicable to such quarterly period. The policy also requires that certain covered individuals “pre-clear” in writing any transactions in the Company’s securities with either the Company’s Chief Executive Officer or its Chief Financial Officer. In addition, the policy requires proposed Rule 10b5-1 trading plans be reviewed and approved by the Company’s Chief Financial Officer, or the Chief Financial Officer’s designee, and may not be approved unless the proposed plan meets a series of requirements, including: a cooling-off period the length of which depends on whether the individual entering into the plan is a director or officer of the Company, and entering into such plan with a securities broker designated by the Company. Through the policy the Company also prohibits hedging and monetization transactions that transfer, with respect to equity compensation received by a director, officer or employee, all or a portion of the risk of a decline in the market price of shares of Company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Margin Accounts and Pledges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prohibits directors, officers and employees from pledging Company securities or holding Company securities in margin accounts.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Arrangements</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w:t>
      </w:r>
    </w:p>
    <w:p>
      <w:pPr>
        <w:spacing w:after="0" w:line="72"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4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w:t>
      </w:r>
    </w:p>
    <w:p>
      <w:pPr>
        <w:spacing w:after="0" w:line="117" w:lineRule="exact"/>
        <w:rPr>
          <w:sz w:val="20"/>
          <w:szCs w:val="20"/>
          <w:color w:val="auto"/>
        </w:rPr>
      </w:pPr>
    </w:p>
    <w:p>
      <w:pPr>
        <w:ind w:left="1800" w:right="5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to the fullest extent permitted by the Delaware General Corporation Law;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expenses, including attorneys’ fees, to our directors and officers in connection with legal proceedings, subject to limited exceptions.</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32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337"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 OF SUPERNUS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and ages of our executive officers as of the date of this Proxy Statement.</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Age</w:t>
            </w:r>
          </w:p>
        </w:tc>
        <w:tc>
          <w:tcPr>
            <w:tcW w:w="432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7"/>
        </w:trPr>
        <w:tc>
          <w:tcPr>
            <w:tcW w:w="31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r>
      <w:tr>
        <w:trPr>
          <w:trHeight w:val="25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34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64</w:t>
            </w:r>
          </w:p>
        </w:tc>
        <w:tc>
          <w:tcPr>
            <w:tcW w:w="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&amp; Secretary, Director</w:t>
            </w: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540" w:type="dxa"/>
            <w:vAlign w:val="bottom"/>
            <w:gridSpan w:val="3"/>
          </w:tcPr>
          <w:p>
            <w:pPr>
              <w:jc w:val="right"/>
              <w:ind w:right="7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67 </w:t>
            </w:r>
            <w:r>
              <w:rPr>
                <w:rFonts w:ascii="Times New Roman" w:cs="Times New Roman" w:eastAsia="Times New Roman" w:hAnsi="Times New Roman"/>
                <w:sz w:val="29"/>
                <w:szCs w:val="29"/>
                <w:color w:val="auto"/>
                <w:vertAlign w:val="superscript"/>
              </w:rPr>
              <w:t>​</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25"/>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of Intellectual Property, Chief</w:t>
            </w:r>
          </w:p>
        </w:tc>
      </w:tr>
      <w:tr>
        <w:trPr>
          <w:trHeight w:val="248"/>
        </w:trPr>
        <w:tc>
          <w:tcPr>
            <w:tcW w:w="3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Scientific Officer</w:t>
            </w:r>
          </w:p>
        </w:tc>
      </w:tr>
      <w:tr>
        <w:trPr>
          <w:trHeight w:val="22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Technical Operations</w:t>
            </w:r>
          </w:p>
        </w:tc>
      </w:tr>
      <w:tr>
        <w:trPr>
          <w:trHeight w:val="241"/>
        </w:trPr>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1"/>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Chief Medical Officer, Research</w:t>
            </w:r>
          </w:p>
        </w:tc>
      </w:tr>
      <w:tr>
        <w:trPr>
          <w:trHeight w:val="241"/>
        </w:trPr>
        <w:tc>
          <w:tcPr>
            <w:tcW w:w="3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Development</w:t>
            </w:r>
          </w:p>
        </w:tc>
      </w:tr>
      <w:tr>
        <w:trPr>
          <w:trHeight w:val="22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Todd Horich, Ph.D., MBA</w:t>
            </w:r>
          </w:p>
        </w:tc>
        <w:tc>
          <w:tcPr>
            <w:tcW w:w="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​53 ​</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Commercial Operations,</w:t>
            </w:r>
          </w:p>
        </w:tc>
      </w:tr>
      <w:tr>
        <w:trPr>
          <w:trHeight w:val="234"/>
        </w:trPr>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Market Access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-1534160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-1534160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Jack A. Khattar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“Election of Directors.”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C. Dec </w:t>
      </w:r>
      <w:r>
        <w:rPr>
          <w:rFonts w:ascii="Times New Roman" w:cs="Times New Roman" w:eastAsia="Times New Roman" w:hAnsi="Times New Roman"/>
          <w:sz w:val="18"/>
          <w:szCs w:val="18"/>
          <w:color w:val="auto"/>
        </w:rPr>
        <w:t>has more than 35 years of experience in accounting and finance across many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healthcare. His experience includes serving in chief financial officer or other senior financial executive roles at three publicly traded companies listed on Nasdaq, and with private equity-backed companies. Most recently, from April 2015 to July 2021, Mr. Dec was Chief Financial Officer of OpGen, Inc., a Nasdaq listed company engaged in the development and commercialization of molecular microbiology solutions to help combat infectious diseases. Prior to joining OpGen, Mr. Dec served as Senior Vice President and Chief Financial Officer for Clubwidesports, LLC, a start-up sports management software company, from January 2014 to April 2015. From August 2007 to December 2012, Mr. Dec served as Senior Vice President and Chief Financial Officer of Fortress International Group, Inc., a publicly traded company. From June 2006 to August 2007, Mr. Dec was Senior Vice President, Chief Financial Officer of Presidio Networked Solutions, a private company, and from June 1999 to June 2006, was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w:t>
      </w:r>
    </w:p>
    <w:p>
      <w:pPr>
        <w:spacing w:after="0" w:line="32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Padmanabh P. Bhatt, Ph.D.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our Senior Vice President of Intellectual Property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Hercon Laboratories (from 1989 to 1992). Dr. Bhatt earned his Bachelor of Pharmacy and Master of Pharmacy degrees from the University of Bombay, India. He also holds M.S. and Ph.D. degrees in Pharmaceutical Chemistry from the University of Kansas.</w:t>
      </w:r>
    </w:p>
    <w:p>
      <w:pPr>
        <w:spacing w:after="0" w:line="115"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Mottola </w:t>
      </w:r>
      <w:r>
        <w:rPr>
          <w:rFonts w:ascii="Times New Roman" w:cs="Times New Roman" w:eastAsia="Times New Roman" w:hAnsi="Times New Roman"/>
          <w:sz w:val="18"/>
          <w:szCs w:val="18"/>
          <w:color w:val="auto"/>
        </w:rPr>
        <w:t>has served as our Senior Vice President, Chief Technical Operations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2025. Previously, Mr. Mottola served as our Senior Vice President of Quality, GMP Operations, Information Technology and Regulatory Affairs since March 2024. Prior to that, Mr. Mottola was Senior Vice President of Quality, GMP Operations and Information Technology since January 2020. Before 2020, Mr. Mottola was Vice President of Quality, GMP Operations and Information Technology from 2017 to 2020. From 2014 to 2017, he served as Vice President of Quality and GMP Operations. Mr. Mottola served as Director of Quality from 2005 to 2013. Prior to 2005, Mr. Mottola was the Director of Quality at Able Laboratories and previously held various positions at Ortho Clinical Diagnostics (a Johnson &amp;</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Johnson company). He has over 25 years of experience in the pharmaceutical industry and holds Bachelor of Science degrees in Biology and Business Administration from Rutgers University and Walden University, respectively.</w:t>
      </w:r>
    </w:p>
    <w:p>
      <w:pPr>
        <w:spacing w:after="0" w:line="104" w:lineRule="exact"/>
        <w:rPr>
          <w:sz w:val="20"/>
          <w:szCs w:val="20"/>
          <w:color w:val="auto"/>
        </w:rPr>
      </w:pPr>
    </w:p>
    <w:p>
      <w:pPr>
        <w:jc w:val="both"/>
        <w:ind w:left="1260" w:right="5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Jonathan Rubin, M.D., </w:t>
      </w:r>
      <w:r>
        <w:rPr>
          <w:rFonts w:ascii="Times New Roman" w:cs="Times New Roman" w:eastAsia="Times New Roman" w:hAnsi="Times New Roman"/>
          <w:sz w:val="18"/>
          <w:szCs w:val="18"/>
          <w:color w:val="auto"/>
        </w:rPr>
        <w:t>has served as our Senior Vice President, Chief Medical Officer, Research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since January 2021. Before joining the Company in February 2020 as Senior Vice President, Clinical Research and Medical Affairs, Dr. Rubin was Chief Medical Officer of Atentiv, Inc. from</w:t>
      </w: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May 2018 to February 2020 where he was responsible for clinical strategy and the design of clinical trials. From October 2017 to July 2018, Dr. Rubin was a clinical consultant to Chondrial Therapeutics, Inc. responsible for developing clinical strategy and trials for frataxin replacement therapy. From August 2013 to September 2017, Dr. Rubin was Chief Medical Officer of Alcobra, Inc. where he was responsible for oversight of the company’s clinical development, medical affairs, biometrics and pharmacovigilance, participated in the completion of two Phase III studies in ADHD and assisted with orphan drug and fast track designations for product candidates. From February 2007 to July 2013, Dr. Rubin was Medical Director of Clinical Development and Medical Affairs for Shire Pharmaceuticals where he supported the company’s ADHD portfolio and assisted with the design, execution and interpretation of Phase II,</w:t>
      </w:r>
    </w:p>
    <w:p>
      <w:pPr>
        <w:spacing w:after="0" w:line="4" w:lineRule="exact"/>
        <w:rPr>
          <w:sz w:val="20"/>
          <w:szCs w:val="20"/>
          <w:color w:val="auto"/>
        </w:rPr>
      </w:pPr>
    </w:p>
    <w:p>
      <w:pPr>
        <w:ind w:left="1260" w:right="579"/>
        <w:spacing w:after="0" w:line="251" w:lineRule="auto"/>
        <w:rPr>
          <w:sz w:val="20"/>
          <w:szCs w:val="20"/>
          <w:color w:val="auto"/>
        </w:rPr>
      </w:pPr>
      <w:r>
        <w:rPr>
          <w:rFonts w:ascii="Times New Roman" w:cs="Times New Roman" w:eastAsia="Times New Roman" w:hAnsi="Times New Roman"/>
          <w:sz w:val="18"/>
          <w:szCs w:val="18"/>
          <w:color w:val="auto"/>
        </w:rPr>
        <w:t>Phase IIIB and Phase IV studies, and from March 2011 to December 2011, he also served as Director, Scientific Licensing Assessment, identifying and evaluating business development opportunities in the neuropsychiatric therapeutic area including autism and ADHD. Prior to entering the biopharmaceutical industry, Dr. Rubin was in private practice as a developmental-behavioral pediatrician for 16 years. Before entering private practice, Dr. Rubin was a pediatric resident at Albert Einstein/Montefiore Hospital in the Bronx, New York and a fellow in ambulatory pediatrics at Boston’s Children Hospital. Dr. Rubin received his M.D. from the University of Connecticut School of Medicine, his Master of Business Administration from the Columbia School of Business and his Bachelor of Science in molecular biophysics and biochemistry from Yale University.</w:t>
      </w:r>
    </w:p>
    <w:p>
      <w:pPr>
        <w:spacing w:after="0" w:line="122" w:lineRule="exact"/>
        <w:rPr>
          <w:sz w:val="20"/>
          <w:szCs w:val="20"/>
          <w:color w:val="auto"/>
        </w:rPr>
      </w:pPr>
    </w:p>
    <w:p>
      <w:pPr>
        <w:ind w:left="1260" w:right="419" w:firstLine="360"/>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William Todd Horich, Ph.D., MBA, </w:t>
      </w:r>
      <w:r>
        <w:rPr>
          <w:rFonts w:ascii="Times New Roman" w:cs="Times New Roman" w:eastAsia="Times New Roman" w:hAnsi="Times New Roman"/>
          <w:sz w:val="18"/>
          <w:szCs w:val="18"/>
          <w:color w:val="auto"/>
        </w:rPr>
        <w:t>has served as our Senior Vice President, Chief Commercial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March 2026. He had previously served as our Senior Vice President of Marketing and Market Access since May 2021, and Commercial Operations since December 2023. Since joining Supernus as the first commercial employee in 2010, Dr. Horich has played an integral leadership role in the build out of the organization, integration of corporate acquisitions, and successful launches of Trokendi XR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Qelbree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ONAPGO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From 2010 to 2014, he was responsible for building and leading the Marketing Team, as well as responsible for New Product Planning and Commercial Development. Prior to joining Supernus, Dr. Horich held various positions of increasing responsibility with Novartis Pharmaceuticals Inc., as well as Director level positions with Vanda Pharmaceuticals and Medimmune, Inc.</w:t>
      </w:r>
    </w:p>
    <w:p>
      <w:pPr>
        <w:spacing w:after="0" w:line="123"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Dr. Horich earned his Ph.D in Pharmaceutical Sciences from the University of Maryland, and an MBA from the University of Baltimore. He also holds an MS and a BS in Biological Sciences from the University 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Compensation Discussion and Analysis that follows provides a description of our compensation program as well as the compensation for each of the individuals listed below. We refer to these individuals throughout the Compensation Discussion and Analysis and the tables and narratives that follow as our Named Executive Officers, or NEOs. For 2025, our named executive officers were as follows:</w:t>
      </w:r>
    </w:p>
    <w:p>
      <w:pPr>
        <w:spacing w:after="0" w:line="6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Jack A. Khattar, Chief Executive Officer, President &amp; Secretary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C. Dec, Senior Vice President, Chief Financial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Rubin, MD, Senior Vice President, Chief Medical Officer, Research and Development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Padmanabh P. Bhatt, Ph.D., Senior Vice President of Intellectual Property, Chief Scientific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Mottola, Senior Vice President, Chief Technical Operations Officer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Philosophy; Say on Pay Support</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designed to align the interests of our NEOs and all other executive officers with those of our stockholders by rewarding executives with incentives that are closely linked to the Company’s achievement of short-term and long-term business objectives. The program is focused on successfully attracting and retaining highly qualified and motivated executives and providing compensation levels and programs that are competitive with comparably sized pharmaceutical and biotechnology companies in the United States. The Compensation Committee seeks to deliver a competitive compensation program to retain and motivate our executives by rewarding their contributions and the value they create for all of our stockholders. As described below, an independent compensation consultant assists our Compensation Committee in this process.</w:t>
      </w:r>
    </w:p>
    <w:p>
      <w:pPr>
        <w:spacing w:after="0" w:line="121"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stockholders voted overwhelmingly in favor of our compensation program for our NEOs through our annual “Say-on-Pay vote” with more than 96% of votes cast approving the program. The Compensation Committee believes this approval by our stockholders shows strong support for our executive compensation program and philosophy.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Pay for Performance; Alignment of Interests</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structure our compensation program to align the interests of our NEOs and all other executive officers with the interests of our stockholders. We believe that each executive officer’s compensation should be tied directly to helping the Company achieve its mission and, in so doing, delivering value to our stockholders. Therefore, a significant part of each executive officer’s compensation, other than the CEO, depends on the overall performance of the Company, the executive’s individual performance and their achievement of individual performance objectives, which are established by the Compensation Committee and support the achievement of the Company’s Corporate Objectives (defined below).</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CEO’s performance is measured by reference to the overall performance of the Company, specifically the achievement of Corporate Objectives. As a result, a significant part of the CEO’s compensation is dependent on the short and long-term performance of the Company and the achievement of Corporate Objectives as well as longer term comprehensive personal performance goals. These goals include, but are not limited to, the attainment of specific key financial metrics, the development of commercial products and the successful execution on projects that are designed to support the performance of the Company.</w:t>
      </w:r>
    </w:p>
    <w:p>
      <w:pPr>
        <w:spacing w:after="0" w:line="33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CEO and Compensation Committee (and the full Board of Directors in the case of our CEO) regularly review each executive’s total compensation to ensure that it is aligned with overall company performance. The CEO and Compensation Committee also assess the individual performance of each executive (other than our CEO) in making compensation decisions related to base salary, cash bonuses and equity awards. This assessment involves consideration of objective measures, including Corporate Objectives, overall Company performance, Personal Performance Goals and an assessment of the executive’s ability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execute and contribute to the Company’s overall long-term strategy. The executive’s overall operational excellence and leadership ability are also important components of their individual performance. In assessing each executive’s individual performance, the CEO and Compensation Committee evaluate how well each executive fulfilled their obligations in the past year, including consideration of how well the operations or functions for which the executive is responsible performed during the year.</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the case of the CEO, the full Board of Directors evaluates the performance of our CEO, including assessing it against the overall annual performance of the Company. The evaluation also includes reviewing the achievement of specific Corporate Objectives that are designed to support the Company’s strategy and drive both short and long term Company performance to create value for stockholders. These Corporate Objectives may include, among others, the acquisition of corporate entities or assets, the organic development of strategic assets that are fundamental to the future growth of the Company and the development of new chemical entities that could drive long term performance. Certain of the Corporate Objectives approved by the Board of Directors for 2025 are set forth under the heading “Compensation Discussion and Analysis — Elements of Executive Compensation — Corporate Performance Goals.” In addition, the Board of Directors assesses the CEO on his ability to identify and evaluate strategic opportunities for and risks to the Company.</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Program Design</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and appropriate because it is aligned with our business goals, research and development programs for future product development and our goal of delivering value to our stockholders. We rely on the expertise of our executive management team to drive overall company performance. The Compensation Committee believes that the design and operation of our CEO compensation program is appropriate given the impact the CEO has on the development of strategic programs designed to reach long-term goals, internal assets, and the achievement of Corporate Objectives. These components provide important future benefits for the Company and its stockholders.</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overall compensation program is designed to attract, retain and motivate key employees by providing competitive, equitable compensation, based on their performance, in the form of base salary plus short-term (cash bonus) and long-term incentives including equity awards with vesting tied to the achievement of defined performance goals.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 believes that the design of our executive compensation program, with its emphasis on reward for achievement of the key goals that comprise our annual and long -term business plan, does not create incentives for our executives to take excessive or unnecessary risks that could threaten the value of the Company or are reasonably likely to cause a material adverse effect on the Company. As discussed in greater detail under the heading “Compensation Discussion and Analysis — Role of Compensation Consultant,” the Compensation Committee’s independent compensation consultant, the Human Capital Solutions practice of Aon plc (“Aon”), annually performs a risk assessment of our executive compensation programs.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Compensation Committee</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Compensation Committee is responsible for providing oversight of our executive compensation program for the CEO, CFO, all other NEOs and members of our executive management team. With the assistance of its independent compensation consultant, Aon, the Compensation Committee reviews and evaluates the executive compensation program on an annual basis to ensure that the program is aligned with stockholder interests. This includes evaluating various factors, such as peer group information, in light of our compensation philosophy.</w:t>
      </w:r>
    </w:p>
    <w:p>
      <w:pPr>
        <w:spacing w:after="0" w:line="11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Compensation Committee is also responsible for reviewing the annual performance evaluations of each NEO prepared by the CEO and the recommendations the CEO makes to the Compensation Committee regarding base salary, cash bonuses and equity awards for the NEOs other than the CEO. Taking into consideration the peer group data, the achievement of corporate and individual objectives and the executive’s overall performance, the Compensation Committee reviews the recommendations of the CEO and modifies or approves such recommendations regarding base salary, cash bonuses and equity awards for each NEO other than the CEO.</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In the case of the CEO, the Compensation Committee conducts an annual assessment of the CEO’s performance measured by reference to the overall performance of the Company, specifically reviewing the achievement of Corporate Objectives, the long-term strategic programs of the Company and the Company’s performance relative to its competition and peer group, among other factors. Following its assessment, the Compensation Committee makes recommendations to the full Board of Directors regarding the CEO’s compensation. The full Board of Directors then reviews the Compensation Committee’s assessment and recommendation, and with input from the Compensation Committee, makes a final decision concerning the CEO’s base salary, cash bonus and equity awards. The CEO is not in attendance during discussions regarding his compensation held by the Compensation Committee or the full Board of Directors.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162"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retains an independent compensation consulting firm to provide advisory services concerning our executive compensation programs. In 2025, Aon assisted the Compensation Committee by providing the following services:</w:t>
      </w:r>
    </w:p>
    <w:p>
      <w:pPr>
        <w:spacing w:after="0" w:line="61" w:lineRule="exact"/>
        <w:rPr>
          <w:sz w:val="20"/>
          <w:szCs w:val="20"/>
          <w:color w:val="auto"/>
        </w:rPr>
      </w:pPr>
    </w:p>
    <w:p>
      <w:pPr>
        <w:ind w:left="1800" w:right="8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establishing a peer group of publicly-traded companies to help assess our executive compensation program;</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competitive comparison of peer groups and market data analysis, including data used for reviewing the compensation of our CEO, CFO, the other NEOs and other members of our executive management team;</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on certain materials provided to the Compensation Committee for discussion and approval;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certain of the Compensation Committee’s meetings in 2025;</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pay for performance assessment of the CEO’s performance relative to the CEO’s entire compensation package;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assessment of the Board of Directors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risk assessment on our overall executive compensation programs;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certain governance and regulatory trends.</w:t>
      </w:r>
    </w:p>
    <w:p>
      <w:pPr>
        <w:spacing w:after="0" w:line="14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members of the Aon team provide data and advice to the Compensation Committee, including with respect to the development of the pay for performance assessment of the CEO. Other than providing the information identified above, the Aon team does not provide any other services unless specifically requested by the Compensation Committee. Aon follows its internal guidelines and practices to guard against any conflict of interest and to ensure the objectivity of its advice. The Compensation Committee analyzed whether Aon was independent pursuant to SEC and Nasdaq listing rules and whether the work of Aon as a compensation consultant raised any conflict of interest. Based on its analysis, the Compensation Committee determined that Aon was independent and that the work of Aon and the individual compensation advisors employed by Aon does not create any conflict of interest.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Company Management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CEO provides his recommendations to the Compensation Committee concerning each NEO’s contribution to the achievement of Corporate Objectives, which is the primary basis for each executive’s cash bonus. The NEO’s individual performance is the primary basis for the equity award and is a factor in each executive’s cash bonus (other than the CEO). The CEO’s cash bonus is solely based on the achievement of Corporate Objectives. The recommendations take into account the peer group data provided by Aon. In addition, the CEO annually leads management in setting the research and development and business goals that are used to recommend the Corporate Objectives. The CEO works closely with the Compensation Committee to ensure that the Compensation Committee is provided with the appropriate information to make its decisions and to propose recommendations for the Compensation Committee’s consideration. The Compensation Committee develops the compensation plans by evaluating compensation data from Aon, overall Company performance and the recommendations of the CEO. Once approved by the Compensation Committee, the CEO communicates those decisions to management for implementation.</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Peer Group Data</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executive compensation program seeks to provide total compensation at pay levels of executives with similar roles at comparable companies when targeted levels of performance are achieved. Use of peer group survey data provided by Aon plays a significant role in the structure of the compensation program. It is an important input in setting base salaries and target levels for cash bonuses and equity awards and to establish target compensation levels that are market competitive in order to attract and retain talent.</w:t>
      </w:r>
    </w:p>
    <w:p>
      <w:pPr>
        <w:spacing w:after="0" w:line="11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participates in compensation surveys conducted by Aon each year. The Company has access to the resulting Aon reports, which are specific to the pharmaceutical and biotechnology industries and provide data on salaries, cash bonuses and equity awards for specific job functions. Aon’s input is a significant input for assessing our executive compensation program.</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With the guidance of Aon, the Compensation Committee determined the Peer Group for use and reference in 2025. The Compensation Committee used the peer data and the assistance of Aon to identify a reasonable reference point for base salaries, cash bonuses and equity awards. The Committee then analyzed overall company and individual executive performance to make final compensation decisions, which were recommended to the Board of Directors for approval (in the case of the CEO).</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criteria the Committee used for selecting peers included:</w:t>
      </w:r>
    </w:p>
    <w:p>
      <w:pPr>
        <w:spacing w:after="0" w:line="104"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commercial biopharmaceutical companies with a product on the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values generally between $800 million and $7.3 billion;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annual revenue generally between $220 million and $2 billion;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225-2,000 employees reflecting other organizations of similar scale and complexity.</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Using these criteria, the following companies were determined to comprise the Company’s peer group (the “Peer Group”):</w:t>
      </w:r>
    </w:p>
    <w:p>
      <w:pPr>
        <w:spacing w:after="0" w:line="134"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20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ACADIA</w:t>
            </w:r>
          </w:p>
        </w:tc>
        <w:tc>
          <w:tcPr>
            <w:tcW w:w="2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ANI Pharmaceuticals,</w:t>
            </w:r>
          </w:p>
        </w:tc>
        <w:tc>
          <w:tcPr>
            <w:tcW w:w="2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Corcept Therapeutics</w:t>
            </w:r>
          </w:p>
        </w:tc>
        <w:tc>
          <w:tcPr>
            <w:tcW w:w="20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Pacira Biosciences, Inc.</w:t>
            </w:r>
          </w:p>
        </w:tc>
      </w:tr>
      <w:tr>
        <w:trPr>
          <w:trHeight w:val="234"/>
        </w:trPr>
        <w:tc>
          <w:tcPr>
            <w:tcW w:w="2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Pharmaceuticals Inc.</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Incorporated</w:t>
            </w:r>
          </w:p>
        </w:tc>
        <w:tc>
          <w:tcPr>
            <w:tcW w:w="2060" w:type="dxa"/>
            <w:vAlign w:val="bottom"/>
            <w:tcBorders>
              <w:right w:val="single" w:sz="8" w:color="auto"/>
            </w:tcBorders>
          </w:tcPr>
          <w:p>
            <w:pPr>
              <w:spacing w:after="0"/>
              <w:rPr>
                <w:sz w:val="20"/>
                <w:szCs w:val="20"/>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05"/>
        </w:trPr>
        <w:tc>
          <w:tcPr>
            <w:tcW w:w="20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Alkermes Plc</w:t>
            </w:r>
          </w:p>
        </w:tc>
        <w:tc>
          <w:tcPr>
            <w:tcW w:w="20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Axsome Therapeutics,</w:t>
            </w:r>
          </w:p>
        </w:tc>
        <w:tc>
          <w:tcPr>
            <w:tcW w:w="202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Dynavax Technologies</w:t>
            </w:r>
          </w:p>
        </w:tc>
        <w:tc>
          <w:tcPr>
            <w:tcW w:w="206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PTC Therapeutics, Inc.</w:t>
            </w:r>
          </w:p>
        </w:tc>
      </w:tr>
      <w:tr>
        <w:trPr>
          <w:trHeight w:val="234"/>
        </w:trPr>
        <w:tc>
          <w:tcPr>
            <w:tcW w:w="2080" w:type="dxa"/>
            <w:vAlign w:val="bottom"/>
            <w:tcBorders>
              <w:left w:val="single" w:sz="8" w:color="auto"/>
              <w:right w:val="single" w:sz="8" w:color="auto"/>
            </w:tcBorders>
          </w:tcPr>
          <w:p>
            <w:pPr>
              <w:spacing w:after="0"/>
              <w:rPr>
                <w:sz w:val="20"/>
                <w:szCs w:val="20"/>
                <w:color w:val="auto"/>
              </w:rPr>
            </w:pP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2060" w:type="dxa"/>
            <w:vAlign w:val="bottom"/>
            <w:tcBorders>
              <w:right w:val="single" w:sz="8" w:color="auto"/>
            </w:tcBorders>
          </w:tcPr>
          <w:p>
            <w:pPr>
              <w:spacing w:after="0"/>
              <w:rPr>
                <w:sz w:val="20"/>
                <w:szCs w:val="20"/>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05"/>
        </w:trPr>
        <w:tc>
          <w:tcPr>
            <w:tcW w:w="20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Amicus Therapeutics,</w:t>
            </w:r>
          </w:p>
        </w:tc>
        <w:tc>
          <w:tcPr>
            <w:tcW w:w="20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Catalyst</w:t>
            </w:r>
          </w:p>
        </w:tc>
        <w:tc>
          <w:tcPr>
            <w:tcW w:w="202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Harmony Biosciences</w:t>
            </w:r>
          </w:p>
        </w:tc>
        <w:tc>
          <w:tcPr>
            <w:tcW w:w="206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Ultragenyx</w:t>
            </w:r>
          </w:p>
        </w:tc>
      </w:tr>
      <w:tr>
        <w:trPr>
          <w:trHeight w:val="234"/>
        </w:trPr>
        <w:tc>
          <w:tcPr>
            <w:tcW w:w="2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Pharmaceuticals, Inc.</w:t>
            </w: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Holdings, Inc.</w:t>
            </w:r>
          </w:p>
        </w:tc>
        <w:tc>
          <w:tcPr>
            <w:tcW w:w="2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Pharmaceutical Inc.</w:t>
            </w: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05"/>
        </w:trPr>
        <w:tc>
          <w:tcPr>
            <w:tcW w:w="2080" w:type="dxa"/>
            <w:vAlign w:val="bottom"/>
            <w:tcBorders>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Amphastar</w:t>
            </w:r>
          </w:p>
        </w:tc>
        <w:tc>
          <w:tcPr>
            <w:tcW w:w="20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Collegium</w:t>
            </w:r>
          </w:p>
        </w:tc>
        <w:tc>
          <w:tcPr>
            <w:tcW w:w="202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Ligand Pharmaceuticals</w:t>
            </w:r>
          </w:p>
        </w:tc>
        <w:tc>
          <w:tcPr>
            <w:tcW w:w="206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Xeris Biopharma</w:t>
            </w:r>
          </w:p>
        </w:tc>
      </w:tr>
      <w:tr>
        <w:trPr>
          <w:trHeight w:val="261"/>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Pharmaceuticals, Inc.</w:t>
            </w:r>
          </w:p>
        </w:tc>
        <w:tc>
          <w:tcPr>
            <w:tcW w:w="2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Pharmaceutical, Inc.</w:t>
            </w:r>
          </w:p>
        </w:tc>
        <w:tc>
          <w:tcPr>
            <w:tcW w:w="2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Incorporated</w:t>
            </w:r>
          </w:p>
        </w:tc>
        <w:tc>
          <w:tcPr>
            <w:tcW w:w="20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Holdings, Inc.</w:t>
            </w:r>
          </w:p>
        </w:tc>
      </w:tr>
    </w:tbl>
    <w:p>
      <w:pPr>
        <w:spacing w:after="0" w:line="95" w:lineRule="exact"/>
        <w:rPr>
          <w:sz w:val="20"/>
          <w:szCs w:val="20"/>
          <w:color w:val="auto"/>
        </w:rPr>
      </w:pPr>
    </w:p>
    <w:p>
      <w:pPr>
        <w:ind w:left="1260" w:right="459" w:firstLine="360"/>
        <w:spacing w:after="0" w:line="209" w:lineRule="auto"/>
        <w:rPr>
          <w:sz w:val="20"/>
          <w:szCs w:val="20"/>
          <w:color w:val="auto"/>
        </w:rPr>
      </w:pPr>
      <w:r>
        <w:rPr>
          <w:rFonts w:ascii="Times New Roman" w:cs="Times New Roman" w:eastAsia="Times New Roman" w:hAnsi="Times New Roman"/>
          <w:sz w:val="18"/>
          <w:szCs w:val="18"/>
          <w:color w:val="auto"/>
        </w:rPr>
        <w:t>Compared to the Peer Group, for 2025, the Company was at the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revenues,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percentile of market capitalization,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percentile for 1 year total shareholder return, and the 58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Peer Group headcount.</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main components of our executive compensation program are:</w:t>
      </w:r>
    </w:p>
    <w:p>
      <w:pPr>
        <w:spacing w:after="0" w:line="11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 equity awards in the form of options, restricted stock units (“RSUs”), and performance stock units (“PSUs”).</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Objectives and individual performance.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6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Base salaries are paid in order to provide a fixed component of compensation for the CEO, CFO, other NEOs and other members of executive management. For 2025, on February 19, 2025, the Compensation Committee reviewed the base salaries of the CEO and the CFO, other NEOs and the other executive officers, in the context of its assessment of performance, the CEO’s recommendations, and comparative data from the Aon report. Each executive officer’s individual performance and tenure were also evaluated. For each of these executive officers, based on the CEO’s recommendation (other than with respect to the CEO) and the executive officer’s individual performance and contribution to the achievement of Corporate Objectives, the Compensation Committee approved an increase in the respective base salary from the 2024 level (other than with respect to the CEO) to be within a range that is competitive with salaries paid to comparable officers at companies in the Peer Group. With respect to the CEO, based on the foregoing, the Compensation Committee recommended the Board of Directors approve an increase of the CEO’s base salary from the 2024 level to be within a range that is competitive with salaries paid to comparable CEOs at companies in the Peer Group. The full Board of Directors reviewed the approved increase and approved an increase in the CEO’s base salary based on its review and the Compensation Committee’s recommendation. Additionally, on May 30, 2025, the Compensation Committee recommended, and the Board of Directors approved increasing Mr. Mottola’s annual base salary for 2025 from $392,500 to $412,500 in connection with his appointment as the Company’s Chief Technical Operations Officer. The table below sets forth our NEOs base salaries for 2024 and 2025.</w:t>
      </w:r>
    </w:p>
    <w:p>
      <w:pPr>
        <w:spacing w:after="0" w:line="214"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600" w:type="dxa"/>
            <w:vAlign w:val="bottom"/>
            <w:tcBorders>
              <w:bottom w:val="single" w:sz="8" w:color="auto"/>
            </w:tcBorders>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Percentage</w:t>
            </w:r>
          </w:p>
        </w:tc>
      </w:tr>
      <w:tr>
        <w:trPr>
          <w:trHeight w:val="237"/>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2320" w:type="dxa"/>
            <w:vAlign w:val="bottom"/>
            <w:tcBorders>
              <w:right w:val="single" w:sz="8" w:color="CCEEFF"/>
            </w:tcBorders>
            <w:gridSpan w:val="9"/>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​​$1,001,500​​ ​​$1,036,000​​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485,500​​ ​​$</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504,900​​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r>
              <w:rPr>
                <w:rFonts w:ascii="Times New Roman" w:cs="Times New Roman" w:eastAsia="Times New Roman" w:hAnsi="Times New Roman"/>
                <w:sz w:val="18"/>
                <w:szCs w:val="18"/>
                <w:b w:val="1"/>
                <w:bCs w:val="1"/>
                <w:color w:val="auto"/>
              </w:rPr>
              <w:t xml:space="preserve"> ​</w:t>
            </w:r>
          </w:p>
        </w:tc>
      </w:tr>
      <w:tr>
        <w:trPr>
          <w:trHeight w:val="25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440,500​​ ​​$</w:t>
            </w:r>
          </w:p>
        </w:tc>
        <w:tc>
          <w:tcPr>
            <w:tcW w:w="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455,900​​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466,400​​ ​​$</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485,100​​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377,400​​ ​​$</w:t>
            </w:r>
          </w:p>
        </w:tc>
        <w:tc>
          <w:tcPr>
            <w:tcW w:w="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412,500​​ ​</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-822325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-822325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-822325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14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Annual cash bonuses are intended to reward individual performance by providing executive officers with an opportunity to receive additional cash compensation based primarily on the Company’s performance and, secondarily, for the executive officer’s achievement of individual goals. As described in greater detail below, performance is measured by the achievement of Corporate Objectives approved by the Board of Directors, and the assessment of the Compensation Committee, based on recommendations from the CEO, of how well the executive officer performed his or her role in contributing to stockholder value during the applicable year and achieved his or her individual goals.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Target Setting</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Cash bonus targets, expressed as a percentage of base salary, for the CEO, CFO, the other NEOs and all other members of executive management, were set within a range that is competitive 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 On May 30, 2025, the Compensation Committee recommended, and the Board of Directors approved increasing Mr. Mottola’s bonus target from 35% to 40% in connection with his appointment as the Company’s Chief Technical Operations Officer. None of the other NEOs cash bonus targets as a percentage of their respective base salaries increased in 2025 as compared to 2024.</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Elements of Cash Bonus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cash bonus target opportunity consists of two elements: (i) a Company performance element and</w:t>
      </w:r>
    </w:p>
    <w:p>
      <w:pPr>
        <w:spacing w:after="0" w:line="27" w:lineRule="exact"/>
        <w:rPr>
          <w:sz w:val="20"/>
          <w:szCs w:val="20"/>
          <w:color w:val="auto"/>
        </w:rPr>
      </w:pPr>
    </w:p>
    <w:p>
      <w:pPr>
        <w:ind w:left="1260" w:right="479"/>
        <w:spacing w:after="0" w:line="255" w:lineRule="auto"/>
        <w:tabs>
          <w:tab w:leader="none" w:pos="15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performance element (other than for the CEO whose cash bonus is based solely on Company performance elements). The targets and the relative weighting of objectives for the NEOs in 2025 were as follows: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22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Weighting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continue"/>
          </w:tcPr>
          <w:p>
            <w:pPr>
              <w:spacing w:after="0"/>
              <w:rPr>
                <w:sz w:val="12"/>
                <w:szCs w:val="12"/>
                <w:color w:val="auto"/>
              </w:rPr>
            </w:pPr>
          </w:p>
        </w:tc>
        <w:tc>
          <w:tcPr>
            <w:tcW w:w="2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Objectives</w:t>
            </w:r>
          </w:p>
        </w:tc>
        <w:tc>
          <w:tcPr>
            <w:tcW w:w="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4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restart"/>
          </w:tcPr>
          <w:p>
            <w:pPr>
              <w:ind w:left="120"/>
              <w:spacing w:after="0" w:line="110" w:lineRule="exact"/>
              <w:rPr>
                <w:sz w:val="20"/>
                <w:szCs w:val="20"/>
                <w:color w:val="auto"/>
              </w:rPr>
            </w:pPr>
            <w:r>
              <w:rPr>
                <w:rFonts w:ascii="Times New Roman" w:cs="Times New Roman" w:eastAsia="Times New Roman" w:hAnsi="Times New Roman"/>
                <w:sz w:val="12"/>
                <w:szCs w:val="12"/>
                <w:b w:val="1"/>
                <w:bCs w:val="1"/>
                <w:color w:val="auto"/>
              </w:rPr>
              <w:t>as a % of</w:t>
            </w:r>
          </w:p>
        </w:tc>
        <w:tc>
          <w:tcPr>
            <w:tcW w:w="2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700" w:type="dxa"/>
            <w:vAlign w:val="bottom"/>
            <w:gridSpan w:val="5"/>
            <w:vMerge w:val="restart"/>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Company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Individual</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line="20" w:lineRule="exact"/>
              <w:rPr>
                <w:sz w:val="1"/>
                <w:szCs w:val="1"/>
                <w:color w:val="auto"/>
              </w:rPr>
            </w:pPr>
          </w:p>
        </w:tc>
      </w:tr>
      <w:tr>
        <w:trPr>
          <w:trHeight w:val="214"/>
        </w:trPr>
        <w:tc>
          <w:tcPr>
            <w:tcW w:w="4780" w:type="dxa"/>
            <w:vAlign w:val="bottom"/>
            <w:vMerge w:val="continue"/>
          </w:tcPr>
          <w:p>
            <w:pPr>
              <w:spacing w:after="0"/>
              <w:rPr>
                <w:sz w:val="18"/>
                <w:szCs w:val="18"/>
                <w:color w:val="auto"/>
              </w:rPr>
            </w:pPr>
          </w:p>
        </w:tc>
        <w:tc>
          <w:tcPr>
            <w:tcW w:w="10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Base Salary)</w:t>
            </w:r>
          </w:p>
        </w:tc>
        <w:tc>
          <w:tcPr>
            <w:tcW w:w="17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​100%​​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84"/>
              </w:rPr>
              <w:t>(1)</w:t>
            </w: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60%​​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60%​​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60%​​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60%​​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-822325</wp:posOffset>
            </wp:positionV>
            <wp:extent cx="474916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right="115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performance is measured by reference to the overall performance of the Company, specifically the achievement of Corporate Objectives.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 Performance Goals</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Each year, we measure our annual corporate performance against our achievement of the key objectives and goals set forth in our annual business plan, which we refer to as our Corporate Objectives. The achievement of specified financial measures, such as annual operating income or revenue growth targets, are also considered to be important measures as a result of the growth and maturity of our company and our emergence as a long term, sustainably profitable business. In evaluating the overall performance of the Company, the Compensation Committee takes into account our strategic focus, which is to develop and commercialize products for the treatment of central nervous system (CNS) diseases. This strategy is anchored around the continued growth of our current commercial products and selective investments in our research and development pipeline, in-licensed technology and technology platforms which are designed to realize long-term growth for our Company. The strategy is also based on appropriate acquisitions of corporate assets. At the beginning of 2025, the CEO recommended, and the Compensation Committee and Board of Directors approved and assigned weights to certain Corporate Objectives for 2025 covering various key projects and financial goals including the following:</w:t>
      </w:r>
    </w:p>
    <w:p>
      <w:pPr>
        <w:spacing w:after="0" w:line="298"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SPN-812</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a specified regulatory meeting request and package to the FDA</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 material availability for a specified study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final data analysis on a specified study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SPN-820/821</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from a specified Phase 2b study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meeting package for an end of Phase 2 meeting with the FDA</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specified chronic toxicology studies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SPN-817</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specified pharmacokinetics study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 specified preclinical study for a new formulation</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specified enrollment target in a Phase 2b study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specified Phase 2a study</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SPN-830</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FDA approval</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product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specific gross or net revenue objectives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adjusted EBITDA objective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Discovery Program</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final analysis of a specified first-in-human study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specified go/no-go decision on a development program</w:t>
      </w:r>
    </w:p>
    <w:p>
      <w:pPr>
        <w:spacing w:after="0" w:line="117" w:lineRule="exact"/>
        <w:rPr>
          <w:rFonts w:ascii="Times New Roman" w:cs="Times New Roman" w:eastAsia="Times New Roman" w:hAnsi="Times New Roman"/>
          <w:sz w:val="18"/>
          <w:szCs w:val="18"/>
          <w:color w:val="auto"/>
        </w:rPr>
      </w:pPr>
    </w:p>
    <w:p>
      <w:pPr>
        <w:ind w:left="2160" w:right="619" w:hanging="180"/>
        <w:spacing w:after="0" w:line="282"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manufacture of a specified Good Manufacturing Practice batch to support a first-in-human study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all IND-enabling toxicology studies for a specified development candidate</w:t>
      </w:r>
    </w:p>
    <w:p>
      <w:pPr>
        <w:spacing w:after="0" w:line="14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cash bonus program has various payout levels depending on the Company’s performance measured against the Corporate Objectives. The payout of cash bonuses is primarily determined by the achievement of Corporate Objectives. For example, if 90% of our Corporate Objectives are achieved, 90% of the amount of each NEO’s cash bonus target attributable to the Corporate Objectives will be funded. The Board of Directors, based on the recommendation of the Compensation Committee and at its discretion, may adjust the payout levels. For 2025, the Corporate Objectives achievement level was determined by the Compensation Committee to be 109% of Corporate Objectives.</w:t>
      </w:r>
    </w:p>
    <w:p>
      <w:pPr>
        <w:spacing w:after="0" w:line="11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Please refer to the “Summary Compensation Table” for information concerning the actual bonuses paid to each of our NEOs for the year ended December 31, 2025.</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Long Term Incentives — Equity Incentive Awards</w:t>
      </w:r>
    </w:p>
    <w:p>
      <w:pPr>
        <w:spacing w:after="0" w:line="14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Equity incentive awards have the potential to be a significant component of each executive officer’s compensation package, particularly, if the Company’s stock price appreciates. We emphasize equity incentive awards to motivate our executive officers to drive both the short-term and long-term performance of the Company. Each executive officer has a significant role in developing and executing on the Company’s strategy and delivering financial performance year-over-year. We believe the emphasis on and mix of equity awards appropriately aligns their interests with those of our stockholders.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Incentive Grant Mechanics and Timing</w:t>
      </w:r>
    </w:p>
    <w:p>
      <w:pPr>
        <w:spacing w:after="0" w:line="16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approves all grants for equity incentives to NEOs (other than the CEO) and other employees. Awards granted to the CEO must be recommended by the Compensation Committee to the Board of Directors for approval. At least 75% of the independent directors of the Board of Directors must approve grants for equity incentives to the CEO.</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For annual awards, the grant date is the date during the first calendar quarter when the Compensation Committee and the full Board of Directors meet. The procedure for timing of equity grants minimizes the risk that awards are granted opportunistically for the benefit of employees. This date is established by the Compensation Committee and the full Board of Directors well in advance and has historically occurred in late February or early March. This first quarter grant date timing coincides with the Company’s calendar-year-based performance management cycle, allowing managers to deliver the equity awards close in time to performance appraisals. The Company believes this timing increases the impact of the awards by strengthening the link between pay and performance. Additional information regarding the timing of grants of equity awards is available under the heading “Executive Compensation — Policies and Practices Related to the Timing of Grants of Certain Equity Awards.”</w:t>
      </w:r>
    </w:p>
    <w:p>
      <w:pPr>
        <w:spacing w:after="0" w:line="11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exercise price for all stock option awards to the CEO, the Board, and the executive officers is the fair market value of the Company’s Common Stock on the date the grant is approved by the Board of</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Directors. The fair market value of the Company’s Common Stock as of a particular date is defined as the closing price of the Company’s Common Stock on such date.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Structure of Equity Award Compensation Program</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order to determine the size of equity incentive awards to each executive during the annual grant process, the Compensation Committee reviews market data on how much equity similarly situated officers are receiving at companies in the Peer Group. This review focuses on how much equity and the mix of equity awards that should be granted to each officer in order to be competitive with equity awards provided to comparable officers at companies in the Peer Group for their performance.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approves grants of stock options to provide a certain amount of equity to officers that will vest as long as the officer continues to serve at Supernus. These grants align the interests of our executive officers with those of our stockholders because the grants will only have value to the extent the market value of Supernus’ equity increases from the price per share on the date of grant. The exercise price of the stock options is equal to the closing price of the Company’s Common Stock on the date of the grant. Stock option awards for our executive officers were set within a range that is competitive with option awards granted to comparable officers at companies in the Peer Group for performance.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 The Compensation Committee has the discretion to adjust each officer’s award as it deems appropriate.</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February 20, 2025, the Board of Directors approved, upon recommendation from the Compensation Committee, a grant of 331,600 stock options to Mr. Khattar. On February 19, 2025, the Compensation Committee approved the following grants of stock options: 40,000 to Mr. Dec, 20,000 to Dr. Bhatt, 20,000 to Dr. Rubin, and 20,000 to Mr. Mottola. For additional information regarding the (i) value of these awards, see “Executive Compensation — Grants of Plan-Based Awards,” and (ii) the timing of the grants of these awards, see “Executive Compensation — Policies and Practices Related to the Timing of Grants of Certain Equity Awards.” In determining the actual amounts of each executive officer’s stock option award, the Compensation Committee and Board of Directors considered the recommendations of the CEO and each executive’s individual performance. In the case of Mr. Khattar, the Board of Directors considered the benefit to stockholders of his performance and the recommendations of the Compensation Committee. All stock options vest over four years in four equal installments of 25% each on the first four anniversaries of the date of grant assuming the individual’s continued service during the vesting period.</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and Compensation Committee include Performance Share Units in the mix of equity awards to the Company’s CEO, other NEOs and other executive officers to increase the relative weighting of performance-based compensation and to tie a more significant portion of total executive officer compensation to the achievement of performance goals that we believe drive the fundamentals of our business. Accordingly, all NEOs and other executive officers, in addition to receiving a grant of stock options and restricted stock units, received a portion of their equity award in the form of performance share units. Consistent with our emphasis on aligning pay for performance, each executive’s awarded performance share units vest upon the achievement of specific individual performance objectives, which are designed to support the long-term performance of the Company. Each of the performance share units have an objective that must be achieved within a defined performance period that must expire after no more than ten years.</w:t>
      </w:r>
    </w:p>
    <w:p>
      <w:pPr>
        <w:spacing w:after="0" w:line="343"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foregoing, on February 20, 2025, Mr. Khattar received a grant of 198,996 performance share units, and on February 19, 2025, each of Drs. Bhatt and Rubin and Messrs. Dec and Mottola received a grant of 5,000 performance share units. Mr. Khattar’s grant of performance share units was increased in 2025 as compared to 2024 because the Committee believes this increase in equity tied to the achievement of performance goals will provide increased focus on Company performance and drive the fundamentals of the Company’s business.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May 3, 2025, the Compensation Committee, based on a recommendation from the CEO, established individual performance objectives for each executive and determined that the achievement of each objective would result in the vesting of a specified portion of the performance share units.</w:t>
      </w:r>
    </w:p>
    <w:p>
      <w:pPr>
        <w:spacing w:after="0" w:line="61"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Khattar:</w:t>
      </w:r>
    </w:p>
    <w:p>
      <w:pPr>
        <w:spacing w:after="0" w:line="117"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non-GAAP operating earnings or net product sales guidance issued by the Company at the beginning of the year by a specified percentage for 2025 and 2026 combined;</w:t>
      </w:r>
    </w:p>
    <w:p>
      <w:pPr>
        <w:spacing w:after="0" w:line="4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 corporate development transaction with specified characteristics;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license or acquire an asset with specified characteristics;</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positive Phase II data on SPN-817 during a specified period;</w:t>
      </w:r>
    </w:p>
    <w:p>
      <w:pPr>
        <w:spacing w:after="0" w:line="117" w:lineRule="exact"/>
        <w:rPr>
          <w:rFonts w:ascii="Times New Roman" w:cs="Times New Roman" w:eastAsia="Times New Roman" w:hAnsi="Times New Roman"/>
          <w:sz w:val="18"/>
          <w:szCs w:val="18"/>
          <w:color w:val="auto"/>
        </w:rPr>
      </w:pPr>
    </w:p>
    <w:p>
      <w:pPr>
        <w:ind w:left="2160" w:right="6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specified prototypes on a specific product candidate with specified data from one of them by the end of 2026; and</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Phase 2b study on SPN-821 with topline data during a specified period.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Dec:</w:t>
      </w:r>
    </w:p>
    <w:p>
      <w:pPr>
        <w:spacing w:after="0" w:line="117" w:lineRule="exact"/>
        <w:rPr>
          <w:rFonts w:ascii="Times New Roman" w:cs="Times New Roman" w:eastAsia="Times New Roman" w:hAnsi="Times New Roman"/>
          <w:sz w:val="18"/>
          <w:szCs w:val="18"/>
          <w:color w:val="auto"/>
        </w:rPr>
      </w:pPr>
    </w:p>
    <w:p>
      <w:pPr>
        <w:ind w:left="2160" w:right="85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comprehensive portfolio plan with multi-year timelines and costs, and minimize annual R&amp;D estimate changes below a specified percentage in 2025, 2026 and 2027;</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 corporate development transaction with integration during a specified period;</w:t>
      </w:r>
    </w:p>
    <w:p>
      <w:pPr>
        <w:spacing w:after="0" w:line="117" w:lineRule="exact"/>
        <w:rPr>
          <w:rFonts w:ascii="Times New Roman" w:cs="Times New Roman" w:eastAsia="Times New Roman" w:hAnsi="Times New Roman"/>
          <w:sz w:val="18"/>
          <w:szCs w:val="18"/>
          <w:color w:val="auto"/>
        </w:rPr>
      </w:pPr>
    </w:p>
    <w:p>
      <w:pPr>
        <w:ind w:left="2160" w:right="131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tax planning strategy to reduce the overall effective corporate tax rate for specified years compared to a specified baseline; and</w:t>
      </w:r>
    </w:p>
    <w:p>
      <w:pPr>
        <w:spacing w:after="0" w:line="40" w:lineRule="exact"/>
        <w:rPr>
          <w:rFonts w:ascii="Times New Roman" w:cs="Times New Roman" w:eastAsia="Times New Roman" w:hAnsi="Times New Roman"/>
          <w:sz w:val="18"/>
          <w:szCs w:val="18"/>
          <w:color w:val="auto"/>
        </w:rPr>
      </w:pPr>
    </w:p>
    <w:p>
      <w:pPr>
        <w:ind w:left="2160" w:right="9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financing for a corporate development transaction that meets specified revenue or pipeline criteria.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Rubin:</w:t>
      </w:r>
    </w:p>
    <w:p>
      <w:pPr>
        <w:spacing w:after="0" w:line="117" w:lineRule="exact"/>
        <w:rPr>
          <w:rFonts w:ascii="Times New Roman" w:cs="Times New Roman" w:eastAsia="Times New Roman" w:hAnsi="Times New Roman"/>
          <w:sz w:val="18"/>
          <w:szCs w:val="18"/>
          <w:color w:val="auto"/>
        </w:rPr>
      </w:pPr>
    </w:p>
    <w:p>
      <w:pPr>
        <w:ind w:left="2160" w:right="85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comprehensive portfolio plan with multi-year timelines and costs, and minimize annual R&amp;D estimate changes below a specified percentage in 2025, 2026 and 2027;</w:t>
      </w:r>
    </w:p>
    <w:p>
      <w:pPr>
        <w:spacing w:after="0" w:line="40" w:lineRule="exact"/>
        <w:rPr>
          <w:rFonts w:ascii="Times New Roman" w:cs="Times New Roman" w:eastAsia="Times New Roman" w:hAnsi="Times New Roman"/>
          <w:sz w:val="18"/>
          <w:szCs w:val="18"/>
          <w:color w:val="auto"/>
        </w:rPr>
      </w:pPr>
    </w:p>
    <w:p>
      <w:pPr>
        <w:ind w:left="2160" w:right="59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final tables, figures, and listings on a specific product candidate by a specified date; and</w:t>
      </w:r>
    </w:p>
    <w:p>
      <w:pPr>
        <w:spacing w:after="0" w:line="314"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Phase 2b study on SPN-821 with topline data during a specified period.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Bhatt:</w:t>
      </w:r>
    </w:p>
    <w:p>
      <w:pPr>
        <w:spacing w:after="0" w:line="117" w:lineRule="exact"/>
        <w:rPr>
          <w:rFonts w:ascii="Times New Roman" w:cs="Times New Roman" w:eastAsia="Times New Roman" w:hAnsi="Times New Roman"/>
          <w:sz w:val="18"/>
          <w:szCs w:val="18"/>
          <w:color w:val="auto"/>
        </w:rPr>
      </w:pPr>
    </w:p>
    <w:p>
      <w:pPr>
        <w:ind w:left="2160" w:right="6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specified prototypes on a specific product candidate with specified data from one of them by the end of 2026; and</w:t>
      </w:r>
    </w:p>
    <w:p>
      <w:pPr>
        <w:spacing w:after="0" w:line="40" w:lineRule="exact"/>
        <w:rPr>
          <w:rFonts w:ascii="Times New Roman" w:cs="Times New Roman" w:eastAsia="Times New Roman" w:hAnsi="Times New Roman"/>
          <w:sz w:val="18"/>
          <w:szCs w:val="18"/>
          <w:color w:val="auto"/>
        </w:rPr>
      </w:pPr>
    </w:p>
    <w:p>
      <w:pPr>
        <w:ind w:left="2160" w:right="81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 patent for the method of use of a specified chemical entity from the discovery platform by the end of 2027.</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Mottola:</w:t>
      </w:r>
    </w:p>
    <w:p>
      <w:pPr>
        <w:spacing w:after="0" w:line="117" w:lineRule="exact"/>
        <w:rPr>
          <w:rFonts w:ascii="Times New Roman" w:cs="Times New Roman" w:eastAsia="Times New Roman" w:hAnsi="Times New Roman"/>
          <w:sz w:val="18"/>
          <w:szCs w:val="18"/>
          <w:color w:val="auto"/>
        </w:rPr>
      </w:pPr>
    </w:p>
    <w:p>
      <w:pPr>
        <w:ind w:left="2160" w:right="10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IT infrastructure through a specified period without a cyber-attack that disrupts business continuity beyond a specified threshold;</w:t>
      </w:r>
    </w:p>
    <w:p>
      <w:pPr>
        <w:spacing w:after="0" w:line="53" w:lineRule="exact"/>
        <w:rPr>
          <w:rFonts w:ascii="Times New Roman" w:cs="Times New Roman" w:eastAsia="Times New Roman" w:hAnsi="Times New Roman"/>
          <w:sz w:val="18"/>
          <w:szCs w:val="18"/>
          <w:color w:val="auto"/>
        </w:rPr>
      </w:pPr>
    </w:p>
    <w:p>
      <w:pPr>
        <w:ind w:left="2160" w:right="6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specified prototypes on a specific product candidate with specified data from one of them by a specified date; and</w:t>
      </w:r>
    </w:p>
    <w:p>
      <w:pPr>
        <w:spacing w:after="0" w:line="40" w:lineRule="exact"/>
        <w:rPr>
          <w:rFonts w:ascii="Times New Roman" w:cs="Times New Roman" w:eastAsia="Times New Roman" w:hAnsi="Times New Roman"/>
          <w:sz w:val="18"/>
          <w:szCs w:val="18"/>
          <w:color w:val="auto"/>
        </w:rPr>
      </w:pPr>
    </w:p>
    <w:p>
      <w:pPr>
        <w:ind w:left="2160" w:right="7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secure supply of a specific commercial product with adequate dating to ensure continuity of supply through a specified period.</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Company’s restricted stock units (“RSU”) awards vest in four equal installments of 25% each on the first four anniversaries of the date of grant provided the NEO continues to serve at Supernus on each such anniversary date. The Board of Directors believes that providing NEOs (other than the CEO) a mix of time-vesting and performance-vesting equity awards based on pre-established goals achieves a balance in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our equity-based compensation program and further aligns the interests of such officer and our stockholders through the RSU award’s retention value.</w:t>
      </w:r>
    </w:p>
    <w:p>
      <w:pPr>
        <w:spacing w:after="0" w:line="8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foregoing, on February 19, 2025, each of Drs. Bhatt and Rubin and Messrs. Dec and Mottola received a grant of 4,500 RSUs.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executive officers are eligible to participate in all of our employee benefit plans, such as medical, dental, vision, group life insurance, disability insurance, Employee Stock Purchase Plan (“ESPP”) and our 401(k) plan, in each case on the same basis and subject to the same terms as our other employees. The Company makes a safe harbor match to the 401(k) Plan for all participants. There were no special benefits or perquisites provided to any executive officer in 2025.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Policies Covering Executive Compensation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Incentive Compensation Recoupment Policy</w:t>
      </w:r>
    </w:p>
    <w:p>
      <w:pPr>
        <w:spacing w:after="0" w:line="14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Our Board adopted an Incentive Compensation Recoupment Policy that applies to all of the Company’s current and former executive officers and vice presidents and is intended to conform to the final clawback rule adopted by the SEC implementing applicable provisions of the Dodd -Frank Wall Street Reform and Consumer Protection Act and Nasdaq’s related proposed listing standard, in each case relating to recoupment of incentive- based compensation. Under the policy any cash bonus and/or equity compensation granted by the Company after the date of adoption is subject to recoupment.</w:t>
      </w:r>
    </w:p>
    <w:p>
      <w:pPr>
        <w:spacing w:after="0" w:line="11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policy provides for discretionary recoupment of compensation if (i) the Board of Directors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whereupon the Board of Directors may take appropriate action to recover from such covered executive any incentive compensation resulting from such incorrect determination paid to such covered executive to the extent it was based on such incorrect determination.</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policy further provides for the mandatory recoupment of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whereupon the Company is required to take reasonably appropriate action to recover all erroneously awarded incentive compensation received by an executive during the three year period preceding the required accounting restatement and during any transition period (that results from a change in the Company’s fiscal year) within or immediately following such three year period.</w:t>
      </w:r>
    </w:p>
    <w:p>
      <w:pPr>
        <w:spacing w:after="0" w:line="32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During 2025, the Company was not required to prepare an accounting restatement that required recovery of erroneously awarded compensation pursuant to the Company’s Incentive Compensation Recoupment Policy nor was there an outstanding balance as of the end of the last completed fiscal year of erroneously awarded compensation to be recovered from the application of the policy to a prior restatement.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Ownership and Retention Guidelines</w:t>
      </w:r>
    </w:p>
    <w:p>
      <w:pPr>
        <w:spacing w:after="0" w:line="160"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recommended, and the Board of Directors adopted, Share Ownership and Retention Guidelines for the Board of Directors and the CEO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“Guidelines”). Under the Guidelines, each director is required to hold $150,000 of Company stock, and the CEO is required to hold Company stock equal to three times his base salary. The Guidelines were adopted in 2020. Each director and the CEO have five years to attain the required ownership of Company stock from the date they begin such position. The CEO and all directors who have served as directors for five years are in compliance with the Guidelines. The Guidelines do not currently have share ownership or retention requirements applicable to other employees or NEOs.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 Considerations</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Section 162(m) of the Internal Revenue Code (“Section 162(m)”) imposes an annual deduction limit of $1 million on the amount of compensation paid to the Company’s executive officers.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CEO and other NEOs in a manner consistent with the goals of our executive compensation program and the best interests of Supernus and its shareholders, which may include providing for compensation that is not deductible by Supernus due to the deduction limit under Section 162(m).</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Anti-Hedging and Anti-Pledging Policies</w:t>
      </w:r>
    </w:p>
    <w:p>
      <w:pPr>
        <w:spacing w:after="0" w:line="16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Our Insider Trading Policy generally prohibits our directors, CEO, other NEOs and all other employees from entering into hedging or monetization transactions that transfer, with respect to equity compensation received by such individual, all or a portion of the risk of a decline in the market price of shares of our common stock. Our Insider Trading Policy also prohibits directors, CEO, other NEOs as well as all other employees from pledging our securities or holding such securities in a margin account. For additional details regarding our Insider Trading Policy and the other restrictions it contains see “Corporate Governance —  Insider Trading Policy”.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Policy Against Repricing Stock Options</w:t>
      </w:r>
    </w:p>
    <w:p>
      <w:pPr>
        <w:spacing w:after="0" w:line="146"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Company has a consistent policy against the repricing of stock options without stockholder approval.</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Award Forfeiture Upon Termination for Cause</w:t>
      </w:r>
    </w:p>
    <w:p>
      <w:pPr>
        <w:spacing w:after="0" w:line="1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An executive may be terminated for cause, due to dishonesty, embezzlement, theft or fraudulent misconduct or for other reasons. In such a case, any unpaid and/or unvested incentive awards as of the date of termination would be forfeited.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Benefits in Connection with Termination of Employment</w:t>
      </w:r>
    </w:p>
    <w:p>
      <w:pPr>
        <w:spacing w:after="0" w:line="160"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Certain of our executives have agreements related to payments upon a change of control of the Company, which agreements are discussed below under the heading “Executive Compensation — Employment Agreement, Offer Letter and Severance Benefits”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16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2025.</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Georges Gemayel, Ph.D. (Chair),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Frederick M. Hudson,</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Charles W. Newhall,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ind w:left="1260" w:right="18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compensation earned by our CEO and other NEOs during the fiscal years ended December 31, 2025, December 31, 2024 and December 31, 2023.</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r>
      <w:tr>
        <w:trPr>
          <w:trHeight w:val="200"/>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 Year ​ ​</w:t>
            </w: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-7620</wp:posOffset>
            </wp:positionV>
            <wp:extent cx="6180455" cy="462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80455" cy="46291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178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​2025</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​1,036,000</w:t>
            </w:r>
            <w:r>
              <w:rPr>
                <w:rFonts w:ascii="Times New Roman" w:cs="Times New Roman" w:eastAsia="Times New Roman" w:hAnsi="Times New Roman"/>
                <w:sz w:val="27"/>
                <w:szCs w:val="27"/>
                <w:color w:val="auto"/>
                <w:vertAlign w:val="superscript"/>
              </w:rPr>
              <w:t>​​</w:t>
            </w:r>
          </w:p>
        </w:tc>
        <w:tc>
          <w:tcPr>
            <w:tcW w:w="9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​6,535,029</w:t>
            </w:r>
            <w:r>
              <w:rPr>
                <w:rFonts w:ascii="Times New Roman" w:cs="Times New Roman" w:eastAsia="Times New Roman" w:hAnsi="Times New Roman"/>
                <w:sz w:val="27"/>
                <w:szCs w:val="27"/>
                <w:color w:val="auto"/>
                <w:vertAlign w:val="superscript"/>
              </w:rPr>
              <w:t>​​</w:t>
            </w:r>
          </w:p>
        </w:tc>
        <w:tc>
          <w:tcPr>
            <w:tcW w:w="11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​7,031,545</w:t>
            </w:r>
            <w:r>
              <w:rPr>
                <w:rFonts w:ascii="Times New Roman" w:cs="Times New Roman" w:eastAsia="Times New Roman" w:hAnsi="Times New Roman"/>
                <w:sz w:val="27"/>
                <w:szCs w:val="27"/>
                <w:color w:val="auto"/>
                <w:vertAlign w:val="superscript"/>
              </w:rPr>
              <w:t>​​ ​</w:t>
            </w:r>
          </w:p>
        </w:tc>
        <w:tc>
          <w:tcPr>
            <w:tcW w:w="740" w:type="dxa"/>
            <w:vAlign w:val="bottom"/>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​846,930</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​52,053</w:t>
            </w:r>
          </w:p>
        </w:tc>
        <w:tc>
          <w:tcPr>
            <w:tcW w:w="160" w:type="dxa"/>
            <w:vAlign w:val="bottom"/>
          </w:tcPr>
          <w:p>
            <w:pPr>
              <w:spacing w:after="0"/>
              <w:rPr>
                <w:sz w:val="20"/>
                <w:szCs w:val="20"/>
                <w:color w:val="auto"/>
              </w:rPr>
            </w:pPr>
          </w:p>
        </w:tc>
        <w:tc>
          <w:tcPr>
            <w:tcW w:w="126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​15,501,557</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36"/>
        </w:trPr>
        <w:tc>
          <w:tcPr>
            <w:tcW w:w="2940" w:type="dxa"/>
            <w:vAlign w:val="bottom"/>
          </w:tcPr>
          <w:p>
            <w:pPr>
              <w:ind w:left="180"/>
              <w:spacing w:after="0" w:line="36" w:lineRule="exact"/>
              <w:rPr>
                <w:sz w:val="20"/>
                <w:szCs w:val="20"/>
                <w:color w:val="auto"/>
              </w:rPr>
            </w:pPr>
            <w:r>
              <w:rPr>
                <w:rFonts w:ascii="Times New Roman" w:cs="Times New Roman" w:eastAsia="Times New Roman" w:hAnsi="Times New Roman"/>
                <w:sz w:val="4"/>
                <w:szCs w:val="4"/>
                <w:i w:val="1"/>
                <w:iCs w:val="1"/>
                <w:color w:val="auto"/>
              </w:rPr>
              <w:t>Chief Executive Officer,</w:t>
            </w:r>
          </w:p>
        </w:tc>
        <w:tc>
          <w:tcPr>
            <w:tcW w:w="240" w:type="dxa"/>
            <w:vAlign w:val="bottom"/>
          </w:tcPr>
          <w:p>
            <w:pPr>
              <w:spacing w:after="0"/>
              <w:rPr>
                <w:sz w:val="3"/>
                <w:szCs w:val="3"/>
                <w:color w:val="auto"/>
              </w:rPr>
            </w:pPr>
          </w:p>
        </w:tc>
        <w:tc>
          <w:tcPr>
            <w:tcW w:w="3580" w:type="dxa"/>
            <w:vAlign w:val="bottom"/>
            <w:gridSpan w:val="8"/>
          </w:tcPr>
          <w:p>
            <w:pPr>
              <w:jc w:val="right"/>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shd w:val="clear" w:color="auto" w:fill="CCEEFF"/>
              </w:rPr>
              <w:t>​2024</w:t>
            </w:r>
            <w:r>
              <w:rPr>
                <w:rFonts w:ascii="Times New Roman" w:cs="Times New Roman" w:eastAsia="Times New Roman" w:hAnsi="Times New Roman"/>
                <w:sz w:val="4"/>
                <w:szCs w:val="4"/>
                <w:color w:val="auto"/>
                <w:vertAlign w:val="superscript"/>
                <w:shd w:val="clear" w:color="auto" w:fill="CCEEFF"/>
              </w:rPr>
              <w:t>​​ ​​</w:t>
            </w:r>
            <w:r>
              <w:rPr>
                <w:rFonts w:ascii="Times New Roman" w:cs="Times New Roman" w:eastAsia="Times New Roman" w:hAnsi="Times New Roman"/>
                <w:sz w:val="2"/>
                <w:szCs w:val="2"/>
                <w:color w:val="auto"/>
                <w:shd w:val="clear" w:color="auto" w:fill="CCEEFF"/>
              </w:rPr>
              <w:t>​1,001,500</w:t>
            </w:r>
            <w:r>
              <w:rPr>
                <w:rFonts w:ascii="Times New Roman" w:cs="Times New Roman" w:eastAsia="Times New Roman" w:hAnsi="Times New Roman"/>
                <w:sz w:val="4"/>
                <w:szCs w:val="4"/>
                <w:color w:val="auto"/>
                <w:vertAlign w:val="superscript"/>
                <w:shd w:val="clear" w:color="auto" w:fill="CCEEFF"/>
              </w:rPr>
              <w:t>​​ ​​</w:t>
            </w:r>
            <w:r>
              <w:rPr>
                <w:rFonts w:ascii="Times New Roman" w:cs="Times New Roman" w:eastAsia="Times New Roman" w:hAnsi="Times New Roman"/>
                <w:sz w:val="2"/>
                <w:szCs w:val="2"/>
                <w:color w:val="auto"/>
                <w:shd w:val="clear" w:color="auto" w:fill="CCEEFF"/>
              </w:rPr>
              <w:t>​5,199,012</w:t>
            </w:r>
            <w:r>
              <w:rPr>
                <w:rFonts w:ascii="Times New Roman" w:cs="Times New Roman" w:eastAsia="Times New Roman" w:hAnsi="Times New Roman"/>
                <w:sz w:val="4"/>
                <w:szCs w:val="4"/>
                <w:color w:val="auto"/>
                <w:vertAlign w:val="superscript"/>
                <w:shd w:val="clear" w:color="auto" w:fill="CCEEFF"/>
              </w:rPr>
              <w:t>​​ ​​</w:t>
            </w:r>
            <w:r>
              <w:rPr>
                <w:rFonts w:ascii="Times New Roman" w:cs="Times New Roman" w:eastAsia="Times New Roman" w:hAnsi="Times New Roman"/>
                <w:sz w:val="2"/>
                <w:szCs w:val="2"/>
                <w:color w:val="auto"/>
                <w:shd w:val="clear" w:color="auto" w:fill="CCEEFF"/>
              </w:rPr>
              <w:t>​5,567,427</w:t>
            </w:r>
            <w:r>
              <w:rPr>
                <w:rFonts w:ascii="Times New Roman" w:cs="Times New Roman" w:eastAsia="Times New Roman" w:hAnsi="Times New Roman"/>
                <w:sz w:val="4"/>
                <w:szCs w:val="4"/>
                <w:color w:val="auto"/>
                <w:vertAlign w:val="superscript"/>
                <w:shd w:val="clear" w:color="auto" w:fill="CCEEFF"/>
              </w:rPr>
              <w:t>​​ ​</w:t>
            </w:r>
          </w:p>
        </w:tc>
        <w:tc>
          <w:tcPr>
            <w:tcW w:w="740" w:type="dxa"/>
            <w:vAlign w:val="bottom"/>
          </w:tcPr>
          <w:p>
            <w:pPr>
              <w:ind w:left="60"/>
              <w:spacing w:after="0" w:line="36" w:lineRule="exact"/>
              <w:rPr>
                <w:sz w:val="20"/>
                <w:szCs w:val="20"/>
                <w:color w:val="auto"/>
              </w:rPr>
            </w:pPr>
            <w:r>
              <w:rPr>
                <w:rFonts w:ascii="Times New Roman" w:cs="Times New Roman" w:eastAsia="Times New Roman" w:hAnsi="Times New Roman"/>
                <w:sz w:val="4"/>
                <w:szCs w:val="4"/>
                <w:color w:val="auto"/>
                <w:shd w:val="clear" w:color="auto" w:fill="CCEEFF"/>
              </w:rPr>
              <w:t>​826,254</w:t>
            </w:r>
          </w:p>
        </w:tc>
        <w:tc>
          <w:tcPr>
            <w:tcW w:w="380" w:type="dxa"/>
            <w:vAlign w:val="bottom"/>
          </w:tcPr>
          <w:p>
            <w:pPr>
              <w:ind w:left="80"/>
              <w:spacing w:after="0" w:line="36" w:lineRule="exact"/>
              <w:rPr>
                <w:sz w:val="20"/>
                <w:szCs w:val="20"/>
                <w:color w:val="auto"/>
              </w:rPr>
            </w:pPr>
            <w:r>
              <w:rPr>
                <w:rFonts w:ascii="Times New Roman" w:cs="Times New Roman" w:eastAsia="Times New Roman" w:hAnsi="Times New Roman"/>
                <w:sz w:val="4"/>
                <w:szCs w:val="4"/>
                <w:color w:val="auto"/>
                <w:shd w:val="clear" w:color="auto" w:fill="CCEEFF"/>
              </w:rPr>
              <w:t>​​ ​</w:t>
            </w:r>
          </w:p>
        </w:tc>
        <w:tc>
          <w:tcPr>
            <w:tcW w:w="600" w:type="dxa"/>
            <w:vAlign w:val="bottom"/>
          </w:tcPr>
          <w:p>
            <w:pPr>
              <w:ind w:left="100"/>
              <w:spacing w:after="0" w:line="36" w:lineRule="exact"/>
              <w:rPr>
                <w:sz w:val="20"/>
                <w:szCs w:val="20"/>
                <w:color w:val="auto"/>
              </w:rPr>
            </w:pPr>
            <w:r>
              <w:rPr>
                <w:rFonts w:ascii="Times New Roman" w:cs="Times New Roman" w:eastAsia="Times New Roman" w:hAnsi="Times New Roman"/>
                <w:sz w:val="4"/>
                <w:szCs w:val="4"/>
                <w:color w:val="auto"/>
                <w:vertAlign w:val="superscript"/>
                <w:shd w:val="clear" w:color="auto" w:fill="CCEEFF"/>
              </w:rPr>
              <w:t>​</w:t>
            </w:r>
            <w:r>
              <w:rPr>
                <w:rFonts w:ascii="Times New Roman" w:cs="Times New Roman" w:eastAsia="Times New Roman" w:hAnsi="Times New Roman"/>
                <w:sz w:val="2"/>
                <w:szCs w:val="2"/>
                <w:color w:val="auto"/>
                <w:shd w:val="clear" w:color="auto" w:fill="CCEEFF"/>
              </w:rPr>
              <w:t>​46,796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(6)</w:t>
            </w:r>
          </w:p>
        </w:tc>
        <w:tc>
          <w:tcPr>
            <w:tcW w:w="1080" w:type="dxa"/>
            <w:vAlign w:val="bottom"/>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shd w:val="clear" w:color="auto" w:fill="CCEEFF"/>
              </w:rPr>
              <w:t>​​ ​​</w:t>
            </w:r>
            <w:r>
              <w:rPr>
                <w:rFonts w:ascii="Times New Roman" w:cs="Times New Roman" w:eastAsia="Times New Roman" w:hAnsi="Times New Roman"/>
                <w:sz w:val="2"/>
                <w:szCs w:val="2"/>
                <w:color w:val="auto"/>
                <w:shd w:val="clear" w:color="auto" w:fill="CCEEFF"/>
              </w:rPr>
              <w:t>​12,640,989</w:t>
            </w:r>
          </w:p>
        </w:tc>
        <w:tc>
          <w:tcPr>
            <w:tcW w:w="18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line="20" w:lineRule="exact"/>
              <w:rPr>
                <w:sz w:val="1"/>
                <w:szCs w:val="1"/>
                <w:color w:val="auto"/>
              </w:rPr>
            </w:pPr>
          </w:p>
        </w:tc>
      </w:tr>
      <w:tr>
        <w:trPr>
          <w:trHeight w:val="150"/>
        </w:trPr>
        <w:tc>
          <w:tcPr>
            <w:tcW w:w="2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shd w:val="clear" w:color="auto" w:fill="CCEEFF"/>
              </w:rPr>
              <w:t>(5)</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73"/>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&amp; Secretary</w:t>
            </w:r>
          </w:p>
        </w:tc>
        <w:tc>
          <w:tcPr>
            <w:tcW w:w="240" w:type="dxa"/>
            <w:vAlign w:val="bottom"/>
          </w:tcPr>
          <w:p>
            <w:pPr>
              <w:spacing w:after="0"/>
              <w:rPr>
                <w:sz w:val="23"/>
                <w:szCs w:val="23"/>
                <w:color w:val="auto"/>
              </w:rPr>
            </w:pPr>
          </w:p>
        </w:tc>
        <w:tc>
          <w:tcPr>
            <w:tcW w:w="780" w:type="dxa"/>
            <w:vAlign w:val="bottom"/>
            <w:gridSpan w:val="3"/>
          </w:tcPr>
          <w:p>
            <w:pPr>
              <w:jc w:val="right"/>
              <w:spacing w:after="0" w:line="27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shd w:val="clear" w:color="auto" w:fill="CCEEFF"/>
              </w:rPr>
              <w:t>​2023</w:t>
            </w:r>
            <w:r>
              <w:rPr>
                <w:rFonts w:ascii="Times New Roman" w:cs="Times New Roman" w:eastAsia="Times New Roman" w:hAnsi="Times New Roman"/>
                <w:sz w:val="17"/>
                <w:szCs w:val="17"/>
                <w:color w:val="auto"/>
                <w:shd w:val="clear" w:color="auto" w:fill="CCEEFF"/>
              </w:rPr>
              <w:t>​​ ​​</w:t>
            </w:r>
            <w:r>
              <w:rPr>
                <w:rFonts w:ascii="Times New Roman" w:cs="Times New Roman" w:eastAsia="Times New Roman" w:hAnsi="Times New Roman"/>
                <w:sz w:val="31"/>
                <w:szCs w:val="31"/>
                <w:color w:val="auto"/>
                <w:vertAlign w:val="subscript"/>
                <w:shd w:val="clear" w:color="auto" w:fill="CCEEFF"/>
              </w:rPr>
              <w:t>​</w:t>
            </w:r>
          </w:p>
        </w:tc>
        <w:tc>
          <w:tcPr>
            <w:tcW w:w="2800" w:type="dxa"/>
            <w:vAlign w:val="bottom"/>
            <w:gridSpan w:val="5"/>
          </w:tcPr>
          <w:p>
            <w:pPr>
              <w:jc w:val="right"/>
              <w:spacing w:after="0" w:line="272" w:lineRule="exact"/>
              <w:rPr>
                <w:sz w:val="20"/>
                <w:szCs w:val="20"/>
                <w:color w:val="auto"/>
              </w:rPr>
            </w:pPr>
            <w:r>
              <w:rPr>
                <w:rFonts w:ascii="Times New Roman" w:cs="Times New Roman" w:eastAsia="Times New Roman" w:hAnsi="Times New Roman"/>
                <w:sz w:val="17"/>
                <w:szCs w:val="17"/>
                <w:color w:val="auto"/>
                <w:shd w:val="clear" w:color="auto" w:fill="CCEEFF"/>
              </w:rPr>
              <w:t>963,000</w:t>
            </w: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​4,760,000</w:t>
            </w: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​6,675,200</w:t>
            </w:r>
            <w:r>
              <w:rPr>
                <w:rFonts w:ascii="Times New Roman" w:cs="Times New Roman" w:eastAsia="Times New Roman" w:hAnsi="Times New Roman"/>
                <w:sz w:val="31"/>
                <w:szCs w:val="31"/>
                <w:color w:val="auto"/>
                <w:vertAlign w:val="superscript"/>
                <w:shd w:val="clear" w:color="auto" w:fill="CCEEFF"/>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​830,588</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shd w:val="clear" w:color="auto" w:fill="CCEEFF"/>
              </w:rPr>
              <w:t>​​ ​</w:t>
            </w:r>
          </w:p>
        </w:tc>
        <w:tc>
          <w:tcPr>
            <w:tcW w:w="600" w:type="dxa"/>
            <w:vAlign w:val="bottom"/>
          </w:tcPr>
          <w:p>
            <w:pPr>
              <w:ind w:left="100"/>
              <w:spacing w:after="0" w:line="272"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​49,305</w:t>
            </w:r>
          </w:p>
        </w:tc>
        <w:tc>
          <w:tcPr>
            <w:tcW w:w="160" w:type="dxa"/>
            <w:vAlign w:val="bottom"/>
          </w:tcPr>
          <w:p>
            <w:pPr>
              <w:spacing w:after="0"/>
              <w:rPr>
                <w:sz w:val="23"/>
                <w:szCs w:val="23"/>
                <w:color w:val="auto"/>
              </w:rPr>
            </w:pPr>
          </w:p>
        </w:tc>
        <w:tc>
          <w:tcPr>
            <w:tcW w:w="1080" w:type="dxa"/>
            <w:vAlign w:val="bottom"/>
          </w:tcPr>
          <w:p>
            <w:pPr>
              <w:ind w:left="40"/>
              <w:spacing w:after="0" w:line="272"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​13,278,093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720" w:type="dxa"/>
            <w:vAlign w:val="bottom"/>
            <w:gridSpan w:val="3"/>
          </w:tcPr>
          <w:p>
            <w:pPr>
              <w:jc w:val="right"/>
              <w:ind w:right="25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9"/>
              <w:spacing w:after="0" w:line="184" w:lineRule="exact"/>
              <w:rPr>
                <w:sz w:val="20"/>
                <w:szCs w:val="20"/>
                <w:color w:val="auto"/>
              </w:rPr>
            </w:pPr>
            <w:r>
              <w:rPr>
                <w:rFonts w:ascii="Times New Roman" w:cs="Times New Roman" w:eastAsia="Times New Roman" w:hAnsi="Times New Roman"/>
                <w:sz w:val="18"/>
                <w:szCs w:val="18"/>
                <w:color w:val="auto"/>
              </w:rPr>
              <w:t>504,900</w:t>
            </w:r>
          </w:p>
        </w:tc>
        <w:tc>
          <w:tcPr>
            <w:tcW w:w="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8"/>
              <w:spacing w:after="0" w:line="184" w:lineRule="exact"/>
              <w:rPr>
                <w:sz w:val="20"/>
                <w:szCs w:val="20"/>
                <w:color w:val="auto"/>
              </w:rPr>
            </w:pPr>
            <w:r>
              <w:rPr>
                <w:rFonts w:ascii="Times New Roman" w:cs="Times New Roman" w:eastAsia="Times New Roman" w:hAnsi="Times New Roman"/>
                <w:sz w:val="18"/>
                <w:szCs w:val="18"/>
                <w:color w:val="auto"/>
              </w:rPr>
              <w:t>315,040</w:t>
            </w:r>
          </w:p>
        </w:tc>
        <w:tc>
          <w:tcPr>
            <w:tcW w:w="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8"/>
              <w:spacing w:after="0" w:line="184" w:lineRule="exact"/>
              <w:rPr>
                <w:sz w:val="20"/>
                <w:szCs w:val="20"/>
                <w:color w:val="auto"/>
              </w:rPr>
            </w:pPr>
            <w:r>
              <w:rPr>
                <w:rFonts w:ascii="Times New Roman" w:cs="Times New Roman" w:eastAsia="Times New Roman" w:hAnsi="Times New Roman"/>
                <w:sz w:val="18"/>
                <w:szCs w:val="18"/>
                <w:color w:val="auto"/>
              </w:rPr>
              <w:t>822,429</w:t>
            </w:r>
          </w:p>
        </w:tc>
        <w:tc>
          <w:tcPr>
            <w:tcW w:w="7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​233,894</w:t>
            </w:r>
          </w:p>
        </w:tc>
        <w:tc>
          <w:tcPr>
            <w:tcW w:w="380" w:type="dxa"/>
            <w:vAlign w:val="bottom"/>
          </w:tcPr>
          <w:p>
            <w:pPr>
              <w:spacing w:after="0"/>
              <w:rPr>
                <w:sz w:val="16"/>
                <w:szCs w:val="16"/>
                <w:color w:val="auto"/>
              </w:rPr>
            </w:pPr>
          </w:p>
        </w:tc>
        <w:tc>
          <w:tcPr>
            <w:tcW w:w="6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w w:val="96"/>
              </w:rPr>
              <w:t>​40,146</w:t>
            </w:r>
          </w:p>
        </w:tc>
        <w:tc>
          <w:tcPr>
            <w:tcW w:w="160" w:type="dxa"/>
            <w:vAlign w:val="bottom"/>
          </w:tcPr>
          <w:p>
            <w:pPr>
              <w:spacing w:after="0"/>
              <w:rPr>
                <w:sz w:val="16"/>
                <w:szCs w:val="16"/>
                <w:color w:val="auto"/>
              </w:rPr>
            </w:pPr>
          </w:p>
        </w:tc>
        <w:tc>
          <w:tcPr>
            <w:tcW w:w="10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 1,916,409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240" w:type="dxa"/>
            <w:vAlign w:val="bottom"/>
          </w:tcPr>
          <w:p>
            <w:pPr>
              <w:spacing w:after="0"/>
              <w:rPr>
                <w:sz w:val="19"/>
                <w:szCs w:val="19"/>
                <w:color w:val="auto"/>
              </w:rPr>
            </w:pPr>
          </w:p>
        </w:tc>
        <w:tc>
          <w:tcPr>
            <w:tcW w:w="7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​2024</w:t>
            </w: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485,500</w:t>
            </w:r>
            <w:r>
              <w:rPr>
                <w:rFonts w:ascii="Times New Roman" w:cs="Times New Roman" w:eastAsia="Times New Roman" w:hAnsi="Times New Roman"/>
                <w:sz w:val="26"/>
                <w:szCs w:val="26"/>
                <w:color w:val="auto"/>
                <w:vertAlign w:val="superscript"/>
              </w:rPr>
              <w:t>​​</w:t>
            </w:r>
          </w:p>
        </w:tc>
        <w:tc>
          <w:tcPr>
            <w:tcW w:w="16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658,200</w:t>
            </w:r>
            <w:r>
              <w:rPr>
                <w:rFonts w:ascii="Times New Roman" w:cs="Times New Roman" w:eastAsia="Times New Roman" w:hAnsi="Times New Roman"/>
                <w:sz w:val="26"/>
                <w:szCs w:val="26"/>
                <w:color w:val="auto"/>
                <w:vertAlign w:val="superscript"/>
              </w:rPr>
              <w:t>​​</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864,507</w:t>
            </w:r>
            <w:r>
              <w:rPr>
                <w:rFonts w:ascii="Times New Roman" w:cs="Times New Roman" w:eastAsia="Times New Roman" w:hAnsi="Times New Roman"/>
                <w:sz w:val="26"/>
                <w:szCs w:val="26"/>
                <w:color w:val="auto"/>
                <w:vertAlign w:val="superscript"/>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​229,160</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100"/>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​40,264</w:t>
            </w:r>
            <w:r>
              <w:rPr>
                <w:rFonts w:ascii="Times New Roman" w:cs="Times New Roman" w:eastAsia="Times New Roman" w:hAnsi="Times New Roman"/>
                <w:sz w:val="18"/>
                <w:szCs w:val="18"/>
                <w:color w:val="auto"/>
                <w:vertAlign w:val="superscript"/>
              </w:rPr>
              <w:t>(6)</w:t>
            </w:r>
          </w:p>
        </w:tc>
        <w:tc>
          <w:tcPr>
            <w:tcW w:w="126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 2,277,631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vertAlign w:val="superscript"/>
              </w:rPr>
              <w:t>(7)</w:t>
            </w:r>
          </w:p>
        </w:tc>
        <w:tc>
          <w:tcPr>
            <w:tcW w:w="0" w:type="dxa"/>
            <w:vAlign w:val="bottom"/>
          </w:tcPr>
          <w:p>
            <w:pPr>
              <w:spacing w:after="0"/>
              <w:rPr>
                <w:sz w:val="1"/>
                <w:szCs w:val="1"/>
                <w:color w:val="auto"/>
              </w:rPr>
            </w:pPr>
          </w:p>
        </w:tc>
      </w:tr>
      <w:tr>
        <w:trPr>
          <w:trHeight w:val="231"/>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40" w:type="dxa"/>
            <w:vAlign w:val="bottom"/>
          </w:tcPr>
          <w:p>
            <w:pPr>
              <w:spacing w:after="0"/>
              <w:rPr>
                <w:sz w:val="20"/>
                <w:szCs w:val="20"/>
                <w:color w:val="auto"/>
              </w:rPr>
            </w:pPr>
          </w:p>
        </w:tc>
        <w:tc>
          <w:tcPr>
            <w:tcW w:w="78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​2023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w:t>
            </w:r>
          </w:p>
        </w:tc>
        <w:tc>
          <w:tcPr>
            <w:tcW w:w="76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453,800</w:t>
            </w:r>
            <w:r>
              <w:rPr>
                <w:rFonts w:ascii="Times New Roman" w:cs="Times New Roman" w:eastAsia="Times New Roman" w:hAnsi="Times New Roman"/>
                <w:sz w:val="26"/>
                <w:szCs w:val="26"/>
                <w:color w:val="auto"/>
                <w:vertAlign w:val="superscript"/>
              </w:rPr>
              <w:t>​​</w:t>
            </w:r>
          </w:p>
        </w:tc>
        <w:tc>
          <w:tcPr>
            <w:tcW w:w="16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76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726,000</w:t>
            </w:r>
            <w:r>
              <w:rPr>
                <w:rFonts w:ascii="Times New Roman" w:cs="Times New Roman" w:eastAsia="Times New Roman" w:hAnsi="Times New Roman"/>
                <w:sz w:val="26"/>
                <w:szCs w:val="26"/>
                <w:color w:val="auto"/>
                <w:vertAlign w:val="superscript"/>
              </w:rPr>
              <w:t>​​</w:t>
            </w:r>
          </w:p>
        </w:tc>
        <w:tc>
          <w:tcPr>
            <w:tcW w:w="20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953,600</w:t>
            </w:r>
            <w:r>
              <w:rPr>
                <w:rFonts w:ascii="Times New Roman" w:cs="Times New Roman" w:eastAsia="Times New Roman" w:hAnsi="Times New Roman"/>
                <w:sz w:val="26"/>
                <w:szCs w:val="26"/>
                <w:color w:val="auto"/>
                <w:vertAlign w:val="superscript"/>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​210,588</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00"/>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​39,639</w:t>
            </w:r>
          </w:p>
        </w:tc>
        <w:tc>
          <w:tcPr>
            <w:tcW w:w="160" w:type="dxa"/>
            <w:vAlign w:val="bottom"/>
          </w:tcPr>
          <w:p>
            <w:pPr>
              <w:spacing w:after="0"/>
              <w:rPr>
                <w:sz w:val="20"/>
                <w:szCs w:val="20"/>
                <w:color w:val="auto"/>
              </w:rPr>
            </w:pPr>
          </w:p>
        </w:tc>
        <w:tc>
          <w:tcPr>
            <w:tcW w:w="1260" w:type="dxa"/>
            <w:vAlign w:val="bottom"/>
            <w:gridSpan w:val="2"/>
          </w:tcPr>
          <w:p>
            <w:pPr>
              <w:ind w:left="40"/>
              <w:spacing w:after="0" w:line="23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 2,383,627</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vertAlign w:val="superscript"/>
              </w:rPr>
              <w:t>(5 )</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240" w:type="dxa"/>
            <w:vAlign w:val="bottom"/>
            <w:vMerge w:val="restart"/>
          </w:tcPr>
          <w:p>
            <w:pPr>
              <w:ind w:lef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vMerge w:val="restart"/>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48"/>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240" w:type="dxa"/>
            <w:vAlign w:val="bottom"/>
            <w:vMerge w:val="continue"/>
          </w:tcPr>
          <w:p>
            <w:pPr>
              <w:spacing w:after="0"/>
              <w:rPr>
                <w:sz w:val="12"/>
                <w:szCs w:val="12"/>
                <w:color w:val="auto"/>
              </w:rPr>
            </w:pPr>
          </w:p>
        </w:tc>
        <w:tc>
          <w:tcPr>
            <w:tcW w:w="480" w:type="dxa"/>
            <w:vAlign w:val="bottom"/>
            <w:gridSpan w:val="2"/>
            <w:shd w:val="clear" w:color="auto" w:fill="CCEEFF"/>
          </w:tcPr>
          <w:p>
            <w:pPr>
              <w:jc w:val="right"/>
              <w:ind w:right="25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6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485,100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315,040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411,214</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​197,843</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​39,534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1,448,731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Senior Vice President,</w:t>
            </w:r>
          </w:p>
        </w:tc>
        <w:tc>
          <w:tcPr>
            <w:tcW w:w="24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shd w:val="clear" w:color="auto" w:fill="CCEEFF"/>
              </w:rPr>
              <w:t>​2024</w:t>
            </w:r>
            <w:r>
              <w:rPr>
                <w:rFonts w:ascii="Times New Roman" w:cs="Times New Roman" w:eastAsia="Times New Roman" w:hAnsi="Times New Roman"/>
                <w:sz w:val="13"/>
                <w:szCs w:val="13"/>
                <w:color w:val="auto"/>
                <w:shd w:val="clear" w:color="auto" w:fill="CCEEFF"/>
              </w:rPr>
              <w:t>​​ ​​</w:t>
            </w:r>
            <w:r>
              <w:rPr>
                <w:rFonts w:ascii="Times New Roman" w:cs="Times New Roman" w:eastAsia="Times New Roman" w:hAnsi="Times New Roman"/>
                <w:sz w:val="22"/>
                <w:szCs w:val="22"/>
                <w:color w:val="auto"/>
                <w:vertAlign w:val="subscript"/>
                <w:shd w:val="clear" w:color="auto" w:fill="CCEEFF"/>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466,400</w:t>
            </w:r>
            <w:r>
              <w:rPr>
                <w:rFonts w:ascii="Times New Roman" w:cs="Times New Roman" w:eastAsia="Times New Roman" w:hAnsi="Times New Roman"/>
                <w:sz w:val="22"/>
                <w:szCs w:val="22"/>
                <w:color w:val="auto"/>
                <w:vertAlign w:val="superscript"/>
                <w:shd w:val="clear" w:color="auto" w:fill="CCEEFF"/>
              </w:rPr>
              <w:t>​​</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w:t>
            </w:r>
            <w:r>
              <w:rPr>
                <w:rFonts w:ascii="Times New Roman" w:cs="Times New Roman" w:eastAsia="Times New Roman" w:hAnsi="Times New Roman"/>
                <w:sz w:val="22"/>
                <w:szCs w:val="22"/>
                <w:color w:val="auto"/>
                <w:vertAlign w:val="subscript"/>
                <w:shd w:val="clear" w:color="auto" w:fill="CCEEFF"/>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341,525</w:t>
            </w:r>
            <w:r>
              <w:rPr>
                <w:rFonts w:ascii="Times New Roman" w:cs="Times New Roman" w:eastAsia="Times New Roman" w:hAnsi="Times New Roman"/>
                <w:sz w:val="22"/>
                <w:szCs w:val="22"/>
                <w:color w:val="auto"/>
                <w:vertAlign w:val="superscript"/>
                <w:shd w:val="clear" w:color="auto" w:fill="CCEEFF"/>
              </w:rPr>
              <w:t>​​</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w:t>
            </w:r>
            <w:r>
              <w:rPr>
                <w:rFonts w:ascii="Times New Roman" w:cs="Times New Roman" w:eastAsia="Times New Roman" w:hAnsi="Times New Roman"/>
                <w:sz w:val="22"/>
                <w:szCs w:val="22"/>
                <w:color w:val="auto"/>
                <w:vertAlign w:val="subscript"/>
                <w:shd w:val="clear" w:color="auto" w:fill="CCEEFF"/>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432,254</w:t>
            </w:r>
            <w:r>
              <w:rPr>
                <w:rFonts w:ascii="Times New Roman" w:cs="Times New Roman" w:eastAsia="Times New Roman" w:hAnsi="Times New Roman"/>
                <w:sz w:val="22"/>
                <w:szCs w:val="22"/>
                <w:color w:val="auto"/>
                <w:vertAlign w:val="superscript"/>
                <w:shd w:val="clear" w:color="auto" w:fill="CCEEFF"/>
              </w:rPr>
              <w:t>​​ ​</w:t>
            </w:r>
          </w:p>
        </w:tc>
        <w:tc>
          <w:tcPr>
            <w:tcW w:w="74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​192,530</w:t>
            </w:r>
          </w:p>
        </w:tc>
        <w:tc>
          <w:tcPr>
            <w:tcW w:w="38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 ​</w:t>
            </w:r>
          </w:p>
        </w:tc>
        <w:tc>
          <w:tcPr>
            <w:tcW w:w="7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w:t>
            </w:r>
            <w:r>
              <w:rPr>
                <w:rFonts w:ascii="Times New Roman" w:cs="Times New Roman" w:eastAsia="Times New Roman" w:hAnsi="Times New Roman"/>
                <w:sz w:val="22"/>
                <w:szCs w:val="22"/>
                <w:color w:val="auto"/>
                <w:vertAlign w:val="subscript"/>
                <w:shd w:val="clear" w:color="auto" w:fill="CCEEFF"/>
              </w:rPr>
              <w:t>​37,357</w:t>
            </w:r>
            <w:r>
              <w:rPr>
                <w:rFonts w:ascii="Times New Roman" w:cs="Times New Roman" w:eastAsia="Times New Roman" w:hAnsi="Times New Roman"/>
                <w:sz w:val="16"/>
                <w:szCs w:val="16"/>
                <w:color w:val="auto"/>
                <w:vertAlign w:val="superscript"/>
                <w:shd w:val="clear" w:color="auto" w:fill="CCEEFF"/>
              </w:rPr>
              <w:t>(6)</w:t>
            </w:r>
          </w:p>
        </w:tc>
        <w:tc>
          <w:tcPr>
            <w:tcW w:w="1080" w:type="dxa"/>
            <w:vAlign w:val="bottom"/>
          </w:tcPr>
          <w:p>
            <w:pPr>
              <w:ind w:left="40"/>
              <w:spacing w:after="0" w:line="196" w:lineRule="exact"/>
              <w:rPr>
                <w:sz w:val="20"/>
                <w:szCs w:val="20"/>
                <w:color w:val="auto"/>
              </w:rPr>
            </w:pPr>
            <w:r>
              <w:rPr>
                <w:rFonts w:ascii="Times New Roman" w:cs="Times New Roman" w:eastAsia="Times New Roman" w:hAnsi="Times New Roman"/>
                <w:sz w:val="22"/>
                <w:szCs w:val="22"/>
                <w:color w:val="auto"/>
                <w:vertAlign w:val="superscript"/>
                <w:shd w:val="clear" w:color="auto" w:fill="CCEEFF"/>
              </w:rPr>
              <w:t>​​ ​​</w:t>
            </w:r>
            <w:r>
              <w:rPr>
                <w:rFonts w:ascii="Times New Roman" w:cs="Times New Roman" w:eastAsia="Times New Roman" w:hAnsi="Times New Roman"/>
                <w:sz w:val="13"/>
                <w:szCs w:val="13"/>
                <w:color w:val="auto"/>
                <w:shd w:val="clear" w:color="auto" w:fill="CCEEFF"/>
              </w:rPr>
              <w:t>​ 1,470,066</w:t>
            </w:r>
          </w:p>
        </w:tc>
        <w:tc>
          <w:tcPr>
            <w:tcW w:w="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34"/>
        </w:trPr>
        <w:tc>
          <w:tcPr>
            <w:tcW w:w="29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82"/>
        </w:trPr>
        <w:tc>
          <w:tcPr>
            <w:tcW w:w="2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2023​​ ​</w:t>
            </w: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440,000​​ ​</w:t>
            </w: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448,000​​ ​</w:t>
            </w: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476,800​​ ​</w:t>
            </w:r>
          </w:p>
        </w:tc>
        <w:tc>
          <w:tcPr>
            <w:tcW w:w="740" w:type="dxa"/>
            <w:vAlign w:val="bottom"/>
            <w:shd w:val="clear" w:color="auto" w:fill="CCEEFF"/>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184,448</w:t>
            </w:r>
          </w:p>
        </w:tc>
        <w:tc>
          <w:tcPr>
            <w:tcW w:w="38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38,081</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1,587,329</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720" w:type="dxa"/>
            <w:vAlign w:val="bottom"/>
            <w:gridSpan w:val="3"/>
          </w:tcPr>
          <w:p>
            <w:pPr>
              <w:jc w:val="right"/>
              <w:ind w:right="25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4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60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2"/>
                <w:szCs w:val="12"/>
                <w:color w:val="auto"/>
              </w:rPr>
            </w:pPr>
          </w:p>
        </w:tc>
        <w:tc>
          <w:tcPr>
            <w:tcW w:w="108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9"/>
              <w:spacing w:after="0" w:line="184" w:lineRule="exact"/>
              <w:rPr>
                <w:sz w:val="20"/>
                <w:szCs w:val="20"/>
                <w:color w:val="auto"/>
              </w:rPr>
            </w:pPr>
            <w:r>
              <w:rPr>
                <w:rFonts w:ascii="Times New Roman" w:cs="Times New Roman" w:eastAsia="Times New Roman" w:hAnsi="Times New Roman"/>
                <w:sz w:val="18"/>
                <w:szCs w:val="18"/>
                <w:color w:val="auto"/>
              </w:rPr>
              <w:t>455,900</w:t>
            </w:r>
          </w:p>
        </w:tc>
        <w:tc>
          <w:tcPr>
            <w:tcW w:w="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8"/>
              <w:spacing w:after="0" w:line="184" w:lineRule="exact"/>
              <w:rPr>
                <w:sz w:val="20"/>
                <w:szCs w:val="20"/>
                <w:color w:val="auto"/>
              </w:rPr>
            </w:pPr>
            <w:r>
              <w:rPr>
                <w:rFonts w:ascii="Times New Roman" w:cs="Times New Roman" w:eastAsia="Times New Roman" w:hAnsi="Times New Roman"/>
                <w:sz w:val="18"/>
                <w:szCs w:val="18"/>
                <w:color w:val="auto"/>
              </w:rPr>
              <w:t>315,040</w:t>
            </w:r>
          </w:p>
        </w:tc>
        <w:tc>
          <w:tcPr>
            <w:tcW w:w="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8"/>
              <w:spacing w:after="0" w:line="184" w:lineRule="exact"/>
              <w:rPr>
                <w:sz w:val="20"/>
                <w:szCs w:val="20"/>
                <w:color w:val="auto"/>
              </w:rPr>
            </w:pPr>
            <w:r>
              <w:rPr>
                <w:rFonts w:ascii="Times New Roman" w:cs="Times New Roman" w:eastAsia="Times New Roman" w:hAnsi="Times New Roman"/>
                <w:sz w:val="18"/>
                <w:szCs w:val="18"/>
                <w:color w:val="auto"/>
              </w:rPr>
              <w:t>411,214</w:t>
            </w:r>
          </w:p>
        </w:tc>
        <w:tc>
          <w:tcPr>
            <w:tcW w:w="7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​168,182</w:t>
            </w:r>
          </w:p>
        </w:tc>
        <w:tc>
          <w:tcPr>
            <w:tcW w:w="380" w:type="dxa"/>
            <w:vAlign w:val="bottom"/>
          </w:tcPr>
          <w:p>
            <w:pPr>
              <w:spacing w:after="0"/>
              <w:rPr>
                <w:sz w:val="16"/>
                <w:szCs w:val="16"/>
                <w:color w:val="auto"/>
              </w:rPr>
            </w:pPr>
          </w:p>
        </w:tc>
        <w:tc>
          <w:tcPr>
            <w:tcW w:w="6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w w:val="96"/>
              </w:rPr>
              <w:t>​41,093</w:t>
            </w:r>
          </w:p>
        </w:tc>
        <w:tc>
          <w:tcPr>
            <w:tcW w:w="160" w:type="dxa"/>
            <w:vAlign w:val="bottom"/>
          </w:tcPr>
          <w:p>
            <w:pPr>
              <w:spacing w:after="0"/>
              <w:rPr>
                <w:sz w:val="16"/>
                <w:szCs w:val="16"/>
                <w:color w:val="auto"/>
              </w:rPr>
            </w:pPr>
          </w:p>
        </w:tc>
        <w:tc>
          <w:tcPr>
            <w:tcW w:w="10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 1,391,429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Intellectual</w:t>
            </w:r>
          </w:p>
        </w:tc>
        <w:tc>
          <w:tcPr>
            <w:tcW w:w="240" w:type="dxa"/>
            <w:vAlign w:val="bottom"/>
          </w:tcPr>
          <w:p>
            <w:pPr>
              <w:spacing w:after="0"/>
              <w:rPr>
                <w:sz w:val="19"/>
                <w:szCs w:val="19"/>
                <w:color w:val="auto"/>
              </w:rPr>
            </w:pPr>
          </w:p>
        </w:tc>
        <w:tc>
          <w:tcPr>
            <w:tcW w:w="7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​2024</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440,500</w:t>
            </w:r>
            <w:r>
              <w:rPr>
                <w:rFonts w:ascii="Times New Roman" w:cs="Times New Roman" w:eastAsia="Times New Roman" w:hAnsi="Times New Roman"/>
                <w:sz w:val="26"/>
                <w:szCs w:val="26"/>
                <w:color w:val="auto"/>
                <w:vertAlign w:val="superscript"/>
              </w:rPr>
              <w:t>​​</w:t>
            </w:r>
          </w:p>
        </w:tc>
        <w:tc>
          <w:tcPr>
            <w:tcW w:w="16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274,250</w:t>
            </w:r>
            <w:r>
              <w:rPr>
                <w:rFonts w:ascii="Times New Roman" w:cs="Times New Roman" w:eastAsia="Times New Roman" w:hAnsi="Times New Roman"/>
                <w:sz w:val="26"/>
                <w:szCs w:val="26"/>
                <w:color w:val="auto"/>
                <w:vertAlign w:val="superscript"/>
              </w:rPr>
              <w:t>​​</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spacing w:after="0" w:line="227" w:lineRule="exact"/>
              <w:rPr>
                <w:sz w:val="20"/>
                <w:szCs w:val="20"/>
                <w:color w:val="auto"/>
              </w:rPr>
            </w:pPr>
            <w:r>
              <w:rPr>
                <w:rFonts w:ascii="Times New Roman" w:cs="Times New Roman" w:eastAsia="Times New Roman" w:hAnsi="Times New Roman"/>
                <w:sz w:val="15"/>
                <w:szCs w:val="15"/>
                <w:color w:val="auto"/>
              </w:rPr>
              <w:t>345,803</w:t>
            </w:r>
            <w:r>
              <w:rPr>
                <w:rFonts w:ascii="Times New Roman" w:cs="Times New Roman" w:eastAsia="Times New Roman" w:hAnsi="Times New Roman"/>
                <w:sz w:val="26"/>
                <w:szCs w:val="26"/>
                <w:color w:val="auto"/>
                <w:vertAlign w:val="superscript"/>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​163,434</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100"/>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​37,564</w:t>
            </w:r>
            <w:r>
              <w:rPr>
                <w:rFonts w:ascii="Times New Roman" w:cs="Times New Roman" w:eastAsia="Times New Roman" w:hAnsi="Times New Roman"/>
                <w:sz w:val="18"/>
                <w:szCs w:val="18"/>
                <w:color w:val="auto"/>
                <w:vertAlign w:val="superscript"/>
              </w:rPr>
              <w:t>(6)</w:t>
            </w:r>
          </w:p>
        </w:tc>
        <w:tc>
          <w:tcPr>
            <w:tcW w:w="126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 1,261,551</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vertAlign w:val="superscript"/>
              </w:rPr>
              <w:t>(7)</w:t>
            </w:r>
          </w:p>
        </w:tc>
        <w:tc>
          <w:tcPr>
            <w:tcW w:w="0" w:type="dxa"/>
            <w:vAlign w:val="bottom"/>
          </w:tcPr>
          <w:p>
            <w:pPr>
              <w:spacing w:after="0"/>
              <w:rPr>
                <w:sz w:val="1"/>
                <w:szCs w:val="1"/>
                <w:color w:val="auto"/>
              </w:rPr>
            </w:pPr>
          </w:p>
        </w:tc>
      </w:tr>
      <w:tr>
        <w:trPr>
          <w:trHeight w:val="231"/>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Chief Scientific Officer</w:t>
            </w:r>
          </w:p>
        </w:tc>
        <w:tc>
          <w:tcPr>
            <w:tcW w:w="240" w:type="dxa"/>
            <w:vAlign w:val="bottom"/>
          </w:tcPr>
          <w:p>
            <w:pPr>
              <w:spacing w:after="0"/>
              <w:rPr>
                <w:sz w:val="20"/>
                <w:szCs w:val="20"/>
                <w:color w:val="auto"/>
              </w:rPr>
            </w:pPr>
          </w:p>
        </w:tc>
        <w:tc>
          <w:tcPr>
            <w:tcW w:w="78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​2023</w:t>
            </w: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76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427,700</w:t>
            </w:r>
            <w:r>
              <w:rPr>
                <w:rFonts w:ascii="Times New Roman" w:cs="Times New Roman" w:eastAsia="Times New Roman" w:hAnsi="Times New Roman"/>
                <w:sz w:val="26"/>
                <w:szCs w:val="26"/>
                <w:color w:val="auto"/>
                <w:vertAlign w:val="superscript"/>
              </w:rPr>
              <w:t>​​</w:t>
            </w:r>
          </w:p>
        </w:tc>
        <w:tc>
          <w:tcPr>
            <w:tcW w:w="16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76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363,000</w:t>
            </w:r>
            <w:r>
              <w:rPr>
                <w:rFonts w:ascii="Times New Roman" w:cs="Times New Roman" w:eastAsia="Times New Roman" w:hAnsi="Times New Roman"/>
                <w:sz w:val="26"/>
                <w:szCs w:val="26"/>
                <w:color w:val="auto"/>
                <w:vertAlign w:val="superscript"/>
              </w:rPr>
              <w:t>​​</w:t>
            </w:r>
          </w:p>
        </w:tc>
        <w:tc>
          <w:tcPr>
            <w:tcW w:w="20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spacing w:after="0" w:line="231" w:lineRule="exact"/>
              <w:rPr>
                <w:sz w:val="20"/>
                <w:szCs w:val="20"/>
                <w:color w:val="auto"/>
              </w:rPr>
            </w:pPr>
            <w:r>
              <w:rPr>
                <w:rFonts w:ascii="Times New Roman" w:cs="Times New Roman" w:eastAsia="Times New Roman" w:hAnsi="Times New Roman"/>
                <w:sz w:val="15"/>
                <w:szCs w:val="15"/>
                <w:color w:val="auto"/>
              </w:rPr>
              <w:t>476,800</w:t>
            </w:r>
            <w:r>
              <w:rPr>
                <w:rFonts w:ascii="Times New Roman" w:cs="Times New Roman" w:eastAsia="Times New Roman" w:hAnsi="Times New Roman"/>
                <w:sz w:val="26"/>
                <w:szCs w:val="26"/>
                <w:color w:val="auto"/>
                <w:vertAlign w:val="superscript"/>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​163,165</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00"/>
              <w:spacing w:after="0" w:line="231"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​37,546</w:t>
            </w:r>
          </w:p>
        </w:tc>
        <w:tc>
          <w:tcPr>
            <w:tcW w:w="160" w:type="dxa"/>
            <w:vAlign w:val="bottom"/>
          </w:tcPr>
          <w:p>
            <w:pPr>
              <w:spacing w:after="0"/>
              <w:rPr>
                <w:sz w:val="20"/>
                <w:szCs w:val="20"/>
                <w:color w:val="auto"/>
              </w:rPr>
            </w:pPr>
          </w:p>
        </w:tc>
        <w:tc>
          <w:tcPr>
            <w:tcW w:w="1260" w:type="dxa"/>
            <w:vAlign w:val="bottom"/>
            <w:gridSpan w:val="2"/>
          </w:tcPr>
          <w:p>
            <w:pPr>
              <w:ind w:left="40"/>
              <w:spacing w:after="0" w:line="231"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 1,468,211</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32"/>
        </w:trPr>
        <w:tc>
          <w:tcPr>
            <w:tcW w:w="2940" w:type="dxa"/>
            <w:vAlign w:val="bottom"/>
          </w:tcPr>
          <w:p>
            <w:pPr>
              <w:spacing w:after="0"/>
              <w:rPr>
                <w:sz w:val="2"/>
                <w:szCs w:val="2"/>
                <w:color w:val="auto"/>
              </w:rPr>
            </w:pPr>
          </w:p>
        </w:tc>
        <w:tc>
          <w:tcPr>
            <w:tcW w:w="240" w:type="dxa"/>
            <w:vAlign w:val="bottom"/>
            <w:vMerge w:val="restart"/>
          </w:tcPr>
          <w:p>
            <w:pPr>
              <w:ind w:lef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vMerge w:val="restart"/>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48"/>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240" w:type="dxa"/>
            <w:vAlign w:val="bottom"/>
            <w:vMerge w:val="continue"/>
          </w:tcPr>
          <w:p>
            <w:pPr>
              <w:spacing w:after="0"/>
              <w:rPr>
                <w:sz w:val="12"/>
                <w:szCs w:val="12"/>
                <w:color w:val="auto"/>
              </w:rPr>
            </w:pPr>
          </w:p>
        </w:tc>
        <w:tc>
          <w:tcPr>
            <w:tcW w:w="480" w:type="dxa"/>
            <w:vAlign w:val="bottom"/>
            <w:gridSpan w:val="2"/>
            <w:shd w:val="clear" w:color="auto" w:fill="CCEEFF"/>
          </w:tcPr>
          <w:p>
            <w:pPr>
              <w:jc w:val="right"/>
              <w:ind w:right="25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6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412,500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315,040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411,214</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​173,910</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​48,037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1,360,701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Senior Vice President, Chief</w:t>
            </w:r>
          </w:p>
        </w:tc>
        <w:tc>
          <w:tcPr>
            <w:tcW w:w="24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shd w:val="clear" w:color="auto" w:fill="CCEEFF"/>
              </w:rPr>
              <w:t>​2024</w:t>
            </w:r>
            <w:r>
              <w:rPr>
                <w:rFonts w:ascii="Times New Roman" w:cs="Times New Roman" w:eastAsia="Times New Roman" w:hAnsi="Times New Roman"/>
                <w:sz w:val="22"/>
                <w:szCs w:val="22"/>
                <w:color w:val="auto"/>
                <w:vertAlign w:val="superscript"/>
                <w:shd w:val="clear" w:color="auto" w:fill="CCEEFF"/>
              </w:rPr>
              <w:t>​​ ​​</w:t>
            </w:r>
            <w:r>
              <w:rPr>
                <w:rFonts w:ascii="Times New Roman" w:cs="Times New Roman" w:eastAsia="Times New Roman" w:hAnsi="Times New Roman"/>
                <w:sz w:val="13"/>
                <w:szCs w:val="13"/>
                <w:color w:val="auto"/>
                <w:shd w:val="clear" w:color="auto" w:fill="CCEEFF"/>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377,400</w:t>
            </w:r>
            <w:r>
              <w:rPr>
                <w:rFonts w:ascii="Times New Roman" w:cs="Times New Roman" w:eastAsia="Times New Roman" w:hAnsi="Times New Roman"/>
                <w:sz w:val="22"/>
                <w:szCs w:val="22"/>
                <w:color w:val="auto"/>
                <w:vertAlign w:val="superscript"/>
                <w:shd w:val="clear" w:color="auto" w:fill="CCEEFF"/>
              </w:rPr>
              <w:t>​​</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w:t>
            </w:r>
            <w:r>
              <w:rPr>
                <w:rFonts w:ascii="Times New Roman" w:cs="Times New Roman" w:eastAsia="Times New Roman" w:hAnsi="Times New Roman"/>
                <w:sz w:val="22"/>
                <w:szCs w:val="22"/>
                <w:color w:val="auto"/>
                <w:vertAlign w:val="subscript"/>
                <w:shd w:val="clear" w:color="auto" w:fill="CCEEFF"/>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341,525</w:t>
            </w:r>
            <w:r>
              <w:rPr>
                <w:rFonts w:ascii="Times New Roman" w:cs="Times New Roman" w:eastAsia="Times New Roman" w:hAnsi="Times New Roman"/>
                <w:sz w:val="22"/>
                <w:szCs w:val="22"/>
                <w:color w:val="auto"/>
                <w:vertAlign w:val="superscript"/>
                <w:shd w:val="clear" w:color="auto" w:fill="CCEEFF"/>
              </w:rPr>
              <w:t>​​</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w:t>
            </w:r>
            <w:r>
              <w:rPr>
                <w:rFonts w:ascii="Times New Roman" w:cs="Times New Roman" w:eastAsia="Times New Roman" w:hAnsi="Times New Roman"/>
                <w:sz w:val="22"/>
                <w:szCs w:val="22"/>
                <w:color w:val="auto"/>
                <w:vertAlign w:val="subscript"/>
                <w:shd w:val="clear" w:color="auto" w:fill="CCEEFF"/>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432,254</w:t>
            </w:r>
            <w:r>
              <w:rPr>
                <w:rFonts w:ascii="Times New Roman" w:cs="Times New Roman" w:eastAsia="Times New Roman" w:hAnsi="Times New Roman"/>
                <w:sz w:val="22"/>
                <w:szCs w:val="22"/>
                <w:color w:val="auto"/>
                <w:vertAlign w:val="superscript"/>
                <w:shd w:val="clear" w:color="auto" w:fill="CCEEFF"/>
              </w:rPr>
              <w:t>​​ ​</w:t>
            </w:r>
          </w:p>
        </w:tc>
        <w:tc>
          <w:tcPr>
            <w:tcW w:w="74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​140,001</w:t>
            </w:r>
          </w:p>
        </w:tc>
        <w:tc>
          <w:tcPr>
            <w:tcW w:w="38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 ​</w:t>
            </w:r>
          </w:p>
        </w:tc>
        <w:tc>
          <w:tcPr>
            <w:tcW w:w="7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3"/>
                <w:szCs w:val="13"/>
                <w:color w:val="auto"/>
                <w:shd w:val="clear" w:color="auto" w:fill="CCEEFF"/>
              </w:rPr>
              <w:t>​</w:t>
            </w:r>
            <w:r>
              <w:rPr>
                <w:rFonts w:ascii="Times New Roman" w:cs="Times New Roman" w:eastAsia="Times New Roman" w:hAnsi="Times New Roman"/>
                <w:sz w:val="22"/>
                <w:szCs w:val="22"/>
                <w:color w:val="auto"/>
                <w:vertAlign w:val="subscript"/>
                <w:shd w:val="clear" w:color="auto" w:fill="CCEEFF"/>
              </w:rPr>
              <w:t>​43,765</w:t>
            </w:r>
            <w:r>
              <w:rPr>
                <w:rFonts w:ascii="Times New Roman" w:cs="Times New Roman" w:eastAsia="Times New Roman" w:hAnsi="Times New Roman"/>
                <w:sz w:val="16"/>
                <w:szCs w:val="16"/>
                <w:color w:val="auto"/>
                <w:vertAlign w:val="superscript"/>
                <w:shd w:val="clear" w:color="auto" w:fill="CCEEFF"/>
              </w:rPr>
              <w:t>(6)</w:t>
            </w:r>
          </w:p>
        </w:tc>
        <w:tc>
          <w:tcPr>
            <w:tcW w:w="1080" w:type="dxa"/>
            <w:vAlign w:val="bottom"/>
          </w:tcPr>
          <w:p>
            <w:pPr>
              <w:ind w:left="40"/>
              <w:spacing w:after="0" w:line="196" w:lineRule="exact"/>
              <w:rPr>
                <w:sz w:val="20"/>
                <w:szCs w:val="20"/>
                <w:color w:val="auto"/>
              </w:rPr>
            </w:pPr>
            <w:r>
              <w:rPr>
                <w:rFonts w:ascii="Times New Roman" w:cs="Times New Roman" w:eastAsia="Times New Roman" w:hAnsi="Times New Roman"/>
                <w:sz w:val="22"/>
                <w:szCs w:val="22"/>
                <w:color w:val="auto"/>
                <w:vertAlign w:val="superscript"/>
                <w:shd w:val="clear" w:color="auto" w:fill="CCEEFF"/>
              </w:rPr>
              <w:t>​​ ​​</w:t>
            </w:r>
            <w:r>
              <w:rPr>
                <w:rFonts w:ascii="Times New Roman" w:cs="Times New Roman" w:eastAsia="Times New Roman" w:hAnsi="Times New Roman"/>
                <w:sz w:val="13"/>
                <w:szCs w:val="13"/>
                <w:color w:val="auto"/>
                <w:shd w:val="clear" w:color="auto" w:fill="CCEEFF"/>
              </w:rPr>
              <w:t>​ 1,334,945</w:t>
            </w:r>
          </w:p>
        </w:tc>
        <w:tc>
          <w:tcPr>
            <w:tcW w:w="1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358"/>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Technical Operations Officer</w:t>
            </w:r>
          </w:p>
        </w:tc>
        <w:tc>
          <w:tcPr>
            <w:tcW w:w="240" w:type="dxa"/>
            <w:vAlign w:val="bottom"/>
          </w:tcPr>
          <w:p>
            <w:pPr>
              <w:spacing w:after="0"/>
              <w:rPr>
                <w:sz w:val="24"/>
                <w:szCs w:val="24"/>
                <w:color w:val="auto"/>
              </w:rPr>
            </w:pPr>
          </w:p>
        </w:tc>
        <w:tc>
          <w:tcPr>
            <w:tcW w:w="780" w:type="dxa"/>
            <w:vAlign w:val="bottom"/>
            <w:gridSpan w:val="3"/>
          </w:tcPr>
          <w:p>
            <w:pPr>
              <w:jc w:val="right"/>
              <w:spacing w:after="0" w:line="3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​2023</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760" w:type="dxa"/>
            <w:vAlign w:val="bottom"/>
          </w:tcPr>
          <w:p>
            <w:pPr>
              <w:jc w:val="right"/>
              <w:spacing w:after="0" w:line="358" w:lineRule="exact"/>
              <w:rPr>
                <w:sz w:val="20"/>
                <w:szCs w:val="20"/>
                <w:color w:val="auto"/>
              </w:rPr>
            </w:pPr>
            <w:r>
              <w:rPr>
                <w:rFonts w:ascii="Times New Roman" w:cs="Times New Roman" w:eastAsia="Times New Roman" w:hAnsi="Times New Roman"/>
                <w:sz w:val="18"/>
                <w:szCs w:val="18"/>
                <w:color w:val="auto"/>
              </w:rPr>
              <w:t>352,700</w:t>
            </w:r>
            <w:r>
              <w:rPr>
                <w:rFonts w:ascii="Times New Roman" w:cs="Times New Roman" w:eastAsia="Times New Roman" w:hAnsi="Times New Roman"/>
                <w:sz w:val="35"/>
                <w:szCs w:val="35"/>
                <w:color w:val="auto"/>
                <w:vertAlign w:val="superscript"/>
              </w:rPr>
              <w:t>​​</w:t>
            </w:r>
          </w:p>
        </w:tc>
        <w:tc>
          <w:tcPr>
            <w:tcW w:w="160" w:type="dxa"/>
            <w:vAlign w:val="bottom"/>
          </w:tcPr>
          <w:p>
            <w:pPr>
              <w:jc w:val="right"/>
              <w:spacing w:after="0" w:line="3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760" w:type="dxa"/>
            <w:vAlign w:val="bottom"/>
          </w:tcPr>
          <w:p>
            <w:pPr>
              <w:jc w:val="right"/>
              <w:spacing w:after="0" w:line="358" w:lineRule="exact"/>
              <w:rPr>
                <w:sz w:val="20"/>
                <w:szCs w:val="20"/>
                <w:color w:val="auto"/>
              </w:rPr>
            </w:pPr>
            <w:r>
              <w:rPr>
                <w:rFonts w:ascii="Times New Roman" w:cs="Times New Roman" w:eastAsia="Times New Roman" w:hAnsi="Times New Roman"/>
                <w:sz w:val="18"/>
                <w:szCs w:val="18"/>
                <w:color w:val="auto"/>
              </w:rPr>
              <w:t>544,500</w:t>
            </w:r>
            <w:r>
              <w:rPr>
                <w:rFonts w:ascii="Times New Roman" w:cs="Times New Roman" w:eastAsia="Times New Roman" w:hAnsi="Times New Roman"/>
                <w:sz w:val="35"/>
                <w:szCs w:val="35"/>
                <w:color w:val="auto"/>
                <w:vertAlign w:val="superscript"/>
              </w:rPr>
              <w:t>​​</w:t>
            </w:r>
          </w:p>
        </w:tc>
        <w:tc>
          <w:tcPr>
            <w:tcW w:w="200" w:type="dxa"/>
            <w:vAlign w:val="bottom"/>
          </w:tcPr>
          <w:p>
            <w:pPr>
              <w:jc w:val="right"/>
              <w:spacing w:after="0" w:line="3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920" w:type="dxa"/>
            <w:vAlign w:val="bottom"/>
          </w:tcPr>
          <w:p>
            <w:pPr>
              <w:jc w:val="right"/>
              <w:spacing w:after="0" w:line="358" w:lineRule="exact"/>
              <w:rPr>
                <w:sz w:val="20"/>
                <w:szCs w:val="20"/>
                <w:color w:val="auto"/>
              </w:rPr>
            </w:pPr>
            <w:r>
              <w:rPr>
                <w:rFonts w:ascii="Times New Roman" w:cs="Times New Roman" w:eastAsia="Times New Roman" w:hAnsi="Times New Roman"/>
                <w:sz w:val="18"/>
                <w:szCs w:val="18"/>
                <w:color w:val="auto"/>
              </w:rPr>
              <w:t>715,200</w:t>
            </w:r>
            <w:r>
              <w:rPr>
                <w:rFonts w:ascii="Times New Roman" w:cs="Times New Roman" w:eastAsia="Times New Roman" w:hAnsi="Times New Roman"/>
                <w:sz w:val="35"/>
                <w:szCs w:val="35"/>
                <w:color w:val="auto"/>
                <w:vertAlign w:val="superscript"/>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​129,361</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00"/>
              <w:spacing w:after="0" w:line="358" w:lineRule="exact"/>
              <w:rPr>
                <w:sz w:val="20"/>
                <w:szCs w:val="20"/>
                <w:color w:val="auto"/>
              </w:rPr>
            </w:pPr>
            <w:r>
              <w:rPr>
                <w:rFonts w:ascii="Times New Roman" w:cs="Times New Roman" w:eastAsia="Times New Roman" w:hAnsi="Times New Roman"/>
                <w:sz w:val="35"/>
                <w:szCs w:val="35"/>
                <w:color w:val="auto"/>
                <w:w w:val="96"/>
                <w:vertAlign w:val="superscript"/>
              </w:rPr>
              <w:t>​</w:t>
            </w:r>
            <w:r>
              <w:rPr>
                <w:rFonts w:ascii="Times New Roman" w:cs="Times New Roman" w:eastAsia="Times New Roman" w:hAnsi="Times New Roman"/>
                <w:sz w:val="18"/>
                <w:szCs w:val="18"/>
                <w:color w:val="auto"/>
                <w:w w:val="96"/>
              </w:rPr>
              <w:t>​44,418</w:t>
            </w:r>
          </w:p>
        </w:tc>
        <w:tc>
          <w:tcPr>
            <w:tcW w:w="160" w:type="dxa"/>
            <w:vAlign w:val="bottom"/>
          </w:tcPr>
          <w:p>
            <w:pPr>
              <w:spacing w:after="0"/>
              <w:rPr>
                <w:sz w:val="24"/>
                <w:szCs w:val="24"/>
                <w:color w:val="auto"/>
              </w:rPr>
            </w:pPr>
          </w:p>
        </w:tc>
        <w:tc>
          <w:tcPr>
            <w:tcW w:w="1080" w:type="dxa"/>
            <w:vAlign w:val="bottom"/>
          </w:tcPr>
          <w:p>
            <w:pPr>
              <w:ind w:left="40"/>
              <w:spacing w:after="0" w:line="358"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1,786,179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-1756410</wp:posOffset>
            </wp:positionV>
            <wp:extent cx="2091690" cy="651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91690" cy="65151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-582295</wp:posOffset>
            </wp:positionV>
            <wp:extent cx="6180455" cy="5829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80455" cy="5829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68580</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2" w:lineRule="exact"/>
        <w:rPr>
          <w:sz w:val="20"/>
          <w:szCs w:val="20"/>
          <w:color w:val="auto"/>
        </w:rPr>
      </w:pPr>
    </w:p>
    <w:p>
      <w:pPr>
        <w:ind w:left="1620" w:right="980"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will only realize compensation to the extent performance share units vest depending upon the level of achievement of specified performance goals. Our other NEOs will only realize a portion of this compensation unless the stock awards comprised of performance share units vest, which is dependent upon the level of achievement of specified performance goals. For information regarding assumptions underlying the valuation of equity awards, see Note 10 to our consolidated financial statements included in our Annual Report to Stockholders.</w:t>
      </w:r>
    </w:p>
    <w:p>
      <w:pPr>
        <w:spacing w:after="0" w:line="38" w:lineRule="exact"/>
        <w:rPr>
          <w:rFonts w:ascii="Times New Roman" w:cs="Times New Roman" w:eastAsia="Times New Roman" w:hAnsi="Times New Roman"/>
          <w:sz w:val="18"/>
          <w:szCs w:val="18"/>
          <w:color w:val="auto"/>
        </w:rPr>
      </w:pPr>
    </w:p>
    <w:p>
      <w:pPr>
        <w:ind w:left="1620" w:right="960" w:hanging="360"/>
        <w:spacing w:after="0" w:line="261"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NEOs will only realize compensation to the extent the market price of our common stock at date of exercise is greater than the exercise price of such stock options. For information regarding assumptions underlying the valuation of equity awards, see Note 10 to our consolidated financial statements included in our Annual Report to Stockholders.</w:t>
      </w:r>
    </w:p>
    <w:p>
      <w:pPr>
        <w:spacing w:after="0" w:line="44" w:lineRule="exact"/>
        <w:rPr>
          <w:rFonts w:ascii="Times New Roman" w:cs="Times New Roman" w:eastAsia="Times New Roman" w:hAnsi="Times New Roman"/>
          <w:sz w:val="18"/>
          <w:szCs w:val="18"/>
          <w:color w:val="auto"/>
        </w:rPr>
      </w:pPr>
    </w:p>
    <w:p>
      <w:pPr>
        <w:ind w:left="1620" w:right="960" w:hanging="360"/>
        <w:spacing w:after="0" w:line="26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annual performance bonus compensation earned for the years ended December 31, 2025, 2024 and 2023 based on pre-established performance objectives. Annual performance bonus compensation for 2025, 2024 and 2023 was paid in early 2026, early 2025 and early 2024, respectively.</w:t>
      </w:r>
    </w:p>
    <w:p>
      <w:pPr>
        <w:spacing w:after="0" w:line="27" w:lineRule="exact"/>
        <w:rPr>
          <w:rFonts w:ascii="Times New Roman" w:cs="Times New Roman" w:eastAsia="Times New Roman" w:hAnsi="Times New Roman"/>
          <w:sz w:val="18"/>
          <w:szCs w:val="18"/>
          <w:color w:val="auto"/>
        </w:rPr>
      </w:pPr>
    </w:p>
    <w:p>
      <w:pPr>
        <w:ind w:left="1620" w:right="980" w:hanging="360"/>
        <w:spacing w:after="0" w:line="254"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(i) the premium amounts paid by us for life insurance, short-term and long-term disability coverage, and medical, dental and vision insurance for each NEO, (ii) the employer matching contributions made on behalf of each NEO to our 401(k) plan and (iii) the compensation expense related to participation in the Company’s ESPP for Drs. Bhatt and Rubin and Messrs. Dec and Mottola. Mr. Khattar’s other compensation also includes the value of certain expenses incurred in connection with participation by Mr. Khattar in the Company’s President’s Club award program for certain of the Company’s sales professionals, which was valued at $21,447 for fiscal year 2025. Drs. Bhatt and Rubin’s and Mr. Mottola’s other compensation also includes a reimbursement for certain membership fees of $225, $219 and $241 in the fiscal year 2025, respectively.</w:t>
      </w:r>
    </w:p>
    <w:p>
      <w:pPr>
        <w:spacing w:after="0" w:line="3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400"/>
          </w:cols>
          <w:pgMar w:left="580" w:top="97" w:right="9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7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reflected has been updated to correct an inadvertent typographical error in the previously reported value that overstated Mr. Khattar’s and understated Mr. Dec’s salary.</w:t>
      </w:r>
    </w:p>
    <w:p>
      <w:pPr>
        <w:spacing w:after="0" w:line="26"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reflected in the “All Other Compensation” column for 2024 has been updated to correct an inadvertent error in the previously reported value. The previously reported value was higher because it inadvertently included the imputed income attributed to the executive officer of the premium amounts paid by us for life insurance coverage for income tax purposes rather than the actual amount of such premium. Other than as described in this footnote and in footnotes 5 and 7, the amounts previously reported in all other columns were accurate.</w:t>
      </w:r>
    </w:p>
    <w:p>
      <w:pPr>
        <w:spacing w:after="0" w:line="52" w:lineRule="exact"/>
        <w:rPr>
          <w:rFonts w:ascii="Times New Roman" w:cs="Times New Roman" w:eastAsia="Times New Roman" w:hAnsi="Times New Roman"/>
          <w:sz w:val="18"/>
          <w:szCs w:val="18"/>
          <w:color w:val="auto"/>
        </w:rPr>
      </w:pPr>
    </w:p>
    <w:p>
      <w:pPr>
        <w:ind w:left="1620" w:right="439" w:hanging="360"/>
        <w:spacing w:after="0" w:line="257"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reflected in the “Total” column for 2024 has been updated to correct an inadvertent error in the previously reported value. The previously reported value was higher because it inadvertently included the value in the “Stock Awards” column for the executive officer twice when aggregating the executive officer’s compensation to calculate the value shown in the “Total” column. Other than as described in this footnote and in footnotes 6 and 7, the amounts previously reported in all other columns were accurate.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 Offer Letter and Severance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Jack A. Khattar</w:t>
      </w:r>
    </w:p>
    <w:p>
      <w:pPr>
        <w:spacing w:after="0" w:line="148"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On December 22, 2005, we entered into an Employment Agreement with Mr. Khattar, our President and CEO, providing for his continued employment, effective as of the signing date. This employment agreement provides that Mr. Khattar’s employment is at-will and may be terminated by either us or him at any time for any or no reason. Mr. Khattar’s base salary is subject to review from time to time by the Compensation Committee and our Board of Directors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February 29, 2012, we entered into an amended and restated employment agreement with</w:t>
      </w:r>
    </w:p>
    <w:p>
      <w:pPr>
        <w:spacing w:after="0" w:line="27"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upon Mr. Khattar’s termination following a change in control, Mr. Khattar’s stock-based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On May 8, 2018, we entered into the third amendment to the amended and restated employment agreement with Mr. Khattar, which amendment added a provision that all amounts payable to Mr. Khattar under the employment agreement are subject to the Company’s then existing clawback policy. Finally, on December 11, 2023, we entered into the fourth amendment to the amended and restated employment agreement with Mr. Khattar, which amendment acknowledged that Mr. Khattar is subject to the Company’s Incentive Compensation Recoupment policy as amended in November 2023 and as it may be amended from time to time.</w:t>
      </w:r>
    </w:p>
    <w:p>
      <w:pPr>
        <w:spacing w:after="0" w:line="325"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the event Mr. Khattar is terminated by us without cause, as defined in the employment agreement, or he resigns with good reason, as defined in the employment agreement, as amended,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amended, also includes a non-solicitation covenant and a non-compete covenant for at least one year following the termination of Mr. Khattar’s employment.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Officers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of Messrs. Dec, Horich and Mottola and Dr. Rubin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may be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standard form of Executive Retention Agreement, as amended, provides that all amounts payable under the Executive Retention Agreement are subject to the Company’s Incentive Compensation Recoupment Policy as amended in November 2023 and as it may be amended from time to time. That policy is described herein under the heading “Corporate Policies Covering Executive Compensation.”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 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w:t>
      </w:r>
    </w:p>
    <w:p>
      <w:pPr>
        <w:spacing w:after="0" w:line="32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specific terms of the standard form of Executive Retention Agreement, as amended, were approved by our Compensation Committee and ratified by our Board of Directors after consideration of a recommendation by Aon that the adoption of certain termination and change of control practices are consistent with the Company’s Peer Group. The specific severance benefits payable to our executive officers are set forth below under “Potential Payments upon Termination or Change of Control.”</w:t>
      </w:r>
    </w:p>
    <w:p>
      <w:pPr>
        <w:spacing w:after="0" w:line="11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Pursuant to the terms of the offer letter with Dr. Bhatt, he is entitled to receive six months of severance pay in connection with a restructuring of the Company that results in the elimination of his position.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the best interest of our shareholders.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148"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During fiscal year ended December 31, 2025, our CEO and other NEOs participated in our performance-based cash incentive plan and our equity award program in which each officer was eligible for the awards set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60"/>
        <w:spacing w:after="0" w:line="282" w:lineRule="auto"/>
        <w:rPr>
          <w:sz w:val="20"/>
          <w:szCs w:val="20"/>
          <w:color w:val="auto"/>
        </w:rPr>
      </w:pPr>
      <w:r>
        <w:rPr>
          <w:rFonts w:ascii="Times New Roman" w:cs="Times New Roman" w:eastAsia="Times New Roman" w:hAnsi="Times New Roman"/>
          <w:sz w:val="18"/>
          <w:szCs w:val="18"/>
          <w:color w:val="auto"/>
        </w:rPr>
        <w:t>forth in the following table. The following table also sets forth information regarding cash and equity awards granted to our CEO and other NEOs during the year ended December 31,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Future</w:t>
            </w:r>
          </w:p>
        </w:tc>
      </w:tr>
      <w:tr>
        <w:trPr>
          <w:trHeight w:val="162"/>
        </w:trPr>
        <w:tc>
          <w:tcPr>
            <w:tcW w:w="1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Payouts Under</w:t>
            </w:r>
          </w:p>
        </w:tc>
      </w:tr>
      <w:tr>
        <w:trPr>
          <w:trHeight w:val="162"/>
        </w:trPr>
        <w:tc>
          <w:tcPr>
            <w:tcW w:w="1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 Incentive</w:t>
            </w:r>
          </w:p>
        </w:tc>
      </w:tr>
      <w:tr>
        <w:trPr>
          <w:trHeight w:val="214"/>
        </w:trPr>
        <w:tc>
          <w:tcPr>
            <w:tcW w:w="1300" w:type="dxa"/>
            <w:vAlign w:val="bottom"/>
          </w:tcPr>
          <w:p>
            <w:pPr>
              <w:spacing w:after="0"/>
              <w:rPr>
                <w:sz w:val="18"/>
                <w:szCs w:val="18"/>
                <w:color w:val="auto"/>
              </w:rPr>
            </w:pPr>
          </w:p>
        </w:tc>
        <w:tc>
          <w:tcPr>
            <w:tcW w:w="330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center"/>
              <w:ind w:right="552"/>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r>
      <w:tr>
        <w:trPr>
          <w:trHeight w:val="185"/>
        </w:trPr>
        <w:tc>
          <w:tcPr>
            <w:tcW w:w="1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14"/>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00" w:type="dxa"/>
            <w:vAlign w:val="bottom"/>
            <w:gridSpan w:val="2"/>
          </w:tcPr>
          <w:p>
            <w:pPr>
              <w:ind w:left="9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Grant Date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Grant Type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6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p>
        </w:tc>
        <w:tc>
          <w:tcPr>
            <w:tcW w:w="80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0</wp:posOffset>
            </wp:positionV>
            <wp:extent cx="618045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Estimated Future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or Base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5"/>
              </w:rPr>
              <w:t>Price of</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8"/>
                <w:szCs w:val="8"/>
                <w:color w:val="auto"/>
              </w:rPr>
            </w:pPr>
          </w:p>
        </w:tc>
        <w:tc>
          <w:tcPr>
            <w:tcW w:w="960" w:type="dxa"/>
            <w:vAlign w:val="bottom"/>
            <w:gridSpan w:val="2"/>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5"/>
              </w:rPr>
              <w:t>Plan Awards</w:t>
            </w:r>
          </w:p>
        </w:tc>
        <w:tc>
          <w:tcPr>
            <w:tcW w:w="480" w:type="dxa"/>
            <w:vAlign w:val="bottom"/>
          </w:tcPr>
          <w:p>
            <w:pPr>
              <w:spacing w:after="0"/>
              <w:rPr>
                <w:sz w:val="8"/>
                <w:szCs w:val="8"/>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14"/>
                <w:szCs w:val="14"/>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($/Sh)</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540" w:space="20"/>
            <w:col w:w="372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2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Jack A. Khattar</w:t>
            </w:r>
          </w:p>
        </w:tc>
        <w:tc>
          <w:tcPr>
            <w:tcW w:w="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​2/20/2025</w:t>
            </w:r>
          </w:p>
        </w:tc>
        <w:tc>
          <w:tcPr>
            <w:tcW w:w="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74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3"/>
                <w:szCs w:val="13"/>
                <w:color w:val="auto"/>
              </w:rPr>
              <w:t xml:space="preserve">Cash </w:t>
            </w:r>
            <w:r>
              <w:rPr>
                <w:rFonts w:ascii="Times New Roman" w:cs="Times New Roman" w:eastAsia="Times New Roman" w:hAnsi="Times New Roman"/>
                <w:sz w:val="22"/>
                <w:szCs w:val="22"/>
                <w:color w:val="auto"/>
                <w:vertAlign w:val="superscript"/>
              </w:rPr>
              <w:t>​​​</w:t>
            </w:r>
          </w:p>
        </w:tc>
        <w:tc>
          <w:tcPr>
            <w:tcW w:w="400" w:type="dxa"/>
            <w:vAlign w:val="bottom"/>
          </w:tcPr>
          <w:p>
            <w:pPr>
              <w:ind w:left="100"/>
              <w:spacing w:after="0" w:line="198"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w:t>
            </w:r>
          </w:p>
        </w:tc>
        <w:tc>
          <w:tcPr>
            <w:tcW w:w="1760" w:type="dxa"/>
            <w:vAlign w:val="bottom"/>
            <w:gridSpan w:val="9"/>
          </w:tcPr>
          <w:p>
            <w:pPr>
              <w:jc w:val="right"/>
              <w:ind w:right="100"/>
              <w:spacing w:after="0" w:line="198"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​846,930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​846,930 </w:t>
            </w:r>
            <w:r>
              <w:rPr>
                <w:rFonts w:ascii="Times New Roman" w:cs="Times New Roman" w:eastAsia="Times New Roman" w:hAnsi="Times New Roman"/>
                <w:sz w:val="22"/>
                <w:szCs w:val="22"/>
                <w:color w:val="auto"/>
                <w:vertAlign w:val="superscript"/>
              </w:rPr>
              <w:t>​​​</w:t>
            </w:r>
          </w:p>
        </w:tc>
        <w:tc>
          <w:tcPr>
            <w:tcW w:w="400" w:type="dxa"/>
            <w:vAlign w:val="bottom"/>
          </w:tcPr>
          <w:p>
            <w:pPr>
              <w:ind w:left="100"/>
              <w:spacing w:after="0" w:line="198"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w:t>
            </w:r>
          </w:p>
        </w:tc>
        <w:tc>
          <w:tcPr>
            <w:tcW w:w="3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7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2"/>
                <w:szCs w:val="22"/>
                <w:color w:val="auto"/>
                <w:vertAlign w:val="subscript"/>
              </w:rPr>
              <w:t>​  —</w:t>
            </w:r>
          </w:p>
        </w:tc>
        <w:tc>
          <w:tcPr>
            <w:tcW w:w="2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62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7"/>
          </w:tcPr>
          <w:p>
            <w:pPr>
              <w:jc w:val="right"/>
              <w:ind w:righ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​2/20/2025</w:t>
            </w:r>
            <w:r>
              <w:rPr>
                <w:rFonts w:ascii="Times New Roman" w:cs="Times New Roman" w:eastAsia="Times New Roman" w:hAnsi="Times New Roman"/>
                <w:sz w:val="29"/>
                <w:szCs w:val="29"/>
                <w:color w:val="auto"/>
                <w:vertAlign w:val="superscript"/>
              </w:rPr>
              <w:t>​​ ​ ​</w:t>
            </w:r>
            <w:r>
              <w:rPr>
                <w:rFonts w:ascii="Times New Roman" w:cs="Times New Roman" w:eastAsia="Times New Roman" w:hAnsi="Times New Roman"/>
                <w:sz w:val="16"/>
                <w:szCs w:val="16"/>
                <w:color w:val="auto"/>
              </w:rPr>
              <w:t xml:space="preserve">​Options </w:t>
            </w:r>
            <w:r>
              <w:rPr>
                <w:rFonts w:ascii="Times New Roman" w:cs="Times New Roman" w:eastAsia="Times New Roman" w:hAnsi="Times New Roman"/>
                <w:sz w:val="29"/>
                <w:szCs w:val="29"/>
                <w:color w:val="auto"/>
                <w:vertAlign w:val="superscript"/>
              </w:rPr>
              <w:t>​​​</w:t>
            </w:r>
          </w:p>
        </w:tc>
        <w:tc>
          <w:tcPr>
            <w:tcW w:w="400" w:type="dxa"/>
            <w:vAlign w:val="bottom"/>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1560" w:type="dxa"/>
            <w:vAlign w:val="bottom"/>
            <w:gridSpan w:val="7"/>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​331,660</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​331,660</w:t>
            </w:r>
          </w:p>
        </w:tc>
        <w:tc>
          <w:tcPr>
            <w:tcW w:w="62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​34.59</w:t>
            </w:r>
          </w:p>
        </w:tc>
        <w:tc>
          <w:tcPr>
            <w:tcW w:w="96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​7,031,544</w:t>
            </w:r>
            <w:r>
              <w:rPr>
                <w:rFonts w:ascii="Times New Roman" w:cs="Times New Roman" w:eastAsia="Times New Roman" w:hAnsi="Times New Roman"/>
                <w:sz w:val="16"/>
                <w:szCs w:val="16"/>
                <w:color w:val="auto"/>
              </w:rPr>
              <w:t>​​​</w:t>
            </w:r>
          </w:p>
        </w:tc>
      </w:tr>
      <w:tr>
        <w:trPr>
          <w:trHeight w:val="49"/>
        </w:trPr>
        <w:tc>
          <w:tcPr>
            <w:tcW w:w="2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5/3/2025</w:t>
            </w:r>
            <w:r>
              <w:rPr>
                <w:rFonts w:ascii="Times New Roman" w:cs="Times New Roman" w:eastAsia="Times New Roman" w:hAnsi="Times New Roman"/>
                <w:sz w:val="5"/>
                <w:szCs w:val="5"/>
                <w:color w:val="auto"/>
                <w:vertAlign w:val="superscript"/>
              </w:rPr>
              <w:t>​​ ​ ​</w:t>
            </w:r>
            <w:r>
              <w:rPr>
                <w:rFonts w:ascii="Times New Roman" w:cs="Times New Roman" w:eastAsia="Times New Roman" w:hAnsi="Times New Roman"/>
                <w:sz w:val="3"/>
                <w:szCs w:val="3"/>
                <w:color w:val="auto"/>
              </w:rPr>
              <w:t>​</w:t>
            </w:r>
          </w:p>
        </w:tc>
        <w:tc>
          <w:tcPr>
            <w:tcW w:w="740" w:type="dxa"/>
            <w:vAlign w:val="bottom"/>
            <w:gridSpan w:val="3"/>
          </w:tcPr>
          <w:p>
            <w:pPr>
              <w:jc w:val="right"/>
              <w:ind w:right="100"/>
              <w:spacing w:after="0" w:line="50" w:lineRule="exact"/>
              <w:rPr>
                <w:sz w:val="20"/>
                <w:szCs w:val="20"/>
                <w:color w:val="auto"/>
              </w:rPr>
            </w:pPr>
            <w:r>
              <w:rPr>
                <w:rFonts w:ascii="Times New Roman" w:cs="Times New Roman" w:eastAsia="Times New Roman" w:hAnsi="Times New Roman"/>
                <w:sz w:val="3"/>
                <w:szCs w:val="3"/>
                <w:color w:val="auto"/>
              </w:rPr>
              <w:t xml:space="preserve">PSUs </w:t>
            </w:r>
            <w:r>
              <w:rPr>
                <w:rFonts w:ascii="Times New Roman" w:cs="Times New Roman" w:eastAsia="Times New Roman" w:hAnsi="Times New Roman"/>
                <w:sz w:val="5"/>
                <w:szCs w:val="5"/>
                <w:color w:val="auto"/>
                <w:vertAlign w:val="superscript"/>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360" w:type="dxa"/>
            <w:vAlign w:val="bottom"/>
          </w:tcPr>
          <w:p>
            <w:pPr>
              <w:spacing w:after="0"/>
              <w:rPr>
                <w:sz w:val="4"/>
                <w:szCs w:val="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3140" w:type="dxa"/>
            <w:vAlign w:val="bottom"/>
            <w:gridSpan w:val="13"/>
          </w:tcPr>
          <w:p>
            <w:pPr>
              <w:ind w:left="12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​198,996</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​198,996 </w:t>
            </w: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 xml:space="preserve">​32.84 </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​6,535,029</w:t>
            </w:r>
            <w:r>
              <w:rPr>
                <w:rFonts w:ascii="Times New Roman" w:cs="Times New Roman" w:eastAsia="Times New Roman" w:hAnsi="Times New Roman"/>
                <w:sz w:val="5"/>
                <w:szCs w:val="5"/>
                <w:color w:val="auto"/>
                <w:vertAlign w:val="superscript"/>
              </w:rPr>
              <w:t>​​​</w:t>
            </w:r>
          </w:p>
        </w:tc>
      </w:tr>
      <w:tr>
        <w:trPr>
          <w:trHeight w:val="150"/>
        </w:trPr>
        <w:tc>
          <w:tcPr>
            <w:tcW w:w="2220" w:type="dxa"/>
            <w:vAlign w:val="bottom"/>
          </w:tcPr>
          <w:p>
            <w:pPr>
              <w:spacing w:after="0"/>
              <w:rPr>
                <w:sz w:val="13"/>
                <w:szCs w:val="13"/>
                <w:color w:val="auto"/>
              </w:rPr>
            </w:pPr>
          </w:p>
        </w:tc>
        <w:tc>
          <w:tcPr>
            <w:tcW w:w="960" w:type="dxa"/>
            <w:vAlign w:val="bottom"/>
            <w:gridSpan w:val="3"/>
          </w:tcPr>
          <w:p>
            <w:pPr>
              <w:ind w:left="820"/>
              <w:spacing w:after="0"/>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1120" w:type="dxa"/>
            <w:vAlign w:val="bottom"/>
            <w:gridSpan w:val="4"/>
          </w:tcPr>
          <w:p>
            <w:pPr>
              <w:jc w:val="right"/>
              <w:spacing w:after="0" w:line="31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​2/19/2025</w:t>
            </w: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line="314"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1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1760" w:type="dxa"/>
            <w:vAlign w:val="bottom"/>
            <w:gridSpan w:val="9"/>
          </w:tcPr>
          <w:p>
            <w:pPr>
              <w:jc w:val="right"/>
              <w:ind w:right="100"/>
              <w:spacing w:after="0" w:line="31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​233,894</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​233,894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1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7"/>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​Options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560" w:type="dxa"/>
            <w:vAlign w:val="bottom"/>
            <w:gridSpan w:val="7"/>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40,000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40,000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822,429</w:t>
            </w:r>
            <w:r>
              <w:rPr>
                <w:rFonts w:ascii="Times New Roman" w:cs="Times New Roman" w:eastAsia="Times New Roman" w:hAnsi="Times New Roman"/>
                <w:sz w:val="31"/>
                <w:szCs w:val="31"/>
                <w:color w:val="auto"/>
                <w:vertAlign w:val="superscript"/>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w:t>
            </w:r>
          </w:p>
        </w:tc>
        <w:tc>
          <w:tcPr>
            <w:tcW w:w="74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 xml:space="preserve">RSUs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34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4,500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150,840</w:t>
            </w:r>
            <w:r>
              <w:rPr>
                <w:rFonts w:ascii="Times New Roman" w:cs="Times New Roman" w:eastAsia="Times New Roman" w:hAnsi="Times New Roman"/>
                <w:sz w:val="31"/>
                <w:szCs w:val="31"/>
                <w:color w:val="auto"/>
                <w:vertAlign w:val="superscript"/>
              </w:rPr>
              <w:t>​​​</w:t>
            </w:r>
          </w:p>
        </w:tc>
      </w:tr>
      <w:tr>
        <w:trPr>
          <w:trHeight w:val="49"/>
        </w:trPr>
        <w:tc>
          <w:tcPr>
            <w:tcW w:w="2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5/3/2025</w:t>
            </w:r>
            <w:r>
              <w:rPr>
                <w:rFonts w:ascii="Times New Roman" w:cs="Times New Roman" w:eastAsia="Times New Roman" w:hAnsi="Times New Roman"/>
                <w:sz w:val="5"/>
                <w:szCs w:val="5"/>
                <w:color w:val="auto"/>
                <w:vertAlign w:val="superscript"/>
              </w:rPr>
              <w:t>​​ ​ ​</w:t>
            </w:r>
            <w:r>
              <w:rPr>
                <w:rFonts w:ascii="Times New Roman" w:cs="Times New Roman" w:eastAsia="Times New Roman" w:hAnsi="Times New Roman"/>
                <w:sz w:val="3"/>
                <w:szCs w:val="3"/>
                <w:color w:val="auto"/>
              </w:rPr>
              <w:t>​</w:t>
            </w:r>
          </w:p>
        </w:tc>
        <w:tc>
          <w:tcPr>
            <w:tcW w:w="740" w:type="dxa"/>
            <w:vAlign w:val="bottom"/>
            <w:gridSpan w:val="3"/>
          </w:tcPr>
          <w:p>
            <w:pPr>
              <w:jc w:val="right"/>
              <w:ind w:right="100"/>
              <w:spacing w:after="0" w:line="50" w:lineRule="exact"/>
              <w:rPr>
                <w:sz w:val="20"/>
                <w:szCs w:val="20"/>
                <w:color w:val="auto"/>
              </w:rPr>
            </w:pPr>
            <w:r>
              <w:rPr>
                <w:rFonts w:ascii="Times New Roman" w:cs="Times New Roman" w:eastAsia="Times New Roman" w:hAnsi="Times New Roman"/>
                <w:sz w:val="3"/>
                <w:szCs w:val="3"/>
                <w:color w:val="auto"/>
              </w:rPr>
              <w:t xml:space="preserve">PSUs </w:t>
            </w:r>
            <w:r>
              <w:rPr>
                <w:rFonts w:ascii="Times New Roman" w:cs="Times New Roman" w:eastAsia="Times New Roman" w:hAnsi="Times New Roman"/>
                <w:sz w:val="5"/>
                <w:szCs w:val="5"/>
                <w:color w:val="auto"/>
                <w:vertAlign w:val="superscript"/>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360" w:type="dxa"/>
            <w:vAlign w:val="bottom"/>
          </w:tcPr>
          <w:p>
            <w:pPr>
              <w:spacing w:after="0"/>
              <w:rPr>
                <w:sz w:val="4"/>
                <w:szCs w:val="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340" w:type="dxa"/>
            <w:vAlign w:val="bottom"/>
            <w:gridSpan w:val="3"/>
          </w:tcPr>
          <w:p>
            <w:pPr>
              <w:ind w:left="12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700" w:type="dxa"/>
            <w:vAlign w:val="bottom"/>
            <w:gridSpan w:val="3"/>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5,000</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5,000</w:t>
            </w:r>
          </w:p>
        </w:tc>
        <w:tc>
          <w:tcPr>
            <w:tcW w:w="820" w:type="dxa"/>
            <w:vAlign w:val="bottom"/>
            <w:gridSpan w:val="4"/>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​32.84</w:t>
            </w:r>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5"/>
                <w:szCs w:val="5"/>
                <w:color w:val="auto"/>
                <w:vertAlign w:val="subscript"/>
              </w:rPr>
              <w:t>​</w:t>
            </w:r>
          </w:p>
        </w:tc>
        <w:tc>
          <w:tcPr>
            <w:tcW w:w="76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3"/>
                <w:szCs w:val="3"/>
                <w:color w:val="auto"/>
              </w:rPr>
              <w:t>164,200</w:t>
            </w:r>
            <w:r>
              <w:rPr>
                <w:rFonts w:ascii="Times New Roman" w:cs="Times New Roman" w:eastAsia="Times New Roman" w:hAnsi="Times New Roman"/>
                <w:sz w:val="5"/>
                <w:szCs w:val="5"/>
                <w:color w:val="auto"/>
                <w:vertAlign w:val="superscript"/>
              </w:rPr>
              <w:t>​​​</w:t>
            </w:r>
          </w:p>
        </w:tc>
      </w:tr>
      <w:tr>
        <w:trPr>
          <w:trHeight w:val="150"/>
        </w:trPr>
        <w:tc>
          <w:tcPr>
            <w:tcW w:w="2220" w:type="dxa"/>
            <w:vAlign w:val="bottom"/>
          </w:tcPr>
          <w:p>
            <w:pPr>
              <w:spacing w:after="0"/>
              <w:rPr>
                <w:sz w:val="13"/>
                <w:szCs w:val="13"/>
                <w:color w:val="auto"/>
              </w:rPr>
            </w:pPr>
          </w:p>
        </w:tc>
        <w:tc>
          <w:tcPr>
            <w:tcW w:w="960" w:type="dxa"/>
            <w:vAlign w:val="bottom"/>
            <w:gridSpan w:val="3"/>
          </w:tcPr>
          <w:p>
            <w:pPr>
              <w:ind w:left="820"/>
              <w:spacing w:after="0"/>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1120" w:type="dxa"/>
            <w:vAlign w:val="bottom"/>
            <w:gridSpan w:val="4"/>
          </w:tcPr>
          <w:p>
            <w:pPr>
              <w:jc w:val="right"/>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​2/19/2025</w:t>
            </w: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line="341"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1760" w:type="dxa"/>
            <w:vAlign w:val="bottom"/>
            <w:gridSpan w:val="9"/>
          </w:tcPr>
          <w:p>
            <w:pPr>
              <w:jc w:val="right"/>
              <w:ind w:righ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​197,843</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​197,843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7"/>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​Options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560" w:type="dxa"/>
            <w:vAlign w:val="bottom"/>
            <w:gridSpan w:val="7"/>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20,000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20,000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411,214</w:t>
            </w:r>
            <w:r>
              <w:rPr>
                <w:rFonts w:ascii="Times New Roman" w:cs="Times New Roman" w:eastAsia="Times New Roman" w:hAnsi="Times New Roman"/>
                <w:sz w:val="31"/>
                <w:szCs w:val="31"/>
                <w:color w:val="auto"/>
                <w:vertAlign w:val="superscript"/>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w:t>
            </w:r>
          </w:p>
        </w:tc>
        <w:tc>
          <w:tcPr>
            <w:tcW w:w="74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 xml:space="preserve">RSUs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34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4,500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150,840</w:t>
            </w:r>
            <w:r>
              <w:rPr>
                <w:rFonts w:ascii="Times New Roman" w:cs="Times New Roman" w:eastAsia="Times New Roman" w:hAnsi="Times New Roman"/>
                <w:sz w:val="31"/>
                <w:szCs w:val="31"/>
                <w:color w:val="auto"/>
                <w:vertAlign w:val="superscript"/>
              </w:rPr>
              <w:t>​​​</w:t>
            </w:r>
          </w:p>
        </w:tc>
      </w:tr>
      <w:tr>
        <w:trPr>
          <w:trHeight w:val="49"/>
        </w:trPr>
        <w:tc>
          <w:tcPr>
            <w:tcW w:w="2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5/3/2025</w:t>
            </w:r>
            <w:r>
              <w:rPr>
                <w:rFonts w:ascii="Times New Roman" w:cs="Times New Roman" w:eastAsia="Times New Roman" w:hAnsi="Times New Roman"/>
                <w:sz w:val="5"/>
                <w:szCs w:val="5"/>
                <w:color w:val="auto"/>
                <w:vertAlign w:val="superscript"/>
              </w:rPr>
              <w:t>​​ ​ ​</w:t>
            </w:r>
            <w:r>
              <w:rPr>
                <w:rFonts w:ascii="Times New Roman" w:cs="Times New Roman" w:eastAsia="Times New Roman" w:hAnsi="Times New Roman"/>
                <w:sz w:val="3"/>
                <w:szCs w:val="3"/>
                <w:color w:val="auto"/>
              </w:rPr>
              <w:t>​</w:t>
            </w:r>
          </w:p>
        </w:tc>
        <w:tc>
          <w:tcPr>
            <w:tcW w:w="740" w:type="dxa"/>
            <w:vAlign w:val="bottom"/>
            <w:gridSpan w:val="3"/>
          </w:tcPr>
          <w:p>
            <w:pPr>
              <w:jc w:val="right"/>
              <w:ind w:right="100"/>
              <w:spacing w:after="0" w:line="50" w:lineRule="exact"/>
              <w:rPr>
                <w:sz w:val="20"/>
                <w:szCs w:val="20"/>
                <w:color w:val="auto"/>
              </w:rPr>
            </w:pPr>
            <w:r>
              <w:rPr>
                <w:rFonts w:ascii="Times New Roman" w:cs="Times New Roman" w:eastAsia="Times New Roman" w:hAnsi="Times New Roman"/>
                <w:sz w:val="3"/>
                <w:szCs w:val="3"/>
                <w:color w:val="auto"/>
              </w:rPr>
              <w:t xml:space="preserve">PSUs </w:t>
            </w:r>
            <w:r>
              <w:rPr>
                <w:rFonts w:ascii="Times New Roman" w:cs="Times New Roman" w:eastAsia="Times New Roman" w:hAnsi="Times New Roman"/>
                <w:sz w:val="5"/>
                <w:szCs w:val="5"/>
                <w:color w:val="auto"/>
                <w:vertAlign w:val="superscript"/>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360" w:type="dxa"/>
            <w:vAlign w:val="bottom"/>
          </w:tcPr>
          <w:p>
            <w:pPr>
              <w:spacing w:after="0"/>
              <w:rPr>
                <w:sz w:val="4"/>
                <w:szCs w:val="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340" w:type="dxa"/>
            <w:vAlign w:val="bottom"/>
            <w:gridSpan w:val="3"/>
          </w:tcPr>
          <w:p>
            <w:pPr>
              <w:ind w:left="12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700" w:type="dxa"/>
            <w:vAlign w:val="bottom"/>
            <w:gridSpan w:val="3"/>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5,000</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5,000</w:t>
            </w:r>
          </w:p>
        </w:tc>
        <w:tc>
          <w:tcPr>
            <w:tcW w:w="820" w:type="dxa"/>
            <w:vAlign w:val="bottom"/>
            <w:gridSpan w:val="4"/>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​32.84</w:t>
            </w:r>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5"/>
                <w:szCs w:val="5"/>
                <w:color w:val="auto"/>
                <w:vertAlign w:val="subscript"/>
              </w:rPr>
              <w:t>​</w:t>
            </w:r>
          </w:p>
        </w:tc>
        <w:tc>
          <w:tcPr>
            <w:tcW w:w="76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3"/>
                <w:szCs w:val="3"/>
                <w:color w:val="auto"/>
              </w:rPr>
              <w:t>164,200</w:t>
            </w:r>
            <w:r>
              <w:rPr>
                <w:rFonts w:ascii="Times New Roman" w:cs="Times New Roman" w:eastAsia="Times New Roman" w:hAnsi="Times New Roman"/>
                <w:sz w:val="5"/>
                <w:szCs w:val="5"/>
                <w:color w:val="auto"/>
                <w:vertAlign w:val="superscript"/>
              </w:rPr>
              <w:t>​​​</w:t>
            </w:r>
          </w:p>
        </w:tc>
      </w:tr>
      <w:tr>
        <w:trPr>
          <w:trHeight w:val="150"/>
        </w:trPr>
        <w:tc>
          <w:tcPr>
            <w:tcW w:w="2220" w:type="dxa"/>
            <w:vAlign w:val="bottom"/>
          </w:tcPr>
          <w:p>
            <w:pPr>
              <w:spacing w:after="0"/>
              <w:rPr>
                <w:sz w:val="13"/>
                <w:szCs w:val="13"/>
                <w:color w:val="auto"/>
              </w:rPr>
            </w:pPr>
          </w:p>
        </w:tc>
        <w:tc>
          <w:tcPr>
            <w:tcW w:w="960" w:type="dxa"/>
            <w:vAlign w:val="bottom"/>
            <w:gridSpan w:val="3"/>
          </w:tcPr>
          <w:p>
            <w:pPr>
              <w:ind w:left="820"/>
              <w:spacing w:after="0"/>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1120" w:type="dxa"/>
            <w:vAlign w:val="bottom"/>
            <w:gridSpan w:val="4"/>
          </w:tcPr>
          <w:p>
            <w:pPr>
              <w:jc w:val="right"/>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​2/19/2025</w:t>
            </w: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line="341"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1760" w:type="dxa"/>
            <w:vAlign w:val="bottom"/>
            <w:gridSpan w:val="9"/>
          </w:tcPr>
          <w:p>
            <w:pPr>
              <w:jc w:val="right"/>
              <w:ind w:righ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​168,182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​168,182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7"/>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​Options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560" w:type="dxa"/>
            <w:vAlign w:val="bottom"/>
            <w:gridSpan w:val="7"/>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20,000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20,000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411,214</w:t>
            </w:r>
            <w:r>
              <w:rPr>
                <w:rFonts w:ascii="Times New Roman" w:cs="Times New Roman" w:eastAsia="Times New Roman" w:hAnsi="Times New Roman"/>
                <w:sz w:val="31"/>
                <w:szCs w:val="31"/>
                <w:color w:val="auto"/>
                <w:vertAlign w:val="superscript"/>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w:t>
            </w:r>
          </w:p>
        </w:tc>
        <w:tc>
          <w:tcPr>
            <w:tcW w:w="74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 xml:space="preserve">RSUs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34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4,500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150,840</w:t>
            </w:r>
            <w:r>
              <w:rPr>
                <w:rFonts w:ascii="Times New Roman" w:cs="Times New Roman" w:eastAsia="Times New Roman" w:hAnsi="Times New Roman"/>
                <w:sz w:val="31"/>
                <w:szCs w:val="31"/>
                <w:color w:val="auto"/>
                <w:vertAlign w:val="superscript"/>
              </w:rPr>
              <w:t>​​​</w:t>
            </w:r>
          </w:p>
        </w:tc>
      </w:tr>
      <w:tr>
        <w:trPr>
          <w:trHeight w:val="49"/>
        </w:trPr>
        <w:tc>
          <w:tcPr>
            <w:tcW w:w="2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5/3/2025</w:t>
            </w:r>
            <w:r>
              <w:rPr>
                <w:rFonts w:ascii="Times New Roman" w:cs="Times New Roman" w:eastAsia="Times New Roman" w:hAnsi="Times New Roman"/>
                <w:sz w:val="5"/>
                <w:szCs w:val="5"/>
                <w:color w:val="auto"/>
                <w:vertAlign w:val="superscript"/>
              </w:rPr>
              <w:t>​​ ​ ​</w:t>
            </w:r>
            <w:r>
              <w:rPr>
                <w:rFonts w:ascii="Times New Roman" w:cs="Times New Roman" w:eastAsia="Times New Roman" w:hAnsi="Times New Roman"/>
                <w:sz w:val="3"/>
                <w:szCs w:val="3"/>
                <w:color w:val="auto"/>
              </w:rPr>
              <w:t>​</w:t>
            </w:r>
          </w:p>
        </w:tc>
        <w:tc>
          <w:tcPr>
            <w:tcW w:w="740" w:type="dxa"/>
            <w:vAlign w:val="bottom"/>
            <w:gridSpan w:val="3"/>
          </w:tcPr>
          <w:p>
            <w:pPr>
              <w:jc w:val="right"/>
              <w:ind w:right="100"/>
              <w:spacing w:after="0" w:line="50" w:lineRule="exact"/>
              <w:rPr>
                <w:sz w:val="20"/>
                <w:szCs w:val="20"/>
                <w:color w:val="auto"/>
              </w:rPr>
            </w:pPr>
            <w:r>
              <w:rPr>
                <w:rFonts w:ascii="Times New Roman" w:cs="Times New Roman" w:eastAsia="Times New Roman" w:hAnsi="Times New Roman"/>
                <w:sz w:val="3"/>
                <w:szCs w:val="3"/>
                <w:color w:val="auto"/>
              </w:rPr>
              <w:t xml:space="preserve">PSUs </w:t>
            </w:r>
            <w:r>
              <w:rPr>
                <w:rFonts w:ascii="Times New Roman" w:cs="Times New Roman" w:eastAsia="Times New Roman" w:hAnsi="Times New Roman"/>
                <w:sz w:val="5"/>
                <w:szCs w:val="5"/>
                <w:color w:val="auto"/>
                <w:vertAlign w:val="superscript"/>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360" w:type="dxa"/>
            <w:vAlign w:val="bottom"/>
          </w:tcPr>
          <w:p>
            <w:pPr>
              <w:spacing w:after="0"/>
              <w:rPr>
                <w:sz w:val="4"/>
                <w:szCs w:val="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4"/>
                <w:szCs w:val="4"/>
                <w:b w:val="1"/>
                <w:bCs w:val="1"/>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340" w:type="dxa"/>
            <w:vAlign w:val="bottom"/>
            <w:gridSpan w:val="3"/>
          </w:tcPr>
          <w:p>
            <w:pPr>
              <w:ind w:left="12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700" w:type="dxa"/>
            <w:vAlign w:val="bottom"/>
            <w:gridSpan w:val="3"/>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5,000</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5,000</w:t>
            </w:r>
          </w:p>
        </w:tc>
        <w:tc>
          <w:tcPr>
            <w:tcW w:w="820" w:type="dxa"/>
            <w:vAlign w:val="bottom"/>
            <w:gridSpan w:val="4"/>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​32.84</w:t>
            </w:r>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5"/>
                <w:szCs w:val="5"/>
                <w:color w:val="auto"/>
                <w:vertAlign w:val="subscript"/>
              </w:rPr>
              <w:t>​</w:t>
            </w:r>
          </w:p>
        </w:tc>
        <w:tc>
          <w:tcPr>
            <w:tcW w:w="76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3"/>
                <w:szCs w:val="3"/>
                <w:color w:val="auto"/>
              </w:rPr>
              <w:t>164,200</w:t>
            </w:r>
            <w:r>
              <w:rPr>
                <w:rFonts w:ascii="Times New Roman" w:cs="Times New Roman" w:eastAsia="Times New Roman" w:hAnsi="Times New Roman"/>
                <w:sz w:val="5"/>
                <w:szCs w:val="5"/>
                <w:color w:val="auto"/>
                <w:vertAlign w:val="superscript"/>
              </w:rPr>
              <w:t>​​​</w:t>
            </w:r>
          </w:p>
        </w:tc>
      </w:tr>
      <w:tr>
        <w:trPr>
          <w:trHeight w:val="150"/>
        </w:trPr>
        <w:tc>
          <w:tcPr>
            <w:tcW w:w="2220" w:type="dxa"/>
            <w:vAlign w:val="bottom"/>
          </w:tcPr>
          <w:p>
            <w:pPr>
              <w:spacing w:after="0"/>
              <w:rPr>
                <w:sz w:val="13"/>
                <w:szCs w:val="13"/>
                <w:color w:val="auto"/>
              </w:rPr>
            </w:pPr>
          </w:p>
        </w:tc>
        <w:tc>
          <w:tcPr>
            <w:tcW w:w="960" w:type="dxa"/>
            <w:vAlign w:val="bottom"/>
            <w:gridSpan w:val="3"/>
          </w:tcPr>
          <w:p>
            <w:pPr>
              <w:ind w:left="820"/>
              <w:spacing w:after="0"/>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1120" w:type="dxa"/>
            <w:vAlign w:val="bottom"/>
            <w:gridSpan w:val="4"/>
          </w:tcPr>
          <w:p>
            <w:pPr>
              <w:jc w:val="right"/>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​2/19/2025</w:t>
            </w:r>
            <w:r>
              <w:rPr>
                <w:rFonts w:ascii="Times New Roman" w:cs="Times New Roman" w:eastAsia="Times New Roman" w:hAnsi="Times New Roman"/>
                <w:sz w:val="35"/>
                <w:szCs w:val="35"/>
                <w:color w:val="auto"/>
                <w:vertAlign w:val="superscript"/>
              </w:rPr>
              <w:t>​​ ​ ​</w:t>
            </w: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line="341"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1760" w:type="dxa"/>
            <w:vAlign w:val="bottom"/>
            <w:gridSpan w:val="9"/>
          </w:tcPr>
          <w:p>
            <w:pPr>
              <w:jc w:val="right"/>
              <w:ind w:righ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​173,910</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​173,910 </w:t>
            </w:r>
            <w:r>
              <w:rPr>
                <w:rFonts w:ascii="Times New Roman" w:cs="Times New Roman" w:eastAsia="Times New Roman" w:hAnsi="Times New Roman"/>
                <w:sz w:val="35"/>
                <w:szCs w:val="35"/>
                <w:color w:val="auto"/>
                <w:vertAlign w:val="superscript"/>
              </w:rPr>
              <w:t>​​​</w:t>
            </w:r>
          </w:p>
        </w:tc>
        <w:tc>
          <w:tcPr>
            <w:tcW w:w="400" w:type="dxa"/>
            <w:vAlign w:val="bottom"/>
          </w:tcPr>
          <w:p>
            <w:pPr>
              <w:ind w:left="10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7"/>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 xml:space="preserve">​Options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3"/>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6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560" w:type="dxa"/>
            <w:vAlign w:val="bottom"/>
            <w:gridSpan w:val="7"/>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20,000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20,000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411,214</w:t>
            </w:r>
            <w:r>
              <w:rPr>
                <w:rFonts w:ascii="Times New Roman" w:cs="Times New Roman" w:eastAsia="Times New Roman" w:hAnsi="Times New Roman"/>
                <w:sz w:val="31"/>
                <w:szCs w:val="31"/>
                <w:color w:val="auto"/>
                <w:vertAlign w:val="superscript"/>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​2/19/2025</w:t>
            </w: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7"/>
                <w:szCs w:val="17"/>
                <w:color w:val="auto"/>
              </w:rPr>
              <w:t>​</w:t>
            </w:r>
          </w:p>
        </w:tc>
        <w:tc>
          <w:tcPr>
            <w:tcW w:w="74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17"/>
                <w:szCs w:val="17"/>
                <w:color w:val="auto"/>
              </w:rPr>
              <w:t xml:space="preserve">RSUs </w:t>
            </w:r>
            <w:r>
              <w:rPr>
                <w:rFonts w:ascii="Times New Roman" w:cs="Times New Roman" w:eastAsia="Times New Roman" w:hAnsi="Times New Roman"/>
                <w:sz w:val="31"/>
                <w:szCs w:val="31"/>
                <w:color w:val="auto"/>
                <w:vertAlign w:val="superscript"/>
              </w:rPr>
              <w:t>​​​</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6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3"/>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600" w:type="dxa"/>
            <w:vAlign w:val="bottom"/>
            <w:gridSpan w:val="3"/>
          </w:tcPr>
          <w:p>
            <w:pPr>
              <w:jc w:val="right"/>
              <w:ind w:righ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34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4,500</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2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​33.52</w:t>
            </w:r>
          </w:p>
        </w:tc>
        <w:tc>
          <w:tcPr>
            <w:tcW w:w="200" w:type="dxa"/>
            <w:vAlign w:val="bottom"/>
            <w:gridSpan w:val="2"/>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150,840</w:t>
            </w:r>
            <w:r>
              <w:rPr>
                <w:rFonts w:ascii="Times New Roman" w:cs="Times New Roman" w:eastAsia="Times New Roman" w:hAnsi="Times New Roman"/>
                <w:sz w:val="31"/>
                <w:szCs w:val="31"/>
                <w:color w:val="auto"/>
                <w:vertAlign w:val="superscript"/>
              </w:rPr>
              <w:t>​​​​</w:t>
            </w:r>
          </w:p>
        </w:tc>
      </w:tr>
      <w:tr>
        <w:trPr>
          <w:trHeight w:val="49"/>
        </w:trPr>
        <w:tc>
          <w:tcPr>
            <w:tcW w:w="2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5/3/2025</w:t>
            </w:r>
            <w:r>
              <w:rPr>
                <w:rFonts w:ascii="Times New Roman" w:cs="Times New Roman" w:eastAsia="Times New Roman" w:hAnsi="Times New Roman"/>
                <w:sz w:val="5"/>
                <w:szCs w:val="5"/>
                <w:color w:val="auto"/>
                <w:vertAlign w:val="superscript"/>
              </w:rPr>
              <w:t>​​ ​ ​</w:t>
            </w:r>
            <w:r>
              <w:rPr>
                <w:rFonts w:ascii="Times New Roman" w:cs="Times New Roman" w:eastAsia="Times New Roman" w:hAnsi="Times New Roman"/>
                <w:sz w:val="3"/>
                <w:szCs w:val="3"/>
                <w:color w:val="auto"/>
              </w:rPr>
              <w:t>​</w:t>
            </w:r>
          </w:p>
        </w:tc>
        <w:tc>
          <w:tcPr>
            <w:tcW w:w="740" w:type="dxa"/>
            <w:vAlign w:val="bottom"/>
            <w:gridSpan w:val="3"/>
          </w:tcPr>
          <w:p>
            <w:pPr>
              <w:jc w:val="right"/>
              <w:ind w:right="100"/>
              <w:spacing w:after="0" w:line="50" w:lineRule="exact"/>
              <w:rPr>
                <w:sz w:val="20"/>
                <w:szCs w:val="20"/>
                <w:color w:val="auto"/>
              </w:rPr>
            </w:pPr>
            <w:r>
              <w:rPr>
                <w:rFonts w:ascii="Times New Roman" w:cs="Times New Roman" w:eastAsia="Times New Roman" w:hAnsi="Times New Roman"/>
                <w:sz w:val="3"/>
                <w:szCs w:val="3"/>
                <w:color w:val="auto"/>
              </w:rPr>
              <w:t xml:space="preserve">PSUs </w:t>
            </w:r>
            <w:r>
              <w:rPr>
                <w:rFonts w:ascii="Times New Roman" w:cs="Times New Roman" w:eastAsia="Times New Roman" w:hAnsi="Times New Roman"/>
                <w:sz w:val="5"/>
                <w:szCs w:val="5"/>
                <w:color w:val="auto"/>
                <w:vertAlign w:val="superscript"/>
              </w:rPr>
              <w:t>​​​</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460" w:type="dxa"/>
            <w:vAlign w:val="bottom"/>
            <w:gridSpan w:val="3"/>
          </w:tcPr>
          <w:p>
            <w:pPr>
              <w:ind w:left="12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700" w:type="dxa"/>
            <w:vAlign w:val="bottom"/>
            <w:gridSpan w:val="3"/>
          </w:tcPr>
          <w:p>
            <w:pPr>
              <w:jc w:val="right"/>
              <w:ind w:right="180"/>
              <w:spacing w:after="0" w:line="50"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600" w:type="dxa"/>
            <w:vAlign w:val="bottom"/>
            <w:gridSpan w:val="3"/>
          </w:tcPr>
          <w:p>
            <w:pPr>
              <w:jc w:val="right"/>
              <w:ind w:right="100"/>
              <w:spacing w:after="0" w:line="50"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color w:val="auto"/>
              </w:rPr>
              <w:t xml:space="preserve"> ​​​</w:t>
            </w:r>
          </w:p>
        </w:tc>
        <w:tc>
          <w:tcPr>
            <w:tcW w:w="4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340" w:type="dxa"/>
            <w:vAlign w:val="bottom"/>
            <w:gridSpan w:val="3"/>
          </w:tcPr>
          <w:p>
            <w:pPr>
              <w:ind w:left="12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700" w:type="dxa"/>
            <w:vAlign w:val="bottom"/>
            <w:gridSpan w:val="3"/>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5,000</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5,000</w:t>
            </w:r>
          </w:p>
        </w:tc>
        <w:tc>
          <w:tcPr>
            <w:tcW w:w="820" w:type="dxa"/>
            <w:vAlign w:val="bottom"/>
            <w:gridSpan w:val="4"/>
          </w:tcPr>
          <w:p>
            <w:pPr>
              <w:jc w:val="right"/>
              <w:ind w:right="60"/>
              <w:spacing w:after="0" w:line="50"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​32.84</w:t>
            </w:r>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5"/>
                <w:szCs w:val="5"/>
                <w:color w:val="auto"/>
                <w:vertAlign w:val="subscript"/>
              </w:rPr>
              <w:t>​</w:t>
            </w:r>
          </w:p>
        </w:tc>
        <w:tc>
          <w:tcPr>
            <w:tcW w:w="76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3"/>
                <w:szCs w:val="3"/>
                <w:color w:val="auto"/>
              </w:rPr>
              <w:t>164,200</w:t>
            </w:r>
            <w:r>
              <w:rPr>
                <w:rFonts w:ascii="Times New Roman" w:cs="Times New Roman" w:eastAsia="Times New Roman" w:hAnsi="Times New Roman"/>
                <w:sz w:val="5"/>
                <w:szCs w:val="5"/>
                <w:color w:val="auto"/>
                <w:vertAlign w:val="superscript"/>
              </w:rPr>
              <w:t>​​​​</w:t>
            </w:r>
          </w:p>
        </w:tc>
      </w:tr>
      <w:tr>
        <w:trPr>
          <w:trHeight w:val="150"/>
        </w:trPr>
        <w:tc>
          <w:tcPr>
            <w:tcW w:w="2220" w:type="dxa"/>
            <w:vAlign w:val="bottom"/>
          </w:tcPr>
          <w:p>
            <w:pPr>
              <w:spacing w:after="0"/>
              <w:rPr>
                <w:sz w:val="13"/>
                <w:szCs w:val="13"/>
                <w:color w:val="auto"/>
              </w:rPr>
            </w:pPr>
          </w:p>
        </w:tc>
        <w:tc>
          <w:tcPr>
            <w:tcW w:w="960" w:type="dxa"/>
            <w:vAlign w:val="bottom"/>
            <w:gridSpan w:val="3"/>
          </w:tcPr>
          <w:p>
            <w:pPr>
              <w:ind w:left="820"/>
              <w:spacing w:after="0"/>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-2831465</wp:posOffset>
            </wp:positionV>
            <wp:extent cx="618045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80455" cy="16319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-2506345</wp:posOffset>
            </wp:positionV>
            <wp:extent cx="618045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-2163445</wp:posOffset>
            </wp:positionV>
            <wp:extent cx="618045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-1820545</wp:posOffset>
            </wp:positionV>
            <wp:extent cx="618045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-1477645</wp:posOffset>
            </wp:positionV>
            <wp:extent cx="618045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-1134745</wp:posOffset>
            </wp:positionV>
            <wp:extent cx="618045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-791845</wp:posOffset>
            </wp:positionV>
            <wp:extent cx="618045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-448945</wp:posOffset>
            </wp:positionV>
            <wp:extent cx="618045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-106045</wp:posOffset>
            </wp:positionV>
            <wp:extent cx="618045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8045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142240</wp:posOffset>
            </wp:positionV>
            <wp:extent cx="1234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4" w:lineRule="exact"/>
        <w:rPr>
          <w:sz w:val="20"/>
          <w:szCs w:val="20"/>
          <w:color w:val="auto"/>
        </w:rPr>
      </w:pPr>
    </w:p>
    <w:p>
      <w:pPr>
        <w:ind w:left="1620" w:right="1060"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payout amounts are based on the target bonus percentage recommended by the Compensation Committee and approved by the Board of Directors on February 19, 2025.</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closing market price of our common stock on the date of the grant.</w:t>
      </w:r>
    </w:p>
    <w:p>
      <w:pPr>
        <w:spacing w:after="0" w:line="76" w:lineRule="exact"/>
        <w:rPr>
          <w:rFonts w:ascii="Times New Roman" w:cs="Times New Roman" w:eastAsia="Times New Roman" w:hAnsi="Times New Roman"/>
          <w:sz w:val="18"/>
          <w:szCs w:val="18"/>
          <w:color w:val="auto"/>
        </w:rPr>
      </w:pPr>
    </w:p>
    <w:p>
      <w:pPr>
        <w:ind w:left="1620" w:right="1460"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the awards calculated in accordance with ASC 718.</w:t>
      </w:r>
    </w:p>
    <w:p>
      <w:pPr>
        <w:spacing w:after="0" w:line="13" w:lineRule="exact"/>
        <w:rPr>
          <w:rFonts w:ascii="Times New Roman" w:cs="Times New Roman" w:eastAsia="Times New Roman" w:hAnsi="Times New Roman"/>
          <w:sz w:val="18"/>
          <w:szCs w:val="18"/>
          <w:color w:val="auto"/>
        </w:rPr>
      </w:pPr>
    </w:p>
    <w:p>
      <w:pPr>
        <w:ind w:left="1620" w:right="1340"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 for this tranche of the performance share unit grant was approved by the Compensation Committee on May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ind w:left="1260" w:right="1220" w:firstLine="360"/>
        <w:spacing w:after="0" w:line="282" w:lineRule="auto"/>
        <w:rPr>
          <w:sz w:val="20"/>
          <w:szCs w:val="20"/>
          <w:color w:val="auto"/>
        </w:rPr>
      </w:pPr>
      <w:r>
        <w:rPr>
          <w:rFonts w:ascii="Times New Roman" w:cs="Times New Roman" w:eastAsia="Times New Roman" w:hAnsi="Times New Roman"/>
          <w:sz w:val="18"/>
          <w:szCs w:val="18"/>
          <w:color w:val="auto"/>
        </w:rPr>
        <w:t>The table below sets forth certain information regarding the outstanding equity awards held by our NEOs as of December 31, 2025.</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Options Awards</w:t>
            </w:r>
            <w:r>
              <w:rPr>
                <w:rFonts w:ascii="Times New Roman" w:cs="Times New Roman" w:eastAsia="Times New Roman" w:hAnsi="Times New Roman"/>
                <w:sz w:val="17"/>
                <w:szCs w:val="17"/>
                <w:b w:val="1"/>
                <w:bCs w:val="1"/>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 ​​</w:t>
            </w:r>
          </w:p>
        </w:tc>
        <w:tc>
          <w:tcPr>
            <w:tcW w:w="6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 Performance Share Units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4"/>
              <w:spacing w:after="0" w:line="131"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5"/>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Rights that</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Rights that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80" w:type="dxa"/>
            <w:vAlign w:val="bottom"/>
          </w:tcPr>
          <w:p>
            <w:pPr>
              <w:spacing w:after="0"/>
              <w:rPr>
                <w:sz w:val="14"/>
                <w:szCs w:val="14"/>
                <w:color w:val="auto"/>
              </w:rPr>
            </w:pPr>
          </w:p>
        </w:tc>
        <w:tc>
          <w:tcPr>
            <w:tcW w:w="84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Have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Award</w:t>
            </w:r>
          </w:p>
        </w:tc>
        <w:tc>
          <w:tcPr>
            <w:tcW w:w="9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Not</w:t>
            </w:r>
          </w:p>
        </w:tc>
        <w:tc>
          <w:tcPr>
            <w:tcW w:w="220" w:type="dxa"/>
            <w:vAlign w:val="bottom"/>
          </w:tcPr>
          <w:p>
            <w:pPr>
              <w:spacing w:after="0"/>
              <w:rPr>
                <w:sz w:val="14"/>
                <w:szCs w:val="14"/>
                <w:color w:val="auto"/>
              </w:rPr>
            </w:pPr>
          </w:p>
        </w:tc>
        <w:tc>
          <w:tcPr>
            <w:tcW w:w="82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Grant Date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6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Type  ​ ​ Exercisable ​ ​ Unexercisable ​ ​</w:t>
            </w:r>
          </w:p>
        </w:tc>
        <w:tc>
          <w:tcPr>
            <w:tcW w:w="540" w:type="dxa"/>
            <w:vAlign w:val="bottom"/>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7"/>
                <w:szCs w:val="17"/>
                <w:b w:val="1"/>
                <w:bCs w:val="1"/>
                <w:color w:val="auto"/>
                <w:vertAlign w:val="superscript"/>
              </w:rPr>
              <w:t>(1)</w:t>
            </w:r>
          </w:p>
        </w:tc>
        <w:tc>
          <w:tcPr>
            <w:tcW w:w="90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14"/>
                <w:szCs w:val="14"/>
                <w:b w:val="1"/>
                <w:bCs w:val="1"/>
                <w:color w:val="auto"/>
              </w:rPr>
              <w:t>​ ​   ($)</w:t>
            </w:r>
            <w:r>
              <w:rPr>
                <w:rFonts w:ascii="Times New Roman" w:cs="Times New Roman" w:eastAsia="Times New Roman" w:hAnsi="Times New Roman"/>
                <w:sz w:val="17"/>
                <w:szCs w:val="17"/>
                <w:b w:val="1"/>
                <w:bCs w:val="1"/>
                <w:color w:val="auto"/>
                <w:vertAlign w:val="superscript"/>
              </w:rPr>
              <w:t>(3)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2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1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Jack A. Khattar</w:t>
            </w: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center"/>
              <w:ind w:left="3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ind w:right="365"/>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2/14/2018</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39.40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2/14/2028​​</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2/22/2019</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2/22/2029​​</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2/21/2020</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281,250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23.99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2/21/2030​​</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2/19/2021</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29.61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2/19/2031​​</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187,500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62,500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2/22/2032​​</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140,000 ​​ ​</w:t>
            </w:r>
          </w:p>
        </w:tc>
        <w:tc>
          <w:tcPr>
            <w:tcW w:w="880" w:type="dxa"/>
            <w:vAlign w:val="bottom"/>
            <w:tcBorders>
              <w:left w:val="single" w:sz="8" w:color="CCEEFF"/>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140,000</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2/23/2033​​</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80,500 ​​ ​</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241,500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2/22/2034​​</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2/20/2025</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tcBorders>
              <w:left w:val="single" w:sz="8" w:color="CCEEFF"/>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331,660</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34.59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2/20/2035​​</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6/24/2024</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96,600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4,801,020​</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5/3/2025</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8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198,996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9,890,101​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8/23/2021</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8/23/2031​​</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6,250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2/22/2032​​</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20,000</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2/23/2033​​</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37,500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2/22/2034​​</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40,000</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33.52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2/19/2035​​</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24,850 ​​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w:t>
            </w: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248,500 ​​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9,000</w:t>
            </w: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447,300 ​​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w:t>
            </w: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223,650 ​​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6/24/2024</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10,200 ​​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506,940​</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5/3/2025</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248,500​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2/21/2020</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23.99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2/21/2030​​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2/19/2021</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29.61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2/19/2031​​</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6,250</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2/22/2032​​</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10,000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2/23/2033​​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18,750</w:t>
            </w:r>
          </w:p>
        </w:tc>
        <w:tc>
          <w:tcPr>
            <w:tcW w:w="1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2/22/2034​​</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20,000</w:t>
            </w:r>
          </w:p>
        </w:tc>
        <w:tc>
          <w:tcPr>
            <w:tcW w:w="17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33.52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2/19/2035​​</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37,275 ​​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w:t>
            </w: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124,250 ​​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3,750</w:t>
            </w:r>
          </w:p>
        </w:tc>
        <w:tc>
          <w:tcPr>
            <w:tcW w:w="1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186,375 ​​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w:t>
            </w: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223,650 ​​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6/12/2023</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149,100​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 ​​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-5160010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-5160010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-5160010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-5160010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-5160010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-5160010</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-5160010</wp:posOffset>
            </wp:positionV>
            <wp:extent cx="120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-5160010</wp:posOffset>
            </wp:positionV>
            <wp:extent cx="1200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-5160010</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p>
      <w:pPr>
        <w:spacing w:after="0" w:line="34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00"/>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Options Awards</w:t>
            </w:r>
            <w:r>
              <w:rPr>
                <w:rFonts w:ascii="Times New Roman" w:cs="Times New Roman" w:eastAsia="Times New Roman" w:hAnsi="Times New Roman"/>
                <w:sz w:val="17"/>
                <w:szCs w:val="17"/>
                <w:b w:val="1"/>
                <w:bCs w:val="1"/>
                <w:color w:val="auto"/>
                <w:vertAlign w:val="superscript"/>
              </w:rPr>
              <w:t>(1)</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4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 Performance Share Units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1"/>
                <w:szCs w:val="11"/>
                <w:color w:val="auto"/>
              </w:rPr>
            </w:pP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Incentive</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5"/>
              </w:rPr>
              <w:t>Plan</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Awards:</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Payout</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Value of</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5"/>
              </w:rPr>
              <w:t>Shares,</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Units or</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4"/>
              </w:rPr>
              <w:t>Other</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Rights that</w:t>
            </w:r>
          </w:p>
        </w:tc>
        <w:tc>
          <w:tcPr>
            <w:tcW w:w="8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Rights that</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 Have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Have Not</w:t>
            </w:r>
          </w:p>
        </w:tc>
      </w:tr>
      <w:tr>
        <w:trPr>
          <w:trHeight w:val="162"/>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4"/>
                <w:szCs w:val="14"/>
                <w:color w:val="auto"/>
              </w:rPr>
            </w:pPr>
          </w:p>
        </w:tc>
        <w:tc>
          <w:tcPr>
            <w:tcW w:w="9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Not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3"/>
              </w:rPr>
              <w:t>Vested</w:t>
            </w:r>
          </w:p>
        </w:tc>
      </w:tr>
      <w:tr>
        <w:trPr>
          <w:trHeight w:val="187"/>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Grant Date</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Type  ​</w:t>
            </w:r>
          </w:p>
        </w:tc>
        <w:tc>
          <w:tcPr>
            <w:tcW w:w="9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Exercisable ​</w:t>
            </w: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Unexercisable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6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6"/>
                <w:szCs w:val="16"/>
                <w:color w:val="auto"/>
              </w:rPr>
            </w:pPr>
          </w:p>
        </w:tc>
        <w:tc>
          <w:tcPr>
            <w:tcW w:w="860" w:type="dxa"/>
            <w:vAlign w:val="bottom"/>
            <w:gridSpan w:val="2"/>
          </w:tcPr>
          <w:p>
            <w:pPr>
              <w:ind w:left="60"/>
              <w:spacing w:after="0" w:line="187" w:lineRule="exact"/>
              <w:rPr>
                <w:sz w:val="20"/>
                <w:szCs w:val="20"/>
                <w:color w:val="auto"/>
              </w:rPr>
            </w:pPr>
            <w:r>
              <w:rPr>
                <w:rFonts w:ascii="Times New Roman" w:cs="Times New Roman" w:eastAsia="Times New Roman" w:hAnsi="Times New Roman"/>
                <w:sz w:val="14"/>
                <w:szCs w:val="14"/>
                <w:b w:val="1"/>
                <w:bCs w:val="1"/>
                <w:color w:val="auto"/>
              </w:rPr>
              <w:t>​ ​   ($)</w:t>
            </w:r>
            <w:r>
              <w:rPr>
                <w:rFonts w:ascii="Times New Roman" w:cs="Times New Roman" w:eastAsia="Times New Roman" w:hAnsi="Times New Roman"/>
                <w:sz w:val="17"/>
                <w:szCs w:val="17"/>
                <w:b w:val="1"/>
                <w:bCs w:val="1"/>
                <w:color w:val="auto"/>
                <w:vertAlign w:val="superscript"/>
              </w:rPr>
              <w:t>(3)</w:t>
            </w:r>
          </w:p>
        </w:tc>
        <w:tc>
          <w:tcPr>
            <w:tcW w:w="4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120"/>
              <w:spacing w:after="0" w:line="18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(4)</w:t>
            </w:r>
          </w:p>
        </w:tc>
        <w:tc>
          <w:tcPr>
            <w:tcW w:w="6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4"/>
                <w:szCs w:val="14"/>
                <w:b w:val="1"/>
                <w:bCs w:val="1"/>
                <w:color w:val="auto"/>
              </w:rPr>
              <w:t xml:space="preserve">     ​</w:t>
            </w:r>
          </w:p>
        </w:tc>
      </w:tr>
      <w:tr>
        <w:trPr>
          <w:trHeight w:val="191"/>
        </w:trPr>
        <w:tc>
          <w:tcPr>
            <w:tcW w:w="16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Padmanabh P. Bhatt,</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Ph.D.</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0"/>
                <w:szCs w:val="20"/>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2/14/2018</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39.40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2/14/2028​​</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2/22/2019</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35,000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2/22/2029​​</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2/19/2021</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29.61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2/19/2031​​</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13,500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4,500</w:t>
            </w:r>
          </w:p>
        </w:tc>
        <w:tc>
          <w:tcPr>
            <w:tcW w:w="19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2/22/2032​​</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2/23/2033​​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15,000</w:t>
            </w:r>
          </w:p>
        </w:tc>
        <w:tc>
          <w:tcPr>
            <w:tcW w:w="19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2/22/2034​​</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33.52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2/19/2035​​</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37,275 ​​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w:t>
            </w: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124,250 ​​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3,750</w:t>
            </w:r>
          </w:p>
        </w:tc>
        <w:tc>
          <w:tcPr>
            <w:tcW w:w="12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186,375 ​​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w:t>
            </w: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223,650 ​​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6/24/2024</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3,350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166,495​</w:t>
            </w:r>
          </w:p>
        </w:tc>
        <w:tc>
          <w:tcPr>
            <w:tcW w:w="60" w:type="dxa"/>
            <w:vAlign w:val="bottom"/>
          </w:tcPr>
          <w:p>
            <w:pPr>
              <w:spacing w:after="0"/>
              <w:rPr>
                <w:sz w:val="19"/>
                <w:szCs w:val="19"/>
                <w:color w:val="auto"/>
              </w:rPr>
            </w:pPr>
          </w:p>
        </w:tc>
      </w:tr>
      <w:tr>
        <w:trPr>
          <w:trHeight w:val="230"/>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5/3/2025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5,000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248,500​</w:t>
            </w:r>
          </w:p>
        </w:tc>
      </w:tr>
      <w:tr>
        <w:trPr>
          <w:trHeight w:val="230"/>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2/22/2019</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14,000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2/22/2029​​</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2/21/2020</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22,000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23.99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2/21/2030​​</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2/19/2021</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17,000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29.61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2/19/2031​​</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13,500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4,500</w:t>
            </w:r>
          </w:p>
        </w:tc>
        <w:tc>
          <w:tcPr>
            <w:tcW w:w="19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2/22/2032​​</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15,000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15,000</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2/23/2033​​</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18,750</w:t>
            </w:r>
          </w:p>
        </w:tc>
        <w:tc>
          <w:tcPr>
            <w:tcW w:w="190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27.94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2/22/2034​​</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Option​​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190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33.52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2/19/2035​​</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2/22/2022</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37,275 ​​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2/23/2023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3,750</w:t>
            </w: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186,375 ​​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2/22/2024</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3,750</w:t>
            </w:r>
          </w:p>
        </w:tc>
        <w:tc>
          <w:tcPr>
            <w:tcW w:w="12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186,375 ​​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2/19/2025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RSU​​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4,500</w:t>
            </w: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223,650 ​​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6/12/2023</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186,375​</w:t>
            </w:r>
          </w:p>
        </w:tc>
        <w:tc>
          <w:tcPr>
            <w:tcW w:w="60" w:type="dxa"/>
            <w:vAlign w:val="bottom"/>
          </w:tcPr>
          <w:p>
            <w:pPr>
              <w:spacing w:after="0"/>
              <w:rPr>
                <w:sz w:val="19"/>
                <w:szCs w:val="19"/>
                <w:color w:val="auto"/>
              </w:rPr>
            </w:pPr>
          </w:p>
        </w:tc>
      </w:tr>
      <w:tr>
        <w:trPr>
          <w:trHeight w:val="229"/>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6/24/2024</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5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3,750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186,375​</w:t>
            </w:r>
          </w:p>
        </w:tc>
      </w:tr>
      <w:tr>
        <w:trPr>
          <w:trHeight w:val="230"/>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5/3/2025</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PSU​​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5,000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248,500​</w:t>
            </w:r>
          </w:p>
        </w:tc>
        <w:tc>
          <w:tcPr>
            <w:tcW w:w="60" w:type="dxa"/>
            <w:vAlign w:val="bottom"/>
          </w:tcPr>
          <w:p>
            <w:pPr>
              <w:spacing w:after="0"/>
              <w:rPr>
                <w:sz w:val="19"/>
                <w:szCs w:val="19"/>
                <w:color w:val="auto"/>
              </w:rPr>
            </w:pPr>
          </w:p>
        </w:tc>
      </w:tr>
      <w:tr>
        <w:trPr>
          <w:trHeight w:val="122"/>
        </w:trPr>
        <w:tc>
          <w:tcPr>
            <w:tcW w:w="76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-4371340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-4371340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-4371340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-4371340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-4371340</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-4371340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-4371340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-4371340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1383030</wp:posOffset>
            </wp:positionH>
            <wp:positionV relativeFrom="paragraph">
              <wp:posOffset>-4371340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left="1620" w:right="1000"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grants of restricted stock units vest over four years in four equal installments of 25% each on the first four anniversaries of the date of grant.</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the closing market price of our common stock on the date of grant.</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market price of our common stock on December 31, 2025.</w:t>
      </w:r>
    </w:p>
    <w:p>
      <w:pPr>
        <w:spacing w:after="0" w:line="103"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performance share units vest, if at all, upon the achievement of specific individual performance objectives, which are designed to support the long-term performance of the Company.</w:t>
      </w:r>
    </w:p>
    <w:p>
      <w:pPr>
        <w:spacing w:after="0" w:line="3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60" w:type="dxa"/>
            <w:vAlign w:val="bottom"/>
          </w:tcPr>
          <w:p>
            <w:pPr>
              <w:spacing w:after="0"/>
              <w:rPr>
                <w:sz w:val="16"/>
                <w:szCs w:val="16"/>
                <w:color w:val="auto"/>
              </w:rPr>
            </w:pPr>
          </w:p>
        </w:tc>
        <w:tc>
          <w:tcPr>
            <w:tcW w:w="17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37"/>
        </w:trPr>
        <w:tc>
          <w:tcPr>
            <w:tcW w:w="3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Realized On</w:t>
            </w:r>
          </w:p>
        </w:tc>
        <w:tc>
          <w:tcPr>
            <w:tcW w:w="108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Realized On</w:t>
            </w:r>
          </w:p>
        </w:tc>
      </w:tr>
      <w:tr>
        <w:trPr>
          <w:trHeight w:val="19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Exercise ($)</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Vesting ($)</w:t>
            </w:r>
          </w:p>
        </w:tc>
      </w:tr>
      <w:tr>
        <w:trPr>
          <w:trHeight w:val="23"/>
        </w:trPr>
        <w:tc>
          <w:tcPr>
            <w:tcW w:w="3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​580,000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​14,903,848</w:t>
            </w:r>
          </w:p>
        </w:tc>
        <w:tc>
          <w:tcPr>
            <w:tcW w:w="10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​112,960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​4,450,288​</w:t>
            </w: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9,800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320,128​</w:t>
            </w: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267,463​</w:t>
            </w:r>
          </w:p>
        </w:tc>
      </w:tr>
      <w:tr>
        <w:trPr>
          <w:trHeight w:val="25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 12,750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128,359</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7,650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290,495​</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 39,000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905,296</w:t>
            </w:r>
          </w:p>
        </w:tc>
        <w:tc>
          <w:tcPr>
            <w:tcW w:w="10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 13,385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2" w:lineRule="exact"/>
        <w:rPr>
          <w:sz w:val="20"/>
          <w:szCs w:val="20"/>
          <w:color w:val="auto"/>
        </w:rPr>
      </w:pPr>
    </w:p>
    <w:p>
      <w:pPr>
        <w:ind w:left="1260" w:right="1300" w:firstLine="360"/>
        <w:spacing w:after="0" w:line="242" w:lineRule="auto"/>
        <w:rPr>
          <w:sz w:val="20"/>
          <w:szCs w:val="20"/>
          <w:color w:val="auto"/>
        </w:rPr>
      </w:pPr>
      <w:r>
        <w:rPr>
          <w:rFonts w:ascii="Times New Roman" w:cs="Times New Roman" w:eastAsia="Times New Roman" w:hAnsi="Times New Roman"/>
          <w:sz w:val="18"/>
          <w:szCs w:val="18"/>
          <w:color w:val="auto"/>
        </w:rPr>
        <w:t>Assuming Mr. Khattar’s employment is terminated without cause or he resigns for good reason, or he resigns for good reason after a change of control, each such term as defined in Mr. Khattar’s employment agreement, on December 31, 2025, the estimated values of payments and benefits to Mr. Khattar are set forth in the following table. Assuming Messrs. Dec’s or Mottola’s or Dr. Rubin’s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2025, are set forth in the following table. In addition, the following table also sets forth the amount payable upon a restructuring of Supernus that results in the elimination of Dr. Bhatt’s position assuming the restructuring occurred on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20" w:type="dxa"/>
            <w:vAlign w:val="bottom"/>
          </w:tcPr>
          <w:p>
            <w:pPr>
              <w:spacing w:after="0"/>
              <w:rPr>
                <w:sz w:val="14"/>
                <w:szCs w:val="14"/>
                <w:color w:val="auto"/>
              </w:rPr>
            </w:pPr>
          </w:p>
        </w:tc>
        <w:tc>
          <w:tcPr>
            <w:tcW w:w="21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Without Cause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Resignation</w:t>
            </w:r>
          </w:p>
        </w:tc>
        <w:tc>
          <w:tcPr>
            <w:tcW w:w="120" w:type="dxa"/>
            <w:vAlign w:val="bottom"/>
          </w:tcPr>
          <w:p>
            <w:pPr>
              <w:spacing w:after="0"/>
              <w:rPr>
                <w:sz w:val="14"/>
                <w:szCs w:val="14"/>
                <w:color w:val="auto"/>
              </w:rPr>
            </w:pPr>
          </w:p>
        </w:tc>
        <w:tc>
          <w:tcPr>
            <w:tcW w:w="21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8"/>
              </w:rPr>
              <w:t>Reason After</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Upon a</w:t>
            </w:r>
          </w:p>
        </w:tc>
        <w:tc>
          <w:tcPr>
            <w:tcW w:w="120" w:type="dxa"/>
            <w:vAlign w:val="bottom"/>
          </w:tcPr>
          <w:p>
            <w:pPr>
              <w:spacing w:after="0"/>
              <w:rPr>
                <w:sz w:val="14"/>
                <w:szCs w:val="14"/>
                <w:color w:val="auto"/>
              </w:rPr>
            </w:pPr>
          </w:p>
        </w:tc>
        <w:tc>
          <w:tcPr>
            <w:tcW w:w="7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9"/>
              </w:rPr>
              <w:t>a Change</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120" w:type="dxa"/>
            <w:vAlign w:val="bottom"/>
          </w:tcPr>
          <w:p>
            <w:pPr>
              <w:spacing w:after="0"/>
              <w:rPr>
                <w:sz w:val="16"/>
                <w:szCs w:val="16"/>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of Control</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120" w:type="dxa"/>
            <w:vAlign w:val="bottom"/>
            <w:shd w:val="clear" w:color="auto" w:fill="CCEEFF"/>
          </w:tcPr>
          <w:p>
            <w:pPr>
              <w:spacing w:after="0"/>
              <w:rPr>
                <w:sz w:val="19"/>
                <w:szCs w:val="19"/>
                <w:color w:val="auto"/>
              </w:rPr>
            </w:pPr>
          </w:p>
        </w:tc>
        <w:tc>
          <w:tcPr>
            <w:tcW w:w="2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continuation</w:t>
            </w:r>
          </w:p>
        </w:tc>
        <w:tc>
          <w:tcPr>
            <w:tcW w:w="82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$1,554,000</w:t>
            </w:r>
          </w:p>
        </w:tc>
        <w:tc>
          <w:tcPr>
            <w:tcW w:w="1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$1,554,000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826,254</w:t>
            </w:r>
          </w:p>
        </w:tc>
        <w:tc>
          <w:tcPr>
            <w:tcW w:w="1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826,254</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826,254</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80" w:type="dxa"/>
            <w:vAlign w:val="bottom"/>
            <w:tcBorders>
              <w:right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Continuation of benefits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36,338</w:t>
            </w:r>
          </w:p>
        </w:tc>
        <w:tc>
          <w:tcPr>
            <w:tcW w:w="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spacing w:after="0" w:line="297"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$51,901,161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260" w:type="dxa"/>
            <w:vAlign w:val="bottom"/>
          </w:tcPr>
          <w:p>
            <w:pPr>
              <w:spacing w:after="0"/>
              <w:rPr>
                <w:sz w:val="24"/>
                <w:szCs w:val="24"/>
                <w:color w:val="auto"/>
              </w:rPr>
            </w:pPr>
          </w:p>
        </w:tc>
        <w:tc>
          <w:tcPr>
            <w:tcW w:w="294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8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$2,416,592</w:t>
            </w:r>
          </w:p>
        </w:tc>
        <w:tc>
          <w:tcPr>
            <w:tcW w:w="140" w:type="dxa"/>
            <w:vAlign w:val="bottom"/>
            <w:tcBorders>
              <w:top w:val="single" w:sz="8" w:color="CCEEFF"/>
              <w:bottom w:val="single" w:sz="8" w:color="CCEEFF"/>
              <w:right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$2,416,592</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$54,317,753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Base salary continuation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60" w:type="dxa"/>
            <w:vAlign w:val="bottom"/>
          </w:tcPr>
          <w:p>
            <w:pPr>
              <w:spacing w:after="0"/>
              <w:rPr>
                <w:sz w:val="16"/>
                <w:szCs w:val="16"/>
                <w:color w:val="auto"/>
              </w:rPr>
            </w:pPr>
          </w:p>
        </w:tc>
        <w:tc>
          <w:tcPr>
            <w:tcW w:w="29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3"/>
                <w:szCs w:val="13"/>
                <w:color w:val="auto"/>
                <w:w w:val="81"/>
              </w:rPr>
              <w:t>​</w:t>
            </w:r>
            <w:r>
              <w:rPr>
                <w:rFonts w:ascii="Times New Roman" w:cs="Times New Roman" w:eastAsia="Times New Roman" w:hAnsi="Times New Roman"/>
                <w:sz w:val="22"/>
                <w:szCs w:val="22"/>
                <w:color w:val="auto"/>
                <w:w w:val="81"/>
                <w:vertAlign w:val="subscript"/>
              </w:rPr>
              <w:t>$</w:t>
            </w:r>
          </w:p>
        </w:tc>
        <w:tc>
          <w:tcPr>
            <w:tcW w:w="840" w:type="dxa"/>
            <w:vAlign w:val="bottom"/>
            <w:gridSpan w:val="2"/>
          </w:tcPr>
          <w:p>
            <w:pPr>
              <w:jc w:val="right"/>
              <w:ind w:right="140"/>
              <w:spacing w:after="0" w:line="190" w:lineRule="exact"/>
              <w:rPr>
                <w:sz w:val="20"/>
                <w:szCs w:val="20"/>
                <w:color w:val="auto"/>
              </w:rPr>
            </w:pPr>
            <w:r>
              <w:rPr>
                <w:rFonts w:ascii="Times New Roman" w:cs="Times New Roman" w:eastAsia="Times New Roman" w:hAnsi="Times New Roman"/>
                <w:sz w:val="18"/>
                <w:szCs w:val="18"/>
                <w:color w:val="auto"/>
              </w:rPr>
              <w:t>504,900</w:t>
            </w: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7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504,900</w:t>
            </w:r>
          </w:p>
        </w:tc>
        <w:tc>
          <w:tcPr>
            <w:tcW w:w="120" w:type="dxa"/>
            <w:vAlign w:val="bottom"/>
            <w:vMerge w:val="continue"/>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2040" w:type="dxa"/>
            <w:vAlign w:val="bottom"/>
            <w:gridSpan w:val="2"/>
          </w:tcPr>
          <w:p>
            <w:pPr>
              <w:jc w:val="right"/>
              <w:ind w:right="1260"/>
              <w:spacing w:after="0" w:line="190" w:lineRule="exact"/>
              <w:rPr>
                <w:sz w:val="20"/>
                <w:szCs w:val="20"/>
                <w:color w:val="auto"/>
              </w:rPr>
            </w:pPr>
            <w:r>
              <w:rPr>
                <w:rFonts w:ascii="Times New Roman" w:cs="Times New Roman" w:eastAsia="Times New Roman" w:hAnsi="Times New Roman"/>
                <w:sz w:val="18"/>
                <w:szCs w:val="18"/>
                <w:color w:val="auto"/>
              </w:rPr>
              <w:t>504,900</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80" w:type="dxa"/>
            <w:vAlign w:val="bottom"/>
            <w:tcBorders>
              <w:right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229,160</w:t>
            </w:r>
          </w:p>
        </w:tc>
        <w:tc>
          <w:tcPr>
            <w:tcW w:w="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229,160</w:t>
            </w:r>
          </w:p>
        </w:tc>
        <w:tc>
          <w:tcPr>
            <w:tcW w:w="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Continuation of benefits</w:t>
            </w:r>
            <w:r>
              <w:rPr>
                <w:rFonts w:ascii="Times New Roman" w:cs="Times New Roman" w:eastAsia="Times New Roman" w:hAnsi="Times New Roman"/>
                <w:sz w:val="23"/>
                <w:szCs w:val="23"/>
                <w:color w:val="auto"/>
                <w:vertAlign w:val="superscript"/>
              </w:rPr>
              <w:t>(4)</w:t>
            </w:r>
          </w:p>
        </w:tc>
        <w:tc>
          <w:tcPr>
            <w:tcW w:w="120" w:type="dxa"/>
            <w:vAlign w:val="bottom"/>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22,984</w:t>
            </w:r>
          </w:p>
        </w:tc>
        <w:tc>
          <w:tcPr>
            <w:tcW w:w="1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22,984</w:t>
            </w: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spacing w:after="0"/>
              <w:rPr>
                <w:sz w:val="24"/>
                <w:szCs w:val="24"/>
                <w:color w:val="auto"/>
              </w:rPr>
            </w:pPr>
          </w:p>
        </w:tc>
        <w:tc>
          <w:tcPr>
            <w:tcW w:w="24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6,408,290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line="263"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757,044</w:t>
            </w:r>
          </w:p>
        </w:tc>
        <w:tc>
          <w:tcPr>
            <w:tcW w:w="140" w:type="dxa"/>
            <w:vAlign w:val="bottom"/>
          </w:tcPr>
          <w:p>
            <w:pPr>
              <w:spacing w:after="0"/>
              <w:rPr>
                <w:sz w:val="22"/>
                <w:szCs w:val="22"/>
                <w:color w:val="auto"/>
              </w:rPr>
            </w:pPr>
          </w:p>
        </w:tc>
        <w:tc>
          <w:tcPr>
            <w:tcW w:w="12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757,044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7,165,334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Rubin, MD</w:t>
            </w:r>
          </w:p>
        </w:tc>
        <w:tc>
          <w:tcPr>
            <w:tcW w:w="120" w:type="dxa"/>
            <w:vAlign w:val="bottom"/>
            <w:shd w:val="clear" w:color="auto" w:fill="CCEEFF"/>
          </w:tcPr>
          <w:p>
            <w:pPr>
              <w:spacing w:after="0"/>
              <w:rPr>
                <w:sz w:val="18"/>
                <w:szCs w:val="18"/>
                <w:color w:val="auto"/>
              </w:rPr>
            </w:pPr>
          </w:p>
        </w:tc>
        <w:tc>
          <w:tcPr>
            <w:tcW w:w="2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continuation</w:t>
            </w:r>
          </w:p>
        </w:tc>
        <w:tc>
          <w:tcPr>
            <w:tcW w:w="12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4"/>
                <w:szCs w:val="14"/>
                <w:color w:val="auto"/>
                <w:w w:val="74"/>
              </w:rPr>
              <w:t>​</w:t>
            </w:r>
            <w:r>
              <w:rPr>
                <w:rFonts w:ascii="Times New Roman" w:cs="Times New Roman" w:eastAsia="Times New Roman" w:hAnsi="Times New Roman"/>
                <w:sz w:val="24"/>
                <w:szCs w:val="24"/>
                <w:color w:val="auto"/>
                <w:w w:val="74"/>
                <w:vertAlign w:val="subscript"/>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485,100</w:t>
            </w:r>
          </w:p>
        </w:tc>
        <w:tc>
          <w:tcPr>
            <w:tcW w:w="1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485,100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192,530</w:t>
            </w:r>
          </w:p>
        </w:tc>
        <w:tc>
          <w:tcPr>
            <w:tcW w:w="1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192,530</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192,530</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80" w:type="dxa"/>
            <w:vAlign w:val="bottom"/>
            <w:tcBorders>
              <w:right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Continuation of benefits</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24,225</w:t>
            </w:r>
          </w:p>
        </w:tc>
        <w:tc>
          <w:tcPr>
            <w:tcW w:w="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24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4,086,005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line="263"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701,855</w:t>
            </w: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701,855</w:t>
            </w:r>
          </w:p>
        </w:tc>
        <w:tc>
          <w:tcPr>
            <w:tcW w:w="120" w:type="dxa"/>
            <w:vAlign w:val="bottom"/>
            <w:tcBorders>
              <w:right w:val="single" w:sz="8" w:color="CCEEFF"/>
            </w:tcBorders>
            <w:vMerge w:val="continue"/>
            <w:shd w:val="clear" w:color="auto" w:fill="CCEEFF"/>
          </w:tcPr>
          <w:p>
            <w:pPr>
              <w:spacing w:after="0"/>
              <w:rPr>
                <w:sz w:val="24"/>
                <w:szCs w:val="24"/>
                <w:color w:val="auto"/>
              </w:rPr>
            </w:pPr>
          </w:p>
        </w:tc>
        <w:tc>
          <w:tcPr>
            <w:tcW w:w="12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4,787,860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Padmanabh P. Bhatt, Ph.D.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Severance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80" w:type="dxa"/>
            <w:vAlign w:val="bottom"/>
            <w:gridSpan w:val="2"/>
            <w:vMerge w:val="continue"/>
          </w:tcPr>
          <w:p>
            <w:pPr>
              <w:spacing w:after="0"/>
              <w:rPr>
                <w:sz w:val="20"/>
                <w:szCs w:val="20"/>
                <w:color w:val="auto"/>
              </w:rPr>
            </w:pPr>
          </w:p>
        </w:tc>
        <w:tc>
          <w:tcPr>
            <w:tcW w:w="120" w:type="dxa"/>
            <w:vAlign w:val="bottom"/>
          </w:tcPr>
          <w:p>
            <w:pPr>
              <w:jc w:val="right"/>
              <w:spacing w:after="0" w:line="230"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227,950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120" w:type="dxa"/>
            <w:vAlign w:val="bottom"/>
            <w:shd w:val="clear" w:color="auto" w:fill="CCEEFF"/>
          </w:tcPr>
          <w:p>
            <w:pPr>
              <w:spacing w:after="0"/>
              <w:rPr>
                <w:sz w:val="18"/>
                <w:szCs w:val="18"/>
                <w:color w:val="auto"/>
              </w:rPr>
            </w:pPr>
          </w:p>
        </w:tc>
        <w:tc>
          <w:tcPr>
            <w:tcW w:w="2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continuation</w:t>
            </w:r>
          </w:p>
        </w:tc>
        <w:tc>
          <w:tcPr>
            <w:tcW w:w="12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4"/>
                <w:szCs w:val="14"/>
                <w:color w:val="auto"/>
                <w:w w:val="74"/>
              </w:rPr>
              <w:t>​</w:t>
            </w:r>
            <w:r>
              <w:rPr>
                <w:rFonts w:ascii="Times New Roman" w:cs="Times New Roman" w:eastAsia="Times New Roman" w:hAnsi="Times New Roman"/>
                <w:sz w:val="24"/>
                <w:szCs w:val="24"/>
                <w:color w:val="auto"/>
                <w:w w:val="74"/>
                <w:vertAlign w:val="subscript"/>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412,500</w:t>
            </w:r>
          </w:p>
        </w:tc>
        <w:tc>
          <w:tcPr>
            <w:tcW w:w="1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4"/>
                <w:szCs w:val="24"/>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Bonus</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line="256" w:lineRule="exact"/>
              <w:rPr>
                <w:sz w:val="20"/>
                <w:szCs w:val="20"/>
                <w:color w:val="auto"/>
              </w:rPr>
            </w:pPr>
            <w:r>
              <w:rPr>
                <w:rFonts w:ascii="Times New Roman" w:cs="Times New Roman" w:eastAsia="Times New Roman" w:hAnsi="Times New Roman"/>
                <w:sz w:val="29"/>
                <w:szCs w:val="29"/>
                <w:color w:val="auto"/>
                <w:w w:val="74"/>
                <w:vertAlign w:val="superscript"/>
              </w:rPr>
              <w:t>​</w:t>
            </w: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140,001</w:t>
            </w:r>
          </w:p>
        </w:tc>
        <w:tc>
          <w:tcPr>
            <w:tcW w:w="12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140,001</w:t>
            </w:r>
          </w:p>
        </w:tc>
        <w:tc>
          <w:tcPr>
            <w:tcW w:w="24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140,001</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80" w:type="dxa"/>
            <w:vAlign w:val="bottom"/>
            <w:tcBorders>
              <w:right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Continuation of benefits</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35,425</w:t>
            </w:r>
          </w:p>
        </w:tc>
        <w:tc>
          <w:tcPr>
            <w:tcW w:w="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240" w:type="dxa"/>
            <w:vAlign w:val="bottom"/>
            <w:gridSpan w:val="2"/>
          </w:tcPr>
          <w:p>
            <w:pPr>
              <w:spacing w:after="0" w:line="29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4"/>
                <w:szCs w:val="34"/>
                <w:color w:val="auto"/>
                <w:vertAlign w:val="subscript"/>
              </w:rPr>
              <w:t>$</w:t>
            </w: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3,983,225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line="277"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bscript"/>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587,926</w:t>
            </w: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line="276" w:lineRule="exact"/>
              <w:rPr>
                <w:sz w:val="20"/>
                <w:szCs w:val="20"/>
                <w:color w:val="auto"/>
              </w:rPr>
            </w:pPr>
            <w:r>
              <w:rPr>
                <w:rFonts w:ascii="Times New Roman" w:cs="Times New Roman" w:eastAsia="Times New Roman" w:hAnsi="Times New Roman"/>
                <w:sz w:val="17"/>
                <w:szCs w:val="17"/>
                <w:color w:val="auto"/>
                <w:w w:val="93"/>
              </w:rPr>
              <w:t>​</w:t>
            </w:r>
            <w:r>
              <w:rPr>
                <w:rFonts w:ascii="Times New Roman" w:cs="Times New Roman" w:eastAsia="Times New Roman" w:hAnsi="Times New Roman"/>
                <w:sz w:val="32"/>
                <w:szCs w:val="32"/>
                <w:color w:val="auto"/>
                <w:w w:val="93"/>
                <w:vertAlign w:val="subscript"/>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587,926</w:t>
            </w:r>
          </w:p>
        </w:tc>
        <w:tc>
          <w:tcPr>
            <w:tcW w:w="120" w:type="dxa"/>
            <w:vAlign w:val="bottom"/>
            <w:tcBorders>
              <w:right w:val="single" w:sz="8" w:color="CCEEFF"/>
            </w:tcBorders>
            <w:vMerge w:val="continue"/>
            <w:shd w:val="clear" w:color="auto" w:fill="CCEEFF"/>
          </w:tcPr>
          <w:p>
            <w:pPr>
              <w:spacing w:after="0"/>
              <w:rPr>
                <w:sz w:val="24"/>
                <w:szCs w:val="24"/>
                <w:color w:val="auto"/>
              </w:rPr>
            </w:pPr>
          </w:p>
        </w:tc>
        <w:tc>
          <w:tcPr>
            <w:tcW w:w="120" w:type="dxa"/>
            <w:vAlign w:val="bottom"/>
            <w:shd w:val="clear" w:color="auto" w:fill="CCEEFF"/>
          </w:tcPr>
          <w:p>
            <w:pPr>
              <w:spacing w:after="0" w:line="276" w:lineRule="exact"/>
              <w:rPr>
                <w:sz w:val="20"/>
                <w:szCs w:val="20"/>
                <w:color w:val="auto"/>
              </w:rPr>
            </w:pPr>
            <w:r>
              <w:rPr>
                <w:rFonts w:ascii="Times New Roman" w:cs="Times New Roman" w:eastAsia="Times New Roman" w:hAnsi="Times New Roman"/>
                <w:sz w:val="17"/>
                <w:szCs w:val="17"/>
                <w:color w:val="auto"/>
                <w:w w:val="93"/>
              </w:rPr>
              <w:t>​</w:t>
            </w:r>
            <w:r>
              <w:rPr>
                <w:rFonts w:ascii="Times New Roman" w:cs="Times New Roman" w:eastAsia="Times New Roman" w:hAnsi="Times New Roman"/>
                <w:sz w:val="32"/>
                <w:szCs w:val="32"/>
                <w:color w:val="auto"/>
                <w:w w:val="93"/>
                <w:vertAlign w:val="sub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4,571,151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gridSpan w:val="2"/>
            <w:vMerge w:val="restart"/>
          </w:tcPr>
          <w:p>
            <w:pPr>
              <w:jc w:val="right"/>
              <w:ind w:right="95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-873760</wp:posOffset>
            </wp:positionV>
            <wp:extent cx="46374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4637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374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-3668395</wp:posOffset>
            </wp:positionV>
            <wp:extent cx="46374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-4337050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-4337050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-4337050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-4337050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20" w:right="479" w:hanging="360"/>
        <w:spacing w:after="0" w:line="259"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for bonus in connection with a change in control represents the bonus payment Mr. Khattar would have earned under his employment agreement based on the assumption that his employment terminated as of the last day of fiscal year 2025. The amount set forth in the table reflects the bonus paid to Mr. Khattar during 2025 under our annual cash incentive plan, which pertained to the 2024 fiscal year.</w:t>
      </w:r>
    </w:p>
    <w:p>
      <w:pPr>
        <w:spacing w:after="0" w:line="281" w:lineRule="exact"/>
        <w:rPr>
          <w:rFonts w:ascii="Times New Roman" w:cs="Times New Roman" w:eastAsia="Times New Roman" w:hAnsi="Times New Roman"/>
          <w:sz w:val="18"/>
          <w:szCs w:val="18"/>
          <w:color w:val="auto"/>
        </w:rPr>
      </w:pPr>
    </w:p>
    <w:p>
      <w:pPr>
        <w:ind w:left="1620" w:right="99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for continuation of benefits represent estimates for the continuation of COBRA insurance benefits afforded to Mr. Khattar and eligible family members in accordance with his employment agreement.</w:t>
      </w:r>
    </w:p>
    <w:p>
      <w:pPr>
        <w:spacing w:after="0" w:line="54"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for bonus in connection with the Executive Retention Agreement represent the bonus payment to the executive based on a lump-sum payment equal to the most recent annual bonus received by the executive. The amount set forth in the table reflects the bonus paid to each executive during 2025 under our annual cash incentive plan, which pertained to the 2024 fiscal year.</w:t>
      </w:r>
    </w:p>
    <w:p>
      <w:pPr>
        <w:spacing w:after="0" w:line="58"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for continuation of benefits represent estimates for the continuation of COBRA insurance benefits afforded to the executive officer and eligible family members in accordance with the Executive Retention Agreement.</w:t>
      </w:r>
    </w:p>
    <w:p>
      <w:pPr>
        <w:spacing w:after="0" w:line="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for acceleration of outstanding equity awards.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4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953(b) of the Dodd-Frank Wall Street Reform and Consumer Protection Act and Item 402(u) of Regulation S-K, we are required to disclose the ratio of our principal executive officer to the annual total compensation of our median employee. During fiscal year 2025, the principal executive officer of Supernus was our President and Chief Executive Officer, Jack Khattar. For 2025, the annual total compensation of Mr. Khattar, as disclosed in the Summary Compensation Table, was $15,501,556, and for our median employee was $192,397, resulting in a pay ratio of approximately 81:1.</w:t>
      </w:r>
    </w:p>
    <w:p>
      <w:pPr>
        <w:spacing w:after="0" w:line="12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Item 402(u) of Regulation S-K, with the assistance of Aon we identified the median employee as of December 31, 2025 by (i) aggregating for each applicable employee (A) annual base salary,</w:t>
      </w:r>
    </w:p>
    <w:p>
      <w:pPr>
        <w:ind w:left="1260" w:right="479"/>
        <w:spacing w:after="0" w:line="271" w:lineRule="auto"/>
        <w:tabs>
          <w:tab w:leader="none" w:pos="15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bonus and commissions, and (C) the estimated grant date fair value of equity granted in 2025, and (ii) ranking this compensation measure for our employees from lowest to highest. This calculation was performed for all employees of Supernus, excluding Mr. Khattar.</w:t>
      </w:r>
    </w:p>
    <w:p>
      <w:pPr>
        <w:spacing w:after="0" w:line="118"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48"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NEOs other than our PEO (“Non-PEO NEOs”) and Company performance for the fiscal years listed below. The Compensation Committee did not consider the pay versus performance disclosure below in making its pay decisions for any of the years shown.</w:t>
      </w: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 of Initial Fixed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$100 Investment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jc w:val="right"/>
              <w:ind w:right="314"/>
              <w:spacing w:after="0" w:line="66" w:lineRule="exact"/>
              <w:rPr>
                <w:sz w:val="20"/>
                <w:szCs w:val="20"/>
                <w:color w:val="auto"/>
              </w:rPr>
            </w:pPr>
            <w:r>
              <w:rPr>
                <w:rFonts w:ascii="Times New Roman" w:cs="Times New Roman" w:eastAsia="Times New Roman" w:hAnsi="Times New Roman"/>
                <w:sz w:val="7"/>
                <w:szCs w:val="7"/>
                <w:b w:val="1"/>
                <w:bCs w:val="1"/>
                <w:color w:val="auto"/>
              </w:rPr>
              <w:t>(5)</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4"/>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Shareholder</w:t>
            </w:r>
          </w:p>
        </w:tc>
        <w:tc>
          <w:tcPr>
            <w:tcW w:w="12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Peer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Jack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Jack</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80" w:type="dxa"/>
            <w:vAlign w:val="bottom"/>
          </w:tcPr>
          <w:p>
            <w:pPr>
              <w:spacing w:after="0"/>
              <w:rPr>
                <w:sz w:val="14"/>
                <w:szCs w:val="14"/>
                <w:color w:val="auto"/>
              </w:rPr>
            </w:pP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2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4"/>
                <w:szCs w:val="14"/>
                <w:b w:val="1"/>
                <w:bCs w:val="1"/>
                <w:color w:val="auto"/>
                <w:w w:val="94"/>
              </w:rPr>
              <w:t>Khattar</w:t>
            </w:r>
            <w:r>
              <w:rPr>
                <w:rFonts w:ascii="Times New Roman" w:cs="Times New Roman" w:eastAsia="Times New Roman" w:hAnsi="Times New Roman"/>
                <w:sz w:val="17"/>
                <w:szCs w:val="17"/>
                <w:b w:val="1"/>
                <w:bCs w:val="1"/>
                <w:color w:val="auto"/>
                <w:w w:val="94"/>
                <w:vertAlign w:val="superscript"/>
              </w:rPr>
              <w:t>(1)</w:t>
            </w: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Khattar</w:t>
            </w:r>
            <w:r>
              <w:rPr>
                <w:rFonts w:ascii="Times New Roman" w:cs="Times New Roman" w:eastAsia="Times New Roman" w:hAnsi="Times New Roman"/>
                <w:sz w:val="7"/>
                <w:szCs w:val="7"/>
                <w:b w:val="1"/>
                <w:bCs w:val="1"/>
                <w:color w:val="auto"/>
              </w:rPr>
              <w:t>(1)(2)(3)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05"/>
              <w:spacing w:after="0" w:line="162"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(1)</w:t>
            </w:r>
          </w:p>
        </w:tc>
        <w:tc>
          <w:tcPr>
            <w:tcW w:w="140" w:type="dxa"/>
            <w:vAlign w:val="bottom"/>
          </w:tcPr>
          <w:p>
            <w:pPr>
              <w:spacing w:after="0"/>
              <w:rPr>
                <w:sz w:val="14"/>
                <w:szCs w:val="14"/>
                <w:color w:val="auto"/>
              </w:rPr>
            </w:pPr>
          </w:p>
        </w:tc>
        <w:tc>
          <w:tcPr>
            <w:tcW w:w="8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NEOs</w:t>
            </w:r>
            <w:r>
              <w:rPr>
                <w:rFonts w:ascii="Times New Roman" w:cs="Times New Roman" w:eastAsia="Times New Roman" w:hAnsi="Times New Roman"/>
                <w:sz w:val="7"/>
                <w:szCs w:val="7"/>
                <w:b w:val="1"/>
                <w:bCs w:val="1"/>
                <w:color w:val="auto"/>
              </w:rPr>
              <w:t>(1)(2)(3)</w:t>
            </w:r>
          </w:p>
        </w:tc>
        <w:tc>
          <w:tcPr>
            <w:tcW w:w="180" w:type="dxa"/>
            <w:vAlign w:val="bottom"/>
          </w:tcPr>
          <w:p>
            <w:pPr>
              <w:spacing w:after="0"/>
              <w:rPr>
                <w:sz w:val="14"/>
                <w:szCs w:val="14"/>
                <w:color w:val="auto"/>
              </w:rPr>
            </w:pPr>
          </w:p>
        </w:tc>
        <w:tc>
          <w:tcPr>
            <w:tcW w:w="7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8"/>
              </w:rPr>
              <w:t>(“TSR”)</w:t>
            </w:r>
          </w:p>
        </w:tc>
        <w:tc>
          <w:tcPr>
            <w:tcW w:w="12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TSR</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78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Millions)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 Millions)</w:t>
            </w:r>
            <w:r>
              <w:rPr>
                <w:rFonts w:ascii="Times New Roman" w:cs="Times New Roman" w:eastAsia="Times New Roman" w:hAnsi="Times New Roman"/>
                <w:sz w:val="15"/>
                <w:szCs w:val="15"/>
                <w:b w:val="1"/>
                <w:bCs w:val="1"/>
                <w:color w:val="auto"/>
                <w:vertAlign w:val="superscript"/>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​15,501,556 ​</w:t>
            </w:r>
          </w:p>
        </w:tc>
        <w:tc>
          <w:tcPr>
            <w:tcW w:w="310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​23,739,805 ​ ​ ​1,529,318 ​​​ ​2,383,845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​197.54</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​​​​124.75</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​12,640,989 ​</w:t>
            </w:r>
          </w:p>
        </w:tc>
        <w:tc>
          <w:tcPr>
            <w:tcW w:w="31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9,238,518 ​ ​ ​1,586,048 ​​​ ​1,266,723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​143.72</w:t>
            </w: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93.49</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​13,278,093 ​</w:t>
            </w:r>
          </w:p>
        </w:tc>
        <w:tc>
          <w:tcPr>
            <w:tcW w:w="310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​13,491,498 ​ ​ ​1,806,329 ​​​ ​1,691,851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​115.02</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94.03</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1.3</w:t>
            </w:r>
          </w:p>
        </w:tc>
        <w:tc>
          <w:tcPr>
            <w:tcW w:w="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​10,012,717 ​</w:t>
            </w:r>
          </w:p>
        </w:tc>
        <w:tc>
          <w:tcPr>
            <w:tcW w:w="31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​11,056,323 ​ ​ ​1,167,214 ​​​ ​1,433,071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​141.77</w:t>
            </w: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89.90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8,116,721 ​</w:t>
            </w:r>
          </w:p>
        </w:tc>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7,914,950 ​ ​ ​</w:t>
            </w:r>
          </w:p>
        </w:tc>
        <w:tc>
          <w:tcPr>
            <w:tcW w:w="10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979,005 ​​​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601,468 ​​​</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​115.90</w:t>
            </w: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​​​​100.02</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459" w:firstLine="360"/>
        <w:spacing w:after="0" w:line="282" w:lineRule="auto"/>
        <w:tabs>
          <w:tab w:leader="none" w:pos="1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Jack Khattar was our PEO for each year presented. The individuals comprising the Non-PEO NEOs for each year presented are listed below.</w:t>
      </w:r>
    </w:p>
    <w:p>
      <w:pPr>
        <w:spacing w:after="0" w:line="101" w:lineRule="exact"/>
        <w:rPr>
          <w:sz w:val="20"/>
          <w:szCs w:val="20"/>
          <w:color w:val="auto"/>
        </w:rPr>
      </w:pPr>
    </w:p>
    <w:tbl>
      <w:tblPr>
        <w:tblLayout w:type="fixed"/>
        <w:tblInd w:w="2700" w:type="dxa"/>
        <w:tblCellMar>
          <w:top w:w="0" w:type="dxa"/>
          <w:left w:w="0" w:type="dxa"/>
          <w:bottom w:w="0" w:type="dxa"/>
          <w:right w:w="0" w:type="dxa"/>
        </w:tblCellMar>
      </w:tblPr>
      <w:tr>
        <w:trPr>
          <w:trHeight w:val="227"/>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2022-2025</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000000"/>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8"/>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Timothy C. Dec</w:t>
            </w:r>
          </w:p>
        </w:tc>
        <w:tc>
          <w:tcPr>
            <w:tcW w:w="5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C. Dec</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Jonathan Rubin, MD</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Rubin, MD</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gridSpan w:val="3"/>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Padmanabh P. Bhatt, Ph.D.</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Padmanabh P. Bhatt, Ph.D. </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57"/>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Tami Martin, R.N., Esq.</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Mottola</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James P. Kelly</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-488315</wp:posOffset>
            </wp:positionV>
            <wp:extent cx="337756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77565" cy="16319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-162560</wp:posOffset>
            </wp:positionV>
            <wp:extent cx="337756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77565" cy="17145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-822325</wp:posOffset>
            </wp:positionV>
            <wp:extent cx="337756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77565" cy="171450"/>
                    </a:xfrm>
                    <a:prstGeom prst="rect">
                      <a:avLst/>
                    </a:prstGeom>
                    <a:noFill/>
                  </pic:spPr>
                </pic:pic>
              </a:graphicData>
            </a:graphic>
          </wp:anchor>
        </w:drawing>
      </w:r>
    </w:p>
    <w:p>
      <w:pPr>
        <w:spacing w:after="0" w:line="124" w:lineRule="exact"/>
        <w:rPr>
          <w:sz w:val="20"/>
          <w:szCs w:val="20"/>
          <w:color w:val="auto"/>
        </w:rPr>
      </w:pPr>
    </w:p>
    <w:p>
      <w:pPr>
        <w:ind w:left="1260" w:right="479" w:firstLine="360"/>
        <w:spacing w:after="0" w:line="261" w:lineRule="auto"/>
        <w:tabs>
          <w:tab w:leader="none" w:pos="19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12" w:lineRule="exact"/>
        <w:rPr>
          <w:rFonts w:ascii="Times New Roman" w:cs="Times New Roman" w:eastAsia="Times New Roman" w:hAnsi="Times New Roman"/>
          <w:sz w:val="18"/>
          <w:szCs w:val="18"/>
          <w:color w:val="auto"/>
        </w:rPr>
      </w:pPr>
    </w:p>
    <w:p>
      <w:pPr>
        <w:ind w:left="1260" w:right="539" w:firstLine="360"/>
        <w:spacing w:after="0" w:line="258" w:lineRule="auto"/>
        <w:tabs>
          <w:tab w:leader="none" w:pos="1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Amounts in the Inclusion of Equity Values column are set forth in the table further below.</w:t>
      </w:r>
    </w:p>
    <w:p>
      <w:pPr>
        <w:spacing w:after="0" w:line="102" w:lineRule="exact"/>
        <w:rPr>
          <w:rFonts w:ascii="Times New Roman" w:cs="Times New Roman" w:eastAsia="Times New Roman" w:hAnsi="Times New Roman"/>
          <w:sz w:val="18"/>
          <w:szCs w:val="18"/>
          <w:color w:val="auto"/>
        </w:rPr>
      </w:pPr>
    </w:p>
    <w:p>
      <w:pPr>
        <w:ind w:left="1260" w:right="779" w:firstLine="360"/>
        <w:spacing w:after="0" w:line="282" w:lineRule="auto"/>
        <w:tabs>
          <w:tab w:leader="none" w:pos="19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for 2024 reflects the corrections described in footnotes 5-7 to the Summary Compensation Table.</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760" w:type="dxa"/>
            <w:vAlign w:val="bottom"/>
          </w:tcPr>
          <w:p>
            <w:pPr>
              <w:jc w:val="center"/>
              <w:ind w:left="1228"/>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2760" w:type="dxa"/>
            <w:vAlign w:val="bottom"/>
          </w:tcPr>
          <w:p>
            <w:pPr>
              <w:jc w:val="center"/>
              <w:ind w:left="1228"/>
              <w:spacing w:after="0"/>
              <w:rPr>
                <w:sz w:val="20"/>
                <w:szCs w:val="20"/>
                <w:color w:val="auto"/>
              </w:rPr>
            </w:pPr>
            <w:r>
              <w:rPr>
                <w:rFonts w:ascii="Times New Roman" w:cs="Times New Roman" w:eastAsia="Times New Roman" w:hAnsi="Times New Roman"/>
                <w:sz w:val="14"/>
                <w:szCs w:val="14"/>
                <w:b w:val="1"/>
                <w:bCs w:val="1"/>
                <w:color w:val="auto"/>
                <w:w w:val="98"/>
              </w:rPr>
              <w:t>Compensation Table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 Awards 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1700" w:type="dxa"/>
            <w:vAlign w:val="bottom"/>
          </w:tcPr>
          <w:p>
            <w:pPr>
              <w:spacing w:after="0"/>
              <w:rPr>
                <w:sz w:val="14"/>
                <w:szCs w:val="14"/>
                <w:color w:val="auto"/>
              </w:rPr>
            </w:pPr>
          </w:p>
        </w:tc>
        <w:tc>
          <w:tcPr>
            <w:tcW w:w="2760" w:type="dxa"/>
            <w:vAlign w:val="bottom"/>
          </w:tcPr>
          <w:p>
            <w:pPr>
              <w:jc w:val="center"/>
              <w:ind w:left="1228"/>
              <w:spacing w:after="0"/>
              <w:rPr>
                <w:sz w:val="20"/>
                <w:szCs w:val="20"/>
                <w:color w:val="auto"/>
              </w:rPr>
            </w:pPr>
            <w:r>
              <w:rPr>
                <w:rFonts w:ascii="Times New Roman" w:cs="Times New Roman" w:eastAsia="Times New Roman" w:hAnsi="Times New Roman"/>
                <w:sz w:val="14"/>
                <w:szCs w:val="14"/>
                <w:b w:val="1"/>
                <w:bCs w:val="1"/>
                <w:color w:val="auto"/>
                <w:w w:val="93"/>
              </w:rPr>
              <w:t>Total for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 Awards for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Values for</w:t>
            </w:r>
          </w:p>
        </w:tc>
        <w:tc>
          <w:tcPr>
            <w:tcW w:w="10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r>
      <w:tr>
        <w:trPr>
          <w:trHeight w:val="162"/>
        </w:trPr>
        <w:tc>
          <w:tcPr>
            <w:tcW w:w="1700" w:type="dxa"/>
            <w:vAlign w:val="bottom"/>
          </w:tcPr>
          <w:p>
            <w:pPr>
              <w:spacing w:after="0"/>
              <w:rPr>
                <w:sz w:val="14"/>
                <w:szCs w:val="14"/>
                <w:color w:val="auto"/>
              </w:rPr>
            </w:pPr>
          </w:p>
        </w:tc>
        <w:tc>
          <w:tcPr>
            <w:tcW w:w="2760" w:type="dxa"/>
            <w:vAlign w:val="bottom"/>
          </w:tcPr>
          <w:p>
            <w:pPr>
              <w:jc w:val="center"/>
              <w:ind w:left="1228"/>
              <w:spacing w:after="0"/>
              <w:rPr>
                <w:sz w:val="20"/>
                <w:szCs w:val="20"/>
                <w:color w:val="auto"/>
              </w:rPr>
            </w:pPr>
            <w:r>
              <w:rPr>
                <w:rFonts w:ascii="Times New Roman" w:cs="Times New Roman" w:eastAsia="Times New Roman" w:hAnsi="Times New Roman"/>
                <w:sz w:val="14"/>
                <w:szCs w:val="14"/>
                <w:b w:val="1"/>
                <w:bCs w:val="1"/>
                <w:color w:val="auto"/>
                <w:w w:val="97"/>
              </w:rPr>
              <w:t>Jack Khattar</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Jack Khattar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Jack Khattar</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to Jack Khattar</w:t>
            </w:r>
          </w:p>
        </w:tc>
      </w:t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60" w:type="dxa"/>
            <w:vAlign w:val="bottom"/>
          </w:tcPr>
          <w:p>
            <w:pPr>
              <w:jc w:val="center"/>
              <w:ind w:left="12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14605</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14605</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14605</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14605</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2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​15,501,556</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​(13,566,573) ​</w:t>
            </w:r>
          </w:p>
        </w:tc>
        <w:tc>
          <w:tcPr>
            <w:tcW w:w="10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​21,804,822</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​23,739,805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​12,640,989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​(10,766,439) ​</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7,363,968</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9,238,518 ​</w:t>
            </w:r>
          </w:p>
        </w:tc>
      </w:tr>
      <w:tr>
        <w:trPr>
          <w:trHeight w:val="339"/>
        </w:trPr>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 Summary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 Exclusion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Table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Average Inclusion of</w:t>
            </w: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for 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 Awards for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Values for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190"/>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r>
      <w:tr>
        <w:trPr>
          <w:trHeight w:val="24"/>
        </w:trPr>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8"/>
                <w:szCs w:val="18"/>
                <w:color w:val="auto"/>
                <w:w w:val="99"/>
              </w:rPr>
              <w:t>​1,529,318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​(829,058)</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​1,683,585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​2,383,845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134"/>
              <w:spacing w:after="0"/>
              <w:rPr>
                <w:sz w:val="20"/>
                <w:szCs w:val="20"/>
                <w:color w:val="auto"/>
              </w:rPr>
            </w:pPr>
            <w:r>
              <w:rPr>
                <w:rFonts w:ascii="Times New Roman" w:cs="Times New Roman" w:eastAsia="Times New Roman" w:hAnsi="Times New Roman"/>
                <w:sz w:val="18"/>
                <w:szCs w:val="18"/>
                <w:color w:val="auto"/>
                <w:w w:val="99"/>
              </w:rPr>
              <w:t>​1,586,048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​(922,579)</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603,254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​1,266,723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-368935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-368935</wp:posOffset>
            </wp:positionV>
            <wp:extent cx="137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-368935</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-368935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Vesting-Date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to</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7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Last Day</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 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Last Day of</w:t>
            </w:r>
          </w:p>
        </w:tc>
        <w:tc>
          <w:tcPr>
            <w:tcW w:w="78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Prior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Prior Year of</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2"/>
              </w:rPr>
              <w:t>Total −</w:t>
            </w: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That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Last Day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Inclusion</w:t>
            </w: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that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Forfeited</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of Last Day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6"/>
              </w:rPr>
              <w:t>Values for</w:t>
            </w: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3"/>
              </w:rPr>
              <w:t>of Year for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Jack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Jack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Jack</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Jack</w:t>
            </w:r>
          </w:p>
        </w:tc>
      </w:tr>
      <w:tr>
        <w:trPr>
          <w:trHeight w:val="162"/>
        </w:trPr>
        <w:tc>
          <w:tcPr>
            <w:tcW w:w="1220" w:type="dxa"/>
            <w:vAlign w:val="bottom"/>
          </w:tcPr>
          <w:p>
            <w:pPr>
              <w:spacing w:after="0"/>
              <w:rPr>
                <w:sz w:val="14"/>
                <w:szCs w:val="14"/>
                <w:color w:val="auto"/>
              </w:rPr>
            </w:pPr>
          </w:p>
        </w:tc>
        <w:tc>
          <w:tcPr>
            <w:tcW w:w="1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w w:val="97"/>
              </w:rPr>
              <w:t>Jack Khattar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Khattar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Khattar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Khattar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Khattar</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Khattar</w:t>
            </w:r>
          </w:p>
        </w:tc>
      </w:tr>
      <w:tr>
        <w:trPr>
          <w:trHeight w:val="190"/>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6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14605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14605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14605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14605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14605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14605</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5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​15,241,468</w:t>
            </w:r>
          </w:p>
        </w:tc>
        <w:tc>
          <w:tcPr>
            <w:tcW w:w="220" w:type="dxa"/>
            <w:vAlign w:val="bottom"/>
            <w:tcBorders>
              <w:right w:val="single" w:sz="8" w:color="CCEEFF"/>
            </w:tcBorders>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4,405,898 ​</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2,157,456</w:t>
            </w:r>
          </w:p>
        </w:tc>
        <w:tc>
          <w:tcPr>
            <w:tcW w:w="1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​21,804,822</w:t>
            </w:r>
          </w:p>
        </w:tc>
      </w:t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​10,504,593</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​(2,103,882)​</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1,375,198 ​</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​(2,411,941)</w:t>
            </w:r>
          </w:p>
        </w:tc>
        <w:tc>
          <w:tcPr>
            <w:tcW w:w="160" w:type="dxa"/>
            <w:vAlign w:val="bottom"/>
          </w:tcPr>
          <w:p>
            <w:pPr>
              <w:spacing w:after="0"/>
              <w:rPr>
                <w:sz w:val="24"/>
                <w:szCs w:val="24"/>
                <w:color w:val="auto"/>
              </w:rPr>
            </w:pPr>
          </w:p>
        </w:tc>
        <w:tc>
          <w:tcPr>
            <w:tcW w:w="580" w:type="dxa"/>
            <w:vAlign w:val="bottom"/>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7,363,968</w:t>
            </w:r>
          </w:p>
        </w:tc>
      </w:tr>
      <w:tr>
        <w:trPr>
          <w:trHeight w:val="340"/>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Vesting-Date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Average Fair</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 at Last</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Total −</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to</w:t>
            </w: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Year to Last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Vesting Date</w:t>
            </w:r>
          </w:p>
        </w:tc>
        <w:tc>
          <w:tcPr>
            <w:tcW w:w="16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3"/>
              </w:rPr>
              <w:t>Year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Day of Year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of Unvested</w:t>
            </w:r>
          </w:p>
        </w:tc>
        <w:tc>
          <w:tcPr>
            <w:tcW w:w="16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of Unvested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Unvested as of</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Awards that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Forfeited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Values</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Last Day of</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During Year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Vested During</w:t>
            </w: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Non-</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for Non-</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Non-PEO</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Year for Non-</w:t>
            </w: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PEO NEOs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NEOs</w:t>
            </w:r>
          </w:p>
        </w:tc>
        <w:tc>
          <w:tcPr>
            <w:tcW w:w="180" w:type="dxa"/>
            <w:vAlign w:val="bottom"/>
          </w:tcPr>
          <w:p>
            <w:pPr>
              <w:spacing w:after="0"/>
              <w:rPr>
                <w:sz w:val="14"/>
                <w:szCs w:val="14"/>
                <w:color w:val="auto"/>
              </w:rPr>
            </w:pPr>
          </w:p>
        </w:tc>
        <w:tc>
          <w:tcPr>
            <w:tcW w:w="5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NEOs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PEO NEOs</w:t>
            </w:r>
          </w:p>
        </w:tc>
        <w:tc>
          <w:tcPr>
            <w:tcW w:w="16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190"/>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​1,102,446 ​</w:t>
            </w:r>
          </w:p>
        </w:tc>
        <w:tc>
          <w:tcPr>
            <w:tcW w:w="10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513,390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105,717 ​</w:t>
            </w: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​(37,968)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​1,683,585</w:t>
            </w:r>
          </w:p>
        </w:tc>
      </w:tr>
      <w:tr>
        <w:trPr>
          <w:trHeight w:val="28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​1,006,487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​(168,509)​</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​58,719</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​(293,443)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603,254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-351155</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-351155</wp:posOffset>
            </wp:positionV>
            <wp:extent cx="137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-351155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-351155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-351155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-351155</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459" w:firstLine="360"/>
        <w:spacing w:after="0" w:line="264" w:lineRule="auto"/>
        <w:tabs>
          <w:tab w:leader="none" w:pos="19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Nasdaq Biotechnology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 Cumulative TSR is calculated by dividing (i) the sum of (a) the cumulative amount of any dividends for the measurement period and (b) the change in the company’s share price during the measurement period by (ii) the share price at the beginning of the measurement period. This assumes dividend reinvestment.</w:t>
      </w:r>
    </w:p>
    <w:p>
      <w:pPr>
        <w:spacing w:after="0" w:line="338" w:lineRule="exact"/>
        <w:rPr>
          <w:rFonts w:ascii="Times New Roman" w:cs="Times New Roman" w:eastAsia="Times New Roman" w:hAnsi="Times New Roman"/>
          <w:sz w:val="18"/>
          <w:szCs w:val="18"/>
          <w:color w:val="auto"/>
        </w:rPr>
      </w:pPr>
    </w:p>
    <w:p>
      <w:pPr>
        <w:ind w:left="1260" w:right="439" w:firstLine="360"/>
        <w:spacing w:after="0" w:line="263" w:lineRule="auto"/>
        <w:tabs>
          <w:tab w:leader="none" w:pos="19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Gross Product Sales to be the most important financial performance measure used to link Company performance to Compensation Actually Paid to our PEO and Non-PEO NEOs in 2025, 2024, 2023, and 2022. This performance measure may not have been the most important financial performance measure for years prior and we may determine a different financial performance measure to be the most important financial performance measure in future years. The Company’s net revenues consist of net product sales and royalties, licensing and other revenues. The Company recognizes revenue from product sales in an amount that reflects the consideration the Company expects to ultimately receive in exchange for those goods. The Company recognizes gross product sales when its customers take control of its products, including title and ownership. Product sales are recorded net of various forms of variable consideration, including: provision for estimated rebates; provision for estimated future product returns; and an estimated provision for discounts. These are collectively considered “sales deductions.” These amounts are treated as variable consideration, estimated and recognized as a reduction of the transaction price at the time of sale.</w:t>
      </w: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Company Total Shareholder Return (“TSR”)</w:t>
      </w:r>
    </w:p>
    <w:p>
      <w:pPr>
        <w:spacing w:after="0" w:line="7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the Company’s cumulative TSR over the four most recently completed fiscal years, and the Nasdaq Biotechnology Index TSR over the same period.</w:t>
      </w:r>
    </w:p>
    <w:p>
      <w:pPr>
        <w:spacing w:after="0" w:line="1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PEO and Average Non-PEO NEO Compensation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108585</wp:posOffset>
            </wp:positionV>
            <wp:extent cx="4911725" cy="254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1172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Net Earnings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Earnings (Loss) during the four most recently completed fiscal years.</w:t>
      </w:r>
    </w:p>
    <w:p>
      <w:pPr>
        <w:spacing w:after="0" w:line="1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PEO and Average Non-PEO NEO Compensation Actually Paid</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Versus Net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116205</wp:posOffset>
            </wp:positionV>
            <wp:extent cx="4560570" cy="25971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60570" cy="25971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Net Earnings (Loss) included in the preceding chart is calculated in accordance with GAAP (Generally Accepted Accounting Principles). During 2022, 2023, 2024 and 2025, the Company recorded amortization expenses for intangible assets of $82.6 million, $82.4 million, $78.0 million and $89.5 million, respectively.</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PEO and Non-PEO NEO Compensation Actually Paid and Gross Product Sales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Gross Product Sales during the four most recently completed fiscal years.</w:t>
      </w:r>
    </w:p>
    <w:p>
      <w:pPr>
        <w:spacing w:after="0" w:line="17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PEO and Average Non-PEO NEO Compensation Actually Paid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Versus Gross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116840</wp:posOffset>
            </wp:positionV>
            <wp:extent cx="4954905" cy="2828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5490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Most Important Financial Performance Measures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the most important in linking Compensation Actually Paid to our PEO and Non-PEO NEOs for 2025 to Company performance. The measures in this table are not ranked.</w:t>
      </w:r>
    </w:p>
    <w:p>
      <w:pPr>
        <w:spacing w:after="0" w:line="50" w:lineRule="exact"/>
        <w:rPr>
          <w:sz w:val="20"/>
          <w:szCs w:val="20"/>
          <w:color w:val="auto"/>
        </w:rPr>
      </w:pPr>
    </w:p>
    <w:p>
      <w:pPr>
        <w:ind w:left="4600" w:hanging="1335"/>
        <w:spacing w:after="0"/>
        <w:tabs>
          <w:tab w:leader="none" w:pos="4600"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Gross Product Sales</w:t>
      </w:r>
    </w:p>
    <w:p>
      <w:pPr>
        <w:spacing w:after="0" w:line="15" w:lineRule="exact"/>
        <w:rPr>
          <w:rFonts w:ascii="Times New Roman" w:cs="Times New Roman" w:eastAsia="Times New Roman" w:hAnsi="Times New Roman"/>
          <w:sz w:val="36"/>
          <w:szCs w:val="36"/>
          <w:color w:val="auto"/>
          <w:vertAlign w:val="superscript"/>
        </w:rPr>
      </w:pPr>
    </w:p>
    <w:p>
      <w:pPr>
        <w:ind w:left="4620" w:hanging="1355"/>
        <w:spacing w:after="0" w:line="186" w:lineRule="auto"/>
        <w:tabs>
          <w:tab w:leader="none" w:pos="46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-342265</wp:posOffset>
            </wp:positionV>
            <wp:extent cx="2743200" cy="403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3200" cy="403225"/>
                    </a:xfrm>
                    <a:prstGeom prst="rect">
                      <a:avLst/>
                    </a:prstGeom>
                    <a:noFill/>
                  </pic:spPr>
                </pic:pic>
              </a:graphicData>
            </a:graphic>
          </wp:anchor>
        </w:drawing>
      </w:r>
    </w:p>
    <w:p>
      <w:pPr>
        <w:spacing w:after="0" w:line="269" w:lineRule="exact"/>
        <w:rPr>
          <w:sz w:val="20"/>
          <w:szCs w:val="20"/>
          <w:color w:val="auto"/>
        </w:rPr>
      </w:pPr>
    </w:p>
    <w:p>
      <w:pPr>
        <w:ind w:left="1260" w:right="111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TIMING OF GRANTS OF CERTAIN EQUITY AWARDS</w:t>
      </w:r>
    </w:p>
    <w:p>
      <w:pPr>
        <w:spacing w:after="0" w:line="7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At a regularly scheduled annual meeting of the Company’s Board of Directors and Compensation Committee held in late February or early March of each year, it is the Board’s and Compensation Committee’s long-standing practice to review the Company’s results for the most recently completed fiscal year, review the company’s financial plan and strategy for the upcoming fiscal year. At these meetings the Compensation Committee also reviews the performance of the Company’s executive officers with the Chief Executive Officer and based on those reviews, approves the grant of cash bonuses and equity awards for each individual’s performance (other than the CEO) on the most recently completed fiscal year and establish their salaries for the current fiscal year and recommends to the Board of Directors grants of cash bonuses and equity awards for the CEO on the most recently completed fiscal year and any change to the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CEO’s salary for the current fiscal year. After further reviews and discussions, the Board determines whether to approve the Compensation Committee’s recommendations as to grants of cash bonuses and equity awards for the CEO on the most recently completed fiscal year and any change to the CEO’s salary for the current fiscal year. Accordingly, the grant date for those equity awards has always been the date of the late February or early March meeting of the Compensation Committee and Board of Directors. The meeting date is generally set at least a year in advance. This timing coincides with the Company’s calendar-year-based performance management cycle, allowing managers to deliver the equity awards close in time to performance appraisals. It is the Board of Director’s and Compensation Committee’s belief that maintaining a consistent grant practice, based on a date that is generally set at least a year in advance, is in the best interests of the Company as is strengthens the link between pay and performance while also minimizing the risk that awards are granted opportunistically for the benefit of employees.</w:t>
      </w:r>
    </w:p>
    <w:p>
      <w:pPr>
        <w:spacing w:after="0" w:line="12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During these annual meetings, the Compensation Committee and Board of Directors reviews market data on how much equity similarly situated officers are receiving at companies in the Peer Group as well as how much equity and the mix of equity awards that should be granted to each executive officer in order to be competitive with equity awards provided to comparable officers at companies in the Peer Group. Among the types of equity awards often granted to the Company’s executive officers are options. As discussed in greater detail above under the heading “Elements of Executive Compensation — Long Term Incentives —  Equity Incentive Awards — Options”, grants of stock options provide a certain amount of equity to officers that will vest as long as the officer continues to serve at Supernus, aligning the officers’ interests with those of our stockholders because the grants will only have value to the extent the market value of Supernus’ equity increases from the price per share on the date of grant.</w:t>
      </w:r>
    </w:p>
    <w:p>
      <w:pPr>
        <w:spacing w:after="0" w:line="127"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presents information regarding options issued to our executive officers in 2025 during any period beginning four business days before the filing of a periodic report or current report disclosing material non-public information and ending one business day after the filing or furnishing of such report with the SEC.</w:t>
      </w:r>
    </w:p>
    <w:p>
      <w:pPr>
        <w:spacing w:after="0" w:line="35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 the</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Closing Market</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of the Securities</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Underlying the Award</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Between the Trading Day</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Ending Immediately</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Prior to the Disclosure</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Material Nonpublic</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Information and</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the Trading Day</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Beginning Immediately</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Following the</w:t>
            </w:r>
          </w:p>
        </w:tc>
        <w:tc>
          <w:tcPr>
            <w:tcW w:w="4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Disclosure of Material</w:t>
            </w:r>
          </w:p>
        </w:tc>
        <w:tc>
          <w:tcPr>
            <w:tcW w:w="40" w:type="dxa"/>
            <w:vAlign w:val="bottom"/>
          </w:tcPr>
          <w:p>
            <w:pPr>
              <w:spacing w:after="0"/>
              <w:rPr>
                <w:sz w:val="14"/>
                <w:szCs w:val="14"/>
                <w:color w:val="auto"/>
              </w:rPr>
            </w:pPr>
          </w:p>
        </w:tc>
      </w:tr>
      <w:tr>
        <w:trPr>
          <w:trHeight w:val="190"/>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 Award</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Award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the Award</w:t>
            </w:r>
          </w:p>
        </w:tc>
        <w:tc>
          <w:tcPr>
            <w:tcW w:w="2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Nonpublic Information</w:t>
            </w:r>
          </w:p>
        </w:tc>
        <w:tc>
          <w:tcPr>
            <w:tcW w:w="40" w:type="dxa"/>
            <w:vAlign w:val="bottom"/>
          </w:tcPr>
          <w:p>
            <w:pPr>
              <w:spacing w:after="0"/>
              <w:rPr>
                <w:sz w:val="16"/>
                <w:szCs w:val="16"/>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Khattar</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​02/20/2025</w:t>
            </w: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​331,660 ​</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​$34.59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​02/19/2025</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40,000 ​</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​$33.52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Rubin</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​02/19/2025</w:t>
            </w: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20,000 ​</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​$33.52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Padmanabh Bhatt</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​02/19/2025</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20,000 ​</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​$33.52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Mottola</w:t>
            </w: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​02/19/2025</w:t>
            </w: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20,000 ​</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​$33.52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4897755</wp:posOffset>
            </wp:positionH>
            <wp:positionV relativeFrom="paragraph">
              <wp:posOffset>-831215</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-831215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-831215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-831215</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-831215</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elements of director compensation consist of annual cash retainers and equity awards, as well as customary and usual expense reimbursement in attending Board of Director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non-employee directors to help us achieve our business objectives by tying incentives to the appreciation of our common stock over the long term.</w:t>
      </w:r>
    </w:p>
    <w:p>
      <w:pPr>
        <w:spacing w:after="0" w:line="12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regularly assesses our non-employee director compensation program in consultation with Aon, its independent compensation consultant, who provides analysis and input on prevailing market practices and recommends any changes to the program to our Board of Directors, which ultimately approves non-employee director compensation.</w:t>
      </w:r>
    </w:p>
    <w:p>
      <w:pPr>
        <w:spacing w:after="0" w:line="99" w:lineRule="exact"/>
        <w:rPr>
          <w:sz w:val="20"/>
          <w:szCs w:val="20"/>
          <w:color w:val="auto"/>
        </w:rPr>
      </w:pPr>
    </w:p>
    <w:p>
      <w:pPr>
        <w:ind w:left="1260" w:right="659" w:firstLine="360"/>
        <w:spacing w:after="0" w:line="255" w:lineRule="auto"/>
        <w:rPr>
          <w:sz w:val="20"/>
          <w:szCs w:val="20"/>
          <w:color w:val="auto"/>
        </w:rPr>
      </w:pPr>
      <w:r>
        <w:rPr>
          <w:rFonts w:ascii="Times New Roman" w:cs="Times New Roman" w:eastAsia="Times New Roman" w:hAnsi="Times New Roman"/>
          <w:sz w:val="18"/>
          <w:szCs w:val="18"/>
          <w:color w:val="auto"/>
        </w:rPr>
        <w:t>The 2025 director compensation structure was recommended by the Compensation Committee and approved by the Board of Directors following the review of peer practices from Aon. The 2025 director compensation structure did not change from the 2024 director compensation structure. Under our director compensation structure for 2025, non-chairman members of the Board of Directors received an annual retainer of $50,000 and the Chairman of the Board received an additional $45,000, paid annually. The chairman and members of the Company’s standing committees received the following retainers for their committee service:</w:t>
      </w:r>
    </w:p>
    <w:p>
      <w:pPr>
        <w:spacing w:after="0" w:line="15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Chairman</w:t>
            </w:r>
          </w:p>
        </w:tc>
        <w:tc>
          <w:tcPr>
            <w:tcW w:w="2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Member</w:t>
            </w: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8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8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r>
      <w:tr>
        <w:trPr>
          <w:trHeight w:val="20"/>
        </w:trPr>
        <w:tc>
          <w:tcPr>
            <w:tcW w:w="5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​​12,500​</w:t>
            </w: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​​10,000​</w:t>
            </w: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Governance and Nominating Committee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12,000</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6,000​</w:t>
            </w:r>
          </w:p>
        </w:tc>
      </w:tr>
      <w:tr>
        <w:trPr>
          <w:trHeight w:val="28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Science Committee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employee director receives no compensation for serving as a director.</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each non-employee director in 2024.</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or Paid</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77"/>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Georges Gemayel</w:t>
            </w:r>
          </w:p>
        </w:tc>
        <w:tc>
          <w:tcPr>
            <w:tcW w:w="980" w:type="dxa"/>
            <w:vAlign w:val="bottom"/>
            <w:gridSpan w:val="2"/>
            <w:shd w:val="clear" w:color="auto" w:fill="CCEEFF"/>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98,500</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32"/>
                <w:szCs w:val="32"/>
                <w:color w:val="auto"/>
                <w:vertAlign w:val="subscript"/>
              </w:rPr>
              <w:t>​</w:t>
            </w: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​150,002</w:t>
            </w:r>
          </w:p>
        </w:tc>
        <w:tc>
          <w:tcPr>
            <w:tcW w:w="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​150,011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​398,513</w:t>
            </w:r>
          </w:p>
        </w:tc>
      </w:tr>
      <w:tr>
        <w:trPr>
          <w:trHeight w:val="28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M. Hudson</w:t>
            </w:r>
          </w:p>
        </w:tc>
        <w:tc>
          <w:tcPr>
            <w:tcW w:w="980" w:type="dxa"/>
            <w:vAlign w:val="bottom"/>
            <w:gridSpan w:val="2"/>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85,000</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32"/>
                <w:szCs w:val="32"/>
                <w:color w:val="auto"/>
                <w:vertAlign w:val="subscript"/>
              </w:rPr>
              <w:t>​</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​150,002</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​150,011</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​385,013</w:t>
            </w:r>
          </w:p>
        </w:tc>
      </w:tr>
      <w:tr>
        <w:trPr>
          <w:trHeight w:val="28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W. Newhall, III</w:t>
            </w:r>
          </w:p>
        </w:tc>
        <w:tc>
          <w:tcPr>
            <w:tcW w:w="980" w:type="dxa"/>
            <w:vAlign w:val="bottom"/>
            <w:gridSpan w:val="2"/>
            <w:shd w:val="clear" w:color="auto" w:fill="CCEEFF"/>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117,000</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32"/>
                <w:szCs w:val="32"/>
                <w:color w:val="auto"/>
                <w:vertAlign w:val="subscript"/>
              </w:rPr>
              <w:t>​</w:t>
            </w: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​150,002</w:t>
            </w:r>
          </w:p>
        </w:tc>
        <w:tc>
          <w:tcPr>
            <w:tcW w:w="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​150,011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​417,013</w:t>
            </w:r>
          </w:p>
        </w:tc>
      </w:tr>
      <w:tr>
        <w:trPr>
          <w:trHeight w:val="28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Carrolee Barlow, M.D., Ph.D.</w:t>
            </w:r>
          </w:p>
        </w:tc>
        <w:tc>
          <w:tcPr>
            <w:tcW w:w="980" w:type="dxa"/>
            <w:vAlign w:val="bottom"/>
            <w:gridSpan w:val="2"/>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76,000</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32"/>
                <w:szCs w:val="32"/>
                <w:color w:val="auto"/>
                <w:vertAlign w:val="subscript"/>
              </w:rPr>
              <w:t>​</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​150,002</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​150,011</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​376,013</w:t>
            </w:r>
          </w:p>
        </w:tc>
      </w:tr>
      <w:tr>
        <w:trPr>
          <w:trHeight w:val="2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Bethany L. Sensenig</w:t>
            </w:r>
          </w:p>
        </w:tc>
        <w:tc>
          <w:tcPr>
            <w:tcW w:w="980" w:type="dxa"/>
            <w:vAlign w:val="bottom"/>
            <w:gridSpan w:val="2"/>
            <w:shd w:val="clear" w:color="auto" w:fill="CCEEFF"/>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62,500</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32"/>
                <w:szCs w:val="32"/>
                <w:color w:val="auto"/>
                <w:vertAlign w:val="subscript"/>
              </w:rPr>
              <w:t>​</w:t>
            </w: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​150,002</w:t>
            </w:r>
          </w:p>
        </w:tc>
        <w:tc>
          <w:tcPr>
            <w:tcW w:w="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​150,011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-908050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-908050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-908050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-908050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105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our common stock calculated in accordance with ASC 718. The grant date of each stock and option award was February 19, 2025.</w:t>
      </w:r>
    </w:p>
    <w:p>
      <w:pPr>
        <w:spacing w:after="0" w:line="26" w:lineRule="exact"/>
        <w:rPr>
          <w:rFonts w:ascii="Times New Roman" w:cs="Times New Roman" w:eastAsia="Times New Roman" w:hAnsi="Times New Roman"/>
          <w:sz w:val="18"/>
          <w:szCs w:val="18"/>
          <w:color w:val="auto"/>
        </w:rPr>
      </w:pPr>
    </w:p>
    <w:p>
      <w:pPr>
        <w:ind w:left="1620" w:right="559" w:hanging="360"/>
        <w:spacing w:after="0" w:line="26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Gemayel received a $50,000 annual Board retainer and $12,500 for his service as a member of the Audit Committee, $20,000 for his service as Chairman of the Compensation Committee, $10,000 for his service as a member of the Science Committee, and $6,000 for his service as a member of the Governance and Nominating Committee.</w:t>
      </w:r>
    </w:p>
    <w:p>
      <w:pPr>
        <w:spacing w:after="0" w:line="58"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Hudson received a $50,000 annual Board retainer, $25,000 for service as Chairman of the Audit Committee, and $10,000 for his service as a member of the Compensation Committee.</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Newhall received a $50,000 annual Board retainer, a $45,000 retainer for his service as Chairman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of the Board, $12,000 for his service as Chairman of the Governance and Nominating Committee, and $10,000 for his service as a member of the Compensation Committee.</w:t>
      </w:r>
    </w:p>
    <w:p>
      <w:pPr>
        <w:spacing w:after="0" w:line="27" w:lineRule="exact"/>
        <w:rPr>
          <w:sz w:val="20"/>
          <w:szCs w:val="20"/>
          <w:color w:val="auto"/>
        </w:rPr>
      </w:pPr>
    </w:p>
    <w:p>
      <w:pPr>
        <w:ind w:left="1620" w:right="93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Barlow received a $50,000 annual Board retainer, $20,000 for her service as Chairman of the Science Committee, and $6,000 for her service as a member of the Governance and Nominating Committee.</w:t>
      </w:r>
    </w:p>
    <w:p>
      <w:pPr>
        <w:spacing w:after="0" w:line="27"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Sensenig received a $50,000 annual Board retainer and $12,500 for her service as a member of the Audit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cash retainers set forth above, for 2025, the Compensation Committee recommended and the Board of Directors approved the following equity awards to our then serving non-employee directors on February 19, 2025.</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February 19, 2025, each then serving non-employee director received approximately 50% of the grantee’s annual equity award as non-statutory stock options to purchase shares of the Company’s Common Stock. The options granted to non-employee directors have an exercise price of $33.52, which is equal to the closing price of the Company’s Common Stock on the date of the grant, and are subject to a ten-year term and vest at the end of the one-year period following the date of grant.</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February 19, 2025, each then serving non-employee director received approximately 50% of the grantee’s annual equity award in restricted stock units equal to $150,000 of the Company’s Common Stock, which resulted in a grant date fair value of $150,002. These restricted stock unit awards vest at the end of the one-year period following the date of grant and are subject to forfeiture if the grantee ceases to be a member of the Board of Directors for any reason prior to the award’s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consolidated financial statements with management. The Audit Committee has discussed the matters required to be discussed by Auditing Standards No. 1301 “Communication with Audit Committees,” as adopted by the Public Company Accounting Oversight Board with KPMG LLP, our independent registered public accounting firm.</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referenced above, the Audit Committee recommended to our Board of Directors that our audited consolidated financial statements be included in our Annual Report on Form 10-K for the year ended December 31, 2025.</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Frederick M. Hudson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Georges Gemayel, Ph.D.,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Bethany Sensenig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b w:val="1"/>
          <w:bCs w:val="1"/>
          <w:color w:val="auto"/>
        </w:rPr>
        <w:t>SAY-ON-PAY</w:t>
      </w:r>
    </w:p>
    <w:p>
      <w:pPr>
        <w:spacing w:after="0" w:line="20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Dodd-Frank Act requires all public companies to hold a separate non-binding advisory stockholder vote to approve the compensation of our CEO and other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three years. We presently submit this non-binding “say-on-pay” advisory vote to our stockholders annually, so the next “say-on-pay” advisory vote will be at the Annual Meeting of Stockholders to be held in 2026. In this Proposal 2, we are asking our stockholders to approve, on a non-binding basis, the compensation paid to our CEO and other NEOs.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comparisons and peer group data, and the actual compensation of our CEO and other NEOs.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CEO and other NEOs for fiscal year 2025 reflects and supports those policies and practices.</w:t>
      </w:r>
    </w:p>
    <w:p>
      <w:pPr>
        <w:spacing w:after="0" w:line="33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and Board of Directors will take into consideration the outcome of this advisory vote in determining future compensation decisions.</w:t>
      </w:r>
    </w:p>
    <w:p>
      <w:pPr>
        <w:spacing w:after="0" w:line="90"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proposal to approve, on a non-binding basis, the compensation paid to our named executive officers, as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KPMG LLP as our independent registered public accounting firm (IRPA Firm) for the fiscal year ending December 31, 2026. The IRPA Firm has served as our independent auditors since October 2015. The IRPA Firm is considered by management to be well qualified.</w:t>
      </w:r>
    </w:p>
    <w:p>
      <w:pPr>
        <w:spacing w:after="0" w:line="323"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color w:val="auto"/>
        </w:rPr>
        <w:t>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the Company’s best interests and the best interests of the stockholders.</w:t>
      </w:r>
    </w:p>
    <w:p>
      <w:pPr>
        <w:spacing w:after="0" w:line="32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representative from the IRPA Firm is expected to attend the Annual Meeting of Stockholders and will have the opportunity to respond to appropriate questions of stockholders.</w:t>
      </w:r>
    </w:p>
    <w:p>
      <w:pPr>
        <w:spacing w:after="0" w:line="95"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 thousands, the aggregate billed fees and fees expected to be billed for services rendered to us by KPMG LLP through March 31, 2026 as described below ($ in thousands):</w:t>
      </w:r>
    </w:p>
    <w:tbl>
      <w:tblPr>
        <w:tblLayout w:type="fixed"/>
        <w:tblInd w:w="1620" w:type="dxa"/>
        <w:tblCellMar>
          <w:top w:w="0" w:type="dxa"/>
          <w:left w:w="0" w:type="dxa"/>
          <w:bottom w:w="0" w:type="dxa"/>
          <w:right w:w="0" w:type="dxa"/>
        </w:tblCellMar>
      </w:tblPr>
      <w:tr>
        <w:trPr>
          <w:trHeight w:val="351"/>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40" w:type="dxa"/>
            <w:vAlign w:val="bottom"/>
            <w:gridSpan w:val="7"/>
          </w:tcPr>
          <w:p>
            <w:pPr>
              <w:ind w:left="22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w:t>
            </w:r>
          </w:p>
        </w:tc>
      </w:tr>
      <w:tr>
        <w:trPr>
          <w:trHeight w:val="20"/>
        </w:trPr>
        <w:tc>
          <w:tcPr>
            <w:tcW w:w="3640" w:type="dxa"/>
            <w:vAlign w:val="bottom"/>
            <w:shd w:val="clear" w:color="auto" w:fill="CCEEFF"/>
          </w:tcPr>
          <w:p>
            <w:pPr>
              <w:spacing w:after="0" w:line="20" w:lineRule="exact"/>
              <w:rPr>
                <w:sz w:val="1"/>
                <w:szCs w:val="1"/>
                <w:color w:val="auto"/>
              </w:rPr>
            </w:pPr>
          </w:p>
        </w:tc>
        <w:tc>
          <w:tcPr>
            <w:tcW w:w="24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840" w:type="dxa"/>
            <w:vAlign w:val="bottom"/>
            <w:gridSpan w:val="7"/>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 ​​$2,114​​ ​​$1,854​ ​</w:t>
            </w:r>
          </w:p>
        </w:tc>
      </w:tr>
      <w:tr>
        <w:trPr>
          <w:trHeight w:val="25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6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8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80" w:type="dxa"/>
            <w:vAlign w:val="bottom"/>
            <w:gridSpan w:val="2"/>
          </w:tcPr>
          <w:p>
            <w:pPr>
              <w:ind w:left="228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80" w:type="dxa"/>
            <w:vAlign w:val="bottom"/>
            <w:gridSpan w:val="3"/>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116</w:t>
            </w:r>
            <w:r>
              <w:rPr>
                <w:rFonts w:ascii="Times New Roman" w:cs="Times New Roman" w:eastAsia="Times New Roman" w:hAnsi="Times New Roman"/>
                <w:sz w:val="31"/>
                <w:szCs w:val="31"/>
                <w:color w:val="auto"/>
                <w:vertAlign w:val="subscript"/>
              </w:rPr>
              <w:t>​ ​</w:t>
            </w:r>
          </w:p>
        </w:tc>
      </w:tr>
      <w:tr>
        <w:trPr>
          <w:trHeight w:val="20"/>
        </w:trPr>
        <w:tc>
          <w:tcPr>
            <w:tcW w:w="3640" w:type="dxa"/>
            <w:vAlign w:val="bottom"/>
            <w:shd w:val="clear" w:color="auto" w:fill="CCEEFF"/>
          </w:tcPr>
          <w:p>
            <w:pPr>
              <w:spacing w:after="0" w:line="20" w:lineRule="exact"/>
              <w:rPr>
                <w:sz w:val="1"/>
                <w:szCs w:val="1"/>
                <w:color w:val="auto"/>
              </w:rPr>
            </w:pPr>
          </w:p>
        </w:tc>
        <w:tc>
          <w:tcPr>
            <w:tcW w:w="24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8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gridSpan w:val="7"/>
            <w:shd w:val="clear" w:color="auto" w:fill="CCEEFF"/>
          </w:tcPr>
          <w:p>
            <w:pPr>
              <w:ind w:left="228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2,114</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1,970</w:t>
            </w:r>
            <w:r>
              <w:rPr>
                <w:rFonts w:ascii="Times New Roman" w:cs="Times New Roman" w:eastAsia="Times New Roman" w:hAnsi="Times New Roman"/>
                <w:sz w:val="28"/>
                <w:szCs w:val="28"/>
                <w:color w:val="auto"/>
                <w:vertAlign w:val="subscript"/>
              </w:rPr>
              <w:t>​ ​</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87"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These amounts include fees for professional services rendered for the audit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annual financial statements, review of the Company’s financial statements included in the Company’s quarterly reports, audit of the Company’s internal control over financial reporting, audit services with respect to acquired entities, review of documents filed with the SEC, consents and certain accounting consultations in connection with the audits.</w:t>
      </w:r>
    </w:p>
    <w:p>
      <w:pPr>
        <w:spacing w:after="0" w:line="10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Audit-Related Fees: </w:t>
      </w:r>
      <w:r>
        <w:rPr>
          <w:rFonts w:ascii="Times New Roman" w:cs="Times New Roman" w:eastAsia="Times New Roman" w:hAnsi="Times New Roman"/>
          <w:sz w:val="18"/>
          <w:szCs w:val="18"/>
          <w:color w:val="auto"/>
        </w:rPr>
        <w:t>Audit-related fees are for assurance and related services that are reasonably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performance of the audit or review of the Company’s consolidated financial statements and are not reported under “Audit Fees.” These fees include professional services incurred in connection with accounting consultations and consultations regarding financial accounting and reporting standards.</w:t>
      </w:r>
    </w:p>
    <w:p>
      <w:pPr>
        <w:spacing w:after="0" w:line="103"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Fees: </w:t>
      </w:r>
      <w:r>
        <w:rPr>
          <w:rFonts w:ascii="Times New Roman" w:cs="Times New Roman" w:eastAsia="Times New Roman" w:hAnsi="Times New Roman"/>
          <w:sz w:val="18"/>
          <w:szCs w:val="18"/>
          <w:color w:val="auto"/>
        </w:rPr>
        <w:t>Tax fees consist primarily of professional services for corporate tax compliance,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preparation of tax returns and consultation services.</w:t>
      </w:r>
    </w:p>
    <w:p>
      <w:pPr>
        <w:spacing w:after="0" w:line="86" w:lineRule="exact"/>
        <w:rPr>
          <w:sz w:val="20"/>
          <w:szCs w:val="20"/>
          <w:color w:val="auto"/>
        </w:rPr>
      </w:pPr>
    </w:p>
    <w:p>
      <w:pPr>
        <w:ind w:left="1260" w:right="9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All Other Fees</w:t>
      </w:r>
      <w:r>
        <w:rPr>
          <w:rFonts w:ascii="Times New Roman" w:cs="Times New Roman" w:eastAsia="Times New Roman" w:hAnsi="Times New Roman"/>
          <w:sz w:val="18"/>
          <w:szCs w:val="18"/>
          <w:color w:val="auto"/>
        </w:rPr>
        <w:t>: All other fees principally include support services and expenses related to a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proceeding.</w:t>
      </w:r>
    </w:p>
    <w:p>
      <w:pPr>
        <w:spacing w:after="0" w:line="9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IRPA Firm’s provision of services and has determined that these services are compatible with maintaining the auditor’s independence. The IRPA Firm did not provide any non-audit services for us in 2025 or 2024.</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All of the audit services provided by KPMG LLP described above were approved by the Audit Committee pursuant to the SEC rule that requires audit committee pre-approval of audit and non-audit services provided by Supernus’ independent auditors. On an ongoing basis, management will communicate specific projects and categories of services for which advance approval of the Audit Committee is required. The Audit Committee will 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66" w:lineRule="auto"/>
        <w:rPr>
          <w:sz w:val="20"/>
          <w:szCs w:val="20"/>
          <w:color w:val="auto"/>
        </w:rPr>
      </w:pPr>
      <w:r>
        <w:rPr>
          <w:rFonts w:ascii="Times New Roman" w:cs="Times New Roman" w:eastAsia="Times New Roman" w:hAnsi="Times New Roman"/>
          <w:sz w:val="18"/>
          <w:szCs w:val="18"/>
          <w:color w:val="auto"/>
        </w:rPr>
        <w:t>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w:t>
      </w:r>
    </w:p>
    <w:p>
      <w:pPr>
        <w:spacing w:after="0" w:line="104"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selection of KPMG LLP as our independent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INCREASE THE NUMBER OF SHARES AVAILABLE FOR</w:t>
      </w:r>
    </w:p>
    <w:p>
      <w:pPr>
        <w:ind w:left="4040"/>
        <w:spacing w:after="0"/>
        <w:rPr>
          <w:sz w:val="20"/>
          <w:szCs w:val="20"/>
          <w:color w:val="auto"/>
        </w:rPr>
      </w:pPr>
      <w:r>
        <w:rPr>
          <w:rFonts w:ascii="Times New Roman" w:cs="Times New Roman" w:eastAsia="Times New Roman" w:hAnsi="Times New Roman"/>
          <w:sz w:val="18"/>
          <w:szCs w:val="18"/>
          <w:b w:val="1"/>
          <w:bCs w:val="1"/>
          <w:color w:val="auto"/>
        </w:rPr>
        <w:t>THE EQUITY INCENTIVE PLAN</w:t>
      </w:r>
    </w:p>
    <w:p>
      <w:pPr>
        <w:spacing w:after="0" w:line="12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Board of Directors adopted the 2021 Equity Incentive Plan, as amended (“2021 Plan”) to encourage and enable selected directors, officers, employees and consultants to acquire a proprietary interest in Supernus through the ownership, directly or indirectly, of our common stock. The 2021 Plan, as approved by stockholders at the 2021 Annual Meeting of Stockholders, initially reserved approximately 4,951,859 shares of Common Stock having a market value (at the time) of approximately $157 million. At the 2024 Annual Meeting of Stockholders, our stockholders approved an amendment to the 2021 Plan to increase the number of shares available for making awards under the 2021 Plan by 4,000,000 shares. As of April 29, 2026 (the “Record Date”), 2,051,266 shares of Common Stock having a market value of approximately $ 99,588,964 remained available for issuance under the 2021 Plan awards. As of the Record Date there were 6,761,843 shares of Common Stock subject to options outstanding under the 2021 Plan and the Company’s 2012 Equity Incentive Plan (collectively, the “Plans”), with a weighted average exercise price of $35.02 and a weighted average remaining contractual term of 6.7 years. In addition, under the Plans, as of the Record Date, there were 355,477 unvested full value awards subject to service-based vesting and 277,066 unvested full value awards subject to performance-based vesting. Additionally, in</w:t>
      </w:r>
    </w:p>
    <w:p>
      <w:pPr>
        <w:spacing w:after="0" w:line="11"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February 2026, the Board authorized 236,466 full value awards, subject to the achievement of performance-based vesting conditions to be established by the Board in the second quarter of 2026.</w:t>
      </w:r>
    </w:p>
    <w:p>
      <w:pPr>
        <w:spacing w:after="0" w:line="113"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Based on the number of equity awards granted to employees and directors in 2024 and 2025, the Board of Directors believes the Company does not have sufficient shares of common stock reserved for issuance under the 2021 Plan for the issuance of equity awards as part of employees’ year-end compensation in the first quarter of 2027. Accordingly, the Board of Directors believes it is in our best interests to increase the number of shares available for making awards under the 2021 Plan by 4,000,000 shares in order for us to continue to attract and retain highly qualified directors, officers, employees and consultants. The Board of Directors believes this additional amount will be sufficient to provide for the issuance of equity awards through the first quarter of 2027, assuming there is not a significant increase in the employee population or a change in the proportion of total employee compensation comprised of equity compensation. Without the approval of the share reserve increase, we will not be able to continue providing competitive equity incentives to existing employees or to attract new employees in our competitive market. This could ultimately result in the loss of critical talent and inhibit our ability to meet our future growth objectives.</w:t>
      </w:r>
    </w:p>
    <w:p>
      <w:pPr>
        <w:spacing w:after="0" w:line="12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Subject to the approval of our stockholders, the Board of Directors has adopted the Amended and Restated 2021 Equity Incentive Plan (the “Amended 2021 Plan”) to increase the number of shares of our common stock reserved for issuance under the 2021 Plan by 4,000,000. The material terms of the Amended 2021 Plan are described below and, include no changes from the 2021 Plan other than the increase in the number of shares reserved for issuance. A copy of the Amended 2021 Plan, with highlights showing all changes from the 2021 Plan, including technical updates, is included as Appendix A to this Proxy Statement.</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6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maximum number of shares that can be issued under the Amended 2021 Plan shall equal the sum of (i) 4,000,000 shares of Stock, (ii) the number of shares that remain available to be issued or transferred pursuant to Awards under the 2021 Equity Incentive Plan as of the date the Amended 2021 Plan is effective, which date is expected to be June 18, 2026, if approved by stockholders, and (iii) the number of shares that have already been issued or transferred pursuant to Awards under the 2021 Equity Incentive Plan prior to the approval by the Company’s stockholders of the Amended 2021 Plan. This number is subject to adjustment in the event of a stock split, stock dividend or other change in our capitalization. Under the Amended 2021 Plan, the maximum number of shares available for grant shall not be increased by (i) shares tendered as payment for the exercise of a stock option or SAR, (ii) shares withheld to cover taxes, and</w:t>
      </w:r>
    </w:p>
    <w:p>
      <w:pPr>
        <w:spacing w:after="0" w:line="6" w:lineRule="exact"/>
        <w:rPr>
          <w:sz w:val="20"/>
          <w:szCs w:val="20"/>
          <w:color w:val="auto"/>
        </w:rPr>
      </w:pPr>
    </w:p>
    <w:p>
      <w:pPr>
        <w:ind w:left="1260" w:right="459"/>
        <w:spacing w:after="0" w:line="250" w:lineRule="auto"/>
        <w:tabs>
          <w:tab w:leader="none" w:pos="15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have been repurchased by the Company using stock option or SAR exercise proceeds. Shares underlying awards that otherwise expire or become unexercisable without having been exercised or that are forfeited shall again become available for award. Each share of Common Stock underlying a stock option or stock appreciation right shall be counted against the maximum limit as one (1) share for every one</w:t>
      </w:r>
    </w:p>
    <w:p>
      <w:pPr>
        <w:spacing w:after="0" w:line="1" w:lineRule="exact"/>
        <w:rPr>
          <w:rFonts w:ascii="Times New Roman" w:cs="Times New Roman" w:eastAsia="Times New Roman" w:hAnsi="Times New Roman"/>
          <w:sz w:val="18"/>
          <w:szCs w:val="18"/>
          <w:color w:val="auto"/>
        </w:rPr>
      </w:pPr>
    </w:p>
    <w:p>
      <w:pPr>
        <w:ind w:left="126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subject to the stock option or stock appreciation right. Any shares of stock granted in connection with full</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58" w:lineRule="auto"/>
        <w:rPr>
          <w:sz w:val="20"/>
          <w:szCs w:val="20"/>
          <w:color w:val="auto"/>
        </w:rPr>
      </w:pPr>
      <w:r>
        <w:rPr>
          <w:rFonts w:ascii="Times New Roman" w:cs="Times New Roman" w:eastAsia="Times New Roman" w:hAnsi="Times New Roman"/>
          <w:sz w:val="18"/>
          <w:szCs w:val="18"/>
          <w:color w:val="auto"/>
        </w:rPr>
        <w:t>value awards, awards other than stock options or stock appreciation rights, shall be counted against the maximum limit as one and one-half (1.5) shares of stock for every one (1) share of stock subject to the award, including awards that could be settled in cash or stock.</w:t>
      </w:r>
    </w:p>
    <w:p>
      <w:pPr>
        <w:spacing w:after="0" w:line="102" w:lineRule="exact"/>
        <w:rPr>
          <w:sz w:val="20"/>
          <w:szCs w:val="20"/>
          <w:color w:val="auto"/>
        </w:rPr>
      </w:pPr>
    </w:p>
    <w:p>
      <w:pPr>
        <w:jc w:val="both"/>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as of December 31, 2025:</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 to be issued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c>
          <w:tcPr>
            <w:tcW w:w="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upon exercise of 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reflected</w:t>
            </w:r>
          </w:p>
        </w:tc>
        <w:tc>
          <w:tcPr>
            <w:tcW w:w="40" w:type="dxa"/>
            <w:vAlign w:val="bottom"/>
          </w:tcPr>
          <w:p>
            <w:pPr>
              <w:spacing w:after="0"/>
              <w:rPr>
                <w:sz w:val="14"/>
                <w:szCs w:val="14"/>
                <w:color w:val="auto"/>
              </w:rPr>
            </w:pPr>
          </w:p>
        </w:tc>
      </w:tr>
      <w:tr>
        <w:trPr>
          <w:trHeight w:val="214"/>
        </w:trPr>
        <w:tc>
          <w:tcPr>
            <w:tcW w:w="318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 warrants and rights</w:t>
            </w:r>
            <w:r>
              <w:rPr>
                <w:rFonts w:ascii="Times New Roman" w:cs="Times New Roman" w:eastAsia="Times New Roman" w:hAnsi="Times New Roman"/>
                <w:sz w:val="17"/>
                <w:szCs w:val="17"/>
                <w:b w:val="1"/>
                <w:bCs w:val="1"/>
                <w:color w:val="auto"/>
                <w:w w:val="96"/>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1"/>
              </w:rPr>
              <w:t>rights</w:t>
            </w:r>
            <w:r>
              <w:rPr>
                <w:rFonts w:ascii="Times New Roman" w:cs="Times New Roman" w:eastAsia="Times New Roman" w:hAnsi="Times New Roman"/>
                <w:sz w:val="17"/>
                <w:szCs w:val="17"/>
                <w:b w:val="1"/>
                <w:bCs w:val="1"/>
                <w:color w:val="auto"/>
                <w:w w:val="91"/>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the first column</w:t>
            </w:r>
            <w:r>
              <w:rPr>
                <w:rFonts w:ascii="Times New Roman" w:cs="Times New Roman" w:eastAsia="Times New Roman" w:hAnsi="Times New Roman"/>
                <w:sz w:val="17"/>
                <w:szCs w:val="17"/>
                <w:b w:val="1"/>
                <w:bCs w:val="1"/>
                <w:color w:val="auto"/>
                <w:w w:val="95"/>
                <w:vertAlign w:val="superscript"/>
              </w:rPr>
              <w:t>(2)</w:t>
            </w:r>
            <w:r>
              <w:rPr>
                <w:rFonts w:ascii="Times New Roman" w:cs="Times New Roman" w:eastAsia="Times New Roman" w:hAnsi="Times New Roman"/>
                <w:sz w:val="14"/>
                <w:szCs w:val="14"/>
                <w:b w:val="1"/>
                <w:bCs w:val="1"/>
                <w:color w:val="auto"/>
                <w:w w:val="95"/>
              </w:rPr>
              <w:t>)</w:t>
            </w:r>
          </w:p>
        </w:tc>
        <w:tc>
          <w:tcPr>
            <w:tcW w:w="40" w:type="dxa"/>
            <w:vAlign w:val="bottom"/>
          </w:tcPr>
          <w:p>
            <w:pPr>
              <w:spacing w:after="0"/>
              <w:rPr>
                <w:sz w:val="18"/>
                <w:szCs w:val="18"/>
                <w:color w:val="auto"/>
              </w:rPr>
            </w:pPr>
          </w:p>
        </w:tc>
      </w:tr>
      <w:tr>
        <w:trPr>
          <w:trHeight w:val="21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9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​6,343,009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​$32.63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​3,008,901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​6,343,009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​$32.63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​3,008,901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-762635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-762635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-762635</wp:posOffset>
            </wp:positionV>
            <wp:extent cx="20142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142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123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that may be issued are shares of the Company’s Common Stock, issuable upon conversion of outstanding stock options.</w:t>
      </w:r>
    </w:p>
    <w:p>
      <w:pPr>
        <w:spacing w:after="0" w:line="26" w:lineRule="exact"/>
        <w:rPr>
          <w:rFonts w:ascii="Times New Roman" w:cs="Times New Roman" w:eastAsia="Times New Roman" w:hAnsi="Times New Roman"/>
          <w:sz w:val="18"/>
          <w:szCs w:val="18"/>
          <w:color w:val="auto"/>
        </w:rPr>
      </w:pPr>
    </w:p>
    <w:p>
      <w:pPr>
        <w:ind w:left="1620" w:right="103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that remain available for future issuance are issuable pursuant to the 2021 Equity Incentive Plan.</w:t>
      </w:r>
    </w:p>
    <w:p>
      <w:pPr>
        <w:spacing w:after="0" w:line="15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w:t>
      </w:r>
    </w:p>
    <w:p>
      <w:pPr>
        <w:spacing w:after="0" w:line="14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Amended 2021 Plan is administered by the Compensation Committee of our Board of Directors. Eligibility Employees and directors of, and consultants and advisors to, Supernus and its affiliates are eligible to participate in the Amended 2021 Plan. The basis for participation in the Amended 2021 Plan is selection by the Board of Directors of those employees and directors of, and consultants and advisors to, the Company and its affiliates who, in the opinion of the Board of Directors, are key and in a position to make a significant contribution to the success of the Company and its affiliates, including at the discretion of the Board of Directors, those who may help the Company achieve objectively determinable measures of performance as determined by the Board of Directors. Eligibility for stock options, other than incentive stock options, including, but not limited to nonqualified stock options, is limited to directors, employees or other individuals who are providing direct services to the Company or a subsidiary of the Company on the grant date of the stock option. As of the Record Date, five directors (not including the CEO), all six of the executive officers, and approximately 780 employees who were not also executive officers were eligible to participate in the Amended 2021 Plan. No consultants or advisors are currently eligible to participate in the Amended 2021 Plan.</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types of awards that are available for grant under the Amended 2021 Plan are:</w:t>
      </w:r>
    </w:p>
    <w:p>
      <w:pPr>
        <w:spacing w:after="0" w:line="117"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(incentive stock options and non-qualified stock options);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units, including restricted stock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awards that are convertible into or otherwise based 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Except for the administrator’s discretion to provide for accelerated vesting upon a participant’s death, disability or a covered transaction, or for awards which in the aggregate do not exceed 5% of the shares available for awards as determined under the Amended 2021 Plan, the administrator shall require that each participant complete at least one year of continuous service following the grant of an award before the participant vests in any portion of the award.</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Under the Amended 2021 Plan, neither incentive stock options nor, except as the administrator otherwise expressly provides, other awards are permitted to be transferred other than by will or by the laws of descent and distribution. The administrator may permit awards other than incentive stock options to be transferred by gift, subject to such limitations as the administrator may impose.</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Corporate Transactions</w:t>
      </w:r>
    </w:p>
    <w:p>
      <w:pPr>
        <w:spacing w:after="0" w:line="14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event of a consolidation, merger or similar transaction, a sale or transfer of all or substantially all of our assets or a dissolution or liquidation of Supernus, the administrator may, among other things, accelerate vesting, provide for continuation or assumption of outstanding awards, for new grants in substitution of outstanding awards, for the cash-out of awards (but only with stockholder approval if the awards are underwater) for an amount equal to the difference between their fair market value and their exercise price (if any) or for the accelerated vesting or delivery of shares under awards, in each case on such terms and with such restrictions as it deems appropriate. Except as otherwise provided in an award agreement, awards not assumed or cashed-out will terminate upon the consummation of such corporate transaction.</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Adjustment</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event of a stock dividend, stock split or combination of shares (including a reverse stock split), recapitalization or other change in our capital structure, the administrator will make appropriate adjustments to the maximum number of shares that may be delivered under the Amended 2021 Plan, and will also make appropriate adjustments to the number and kind of shares of stock or securities subject to awards, the exercise prices of such awards or any other terms of awards affected by such change. The administrator may also make the types of adjustments described above to take into account events other than those listed above if it determines that such adjustments are appropriate to avoid distortion in the operation of the Amended 2021 Plan and to preserve the value of awards.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60"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No awards will be made after the 10th anniversary of the Amended 2021 Plan’s initial adoption, but previously granted awards will be permitted to continue beyond that date in accordance with their terms. The term of each award may not exceed 10 years.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4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administrator may at any time or times amend the Amended 2021 Plan or any outstanding award for any purpose, subject to stockholder approval where such approval is required by applicable law, and may at any time terminate the Amended 2021 Plan as to any future grants of awards, except that, unless otherwise expressly provided in the Amended 2021 Plan, the administrator may not, without the participant’s consent, alter the terms of an award so as to affect materially and adversely the participant’s rights under the award, unless the administrator expressly reserved the right to do so at the time the award was granted.</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New Plan Benefits</w:t>
      </w:r>
    </w:p>
    <w:p>
      <w:pPr>
        <w:spacing w:after="0" w:line="16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amounts of future grants under the Amended 2021 Plan are not determinable and will be granted at the sole discretion of the Board of Directors or other delegated persons. We cannot determine as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date of this Proxy Statement the number, name or positions of the persons who will receive such awards under the Amended 2021 Plan or the amount, types or terms of any such awards.</w:t>
      </w:r>
    </w:p>
    <w:p>
      <w:pPr>
        <w:spacing w:after="0" w:line="90"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deems the above proposal to be in our best interests and recommends a vote “FOR” the amendment to the 2021 Equity Incentive Plan as described above and set out in full in the Amended 2021 Plan included as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b w:val="1"/>
          <w:bCs w:val="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w:t>
      </w:r>
    </w:p>
    <w:p>
      <w:pPr>
        <w:spacing w:after="0" w:line="11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Based solely on our review of Forms 3 and 4 and amendments thereto furnished to us during the 2025 fiscal year, including Forms 5 and amendments thereto furnished to us, and on written representations from the Company’s directors and executive officers, we believe that all such forms were timely filed in 2025.</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STOCKHOLDER PROPOSALS FOR NEXT YEAR’S ANNUAL MEETING</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Stockholders intending to submit proposals (other than a director nomination) to be included in our proxy statement for the Annual Meeting of Stockholders to be held in 2027 must send their proposals to the Secretary of Supernus at 9715 Key West Avenue, Rockville, Maryland 20850 no later than December 31, 2026.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w:t>
      </w:r>
    </w:p>
    <w:p>
      <w:pPr>
        <w:spacing w:after="0" w:line="12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Stockholders intending to present proposals at our 2026 Annual Meeting, and not intending to have such proposals included in our proxy statement for such meeting, must send their written proposal to the Secretary of Supernus at 9715 Key West Avenue, Rockville, Maryland 20850 no earlier than February 18, 2027 and no later than March 20, 2027, and such written proposal must be in accordance with the requirements set forth in our Amended and Restated Bylaws.</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Annual Report to Stockholders (which includes our consolidated financial statements for the year ended December 31, 2025) accompanies this Proxy Statement. The Annual Report to Stockholders does not constitute a part of the proxy solicitation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6831965" cy="8396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396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Roman"/>
      <w:start w:val="2"/>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lvl w:ilvl="1">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
      <w:numFmt w:val="bullet"/>
      <w:start w:val="1"/>
    </w:lvl>
    <w:lvl w:ilvl="1">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5"/>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upperLetter"/>
      <w:start w:val="2"/>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2"/>
    </w:lvl>
  </w:abstractNum>
  <w:abstractNum w:abstractNumId="34">
    <w:nsid w:val="5C482A97"/>
    <w:multiLevelType w:val="hybridMultilevel"/>
    <w:lvl w:ilvl="0">
      <w:lvlJc w:val="left"/>
      <w:lvlText w:val="%1."/>
      <w:numFmt w:val="decimal"/>
      <w:start w:val="5"/>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Roman"/>
      <w:start w:val="3"/>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2026-04-30T16:10:11Z</dcterms:created>
  <dcterms:modified xsi:type="dcterms:W3CDTF">2026-04-30T16:10:11Z</dcterms:modified>
</cp:coreProperties>
</file>