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80" w:right="400" w:hanging="354"/>
        <w:spacing w:after="0" w:line="235" w:lineRule="auto"/>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580" w:right="540" w:hanging="360"/>
        <w:spacing w:after="0" w:line="235"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p>
      <w:pPr>
        <w:ind w:left="370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001-35518</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SUPERNUS PHARMACEUTICALS,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 w:lineRule="exact"/>
        <w:rPr>
          <w:sz w:val="24"/>
          <w:szCs w:val="24"/>
          <w:color w:val="auto"/>
        </w:rPr>
      </w:pPr>
    </w:p>
    <w:p>
      <w:pPr>
        <w:ind w:left="1700"/>
        <w:spacing w:after="0"/>
        <w:tabs>
          <w:tab w:leader="none" w:pos="876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20-2590184</w:t>
      </w:r>
    </w:p>
    <w:p>
      <w:pPr>
        <w:spacing w:after="0" w:line="19" w:lineRule="exact"/>
        <w:rPr>
          <w:sz w:val="24"/>
          <w:szCs w:val="24"/>
          <w:color w:val="auto"/>
        </w:rPr>
      </w:pPr>
    </w:p>
    <w:p>
      <w:pPr>
        <w:ind w:left="1060"/>
        <w:spacing w:after="0"/>
        <w:tabs>
          <w:tab w:leader="none" w:pos="8580" w:val="left"/>
        </w:tabs>
        <w:rPr>
          <w:sz w:val="20"/>
          <w:szCs w:val="20"/>
          <w:color w:val="auto"/>
        </w:rPr>
      </w:pPr>
      <w:r>
        <w:rPr>
          <w:rFonts w:ascii="Arial" w:cs="Arial" w:eastAsia="Arial" w:hAnsi="Arial"/>
          <w:sz w:val="17"/>
          <w:szCs w:val="17"/>
          <w:color w:val="auto"/>
        </w:rPr>
        <w:t>(State or other jurisdiction of</w:t>
      </w:r>
      <w:r>
        <w:rPr>
          <w:sz w:val="20"/>
          <w:szCs w:val="20"/>
          <w:color w:val="auto"/>
        </w:rPr>
        <w:tab/>
      </w:r>
      <w:r>
        <w:rPr>
          <w:rFonts w:ascii="Arial" w:cs="Arial" w:eastAsia="Arial" w:hAnsi="Arial"/>
          <w:sz w:val="16"/>
          <w:szCs w:val="16"/>
          <w:color w:val="auto"/>
        </w:rPr>
        <w:t>(I.R.S. Employer</w:t>
      </w:r>
    </w:p>
    <w:p>
      <w:pPr>
        <w:ind w:left="1020"/>
        <w:spacing w:after="0"/>
        <w:tabs>
          <w:tab w:leader="none" w:pos="8540" w:val="left"/>
        </w:tabs>
        <w:rPr>
          <w:sz w:val="20"/>
          <w:szCs w:val="20"/>
          <w:color w:val="auto"/>
        </w:rPr>
      </w:pPr>
      <w:r>
        <w:rPr>
          <w:rFonts w:ascii="Arial" w:cs="Arial" w:eastAsia="Arial" w:hAnsi="Arial"/>
          <w:sz w:val="17"/>
          <w:szCs w:val="17"/>
          <w:color w:val="auto"/>
        </w:rPr>
        <w:t>incorporation or organization)</w:t>
      </w:r>
      <w:r>
        <w:rPr>
          <w:sz w:val="20"/>
          <w:szCs w:val="20"/>
          <w:color w:val="auto"/>
        </w:rPr>
        <w:tab/>
      </w:r>
      <w:r>
        <w:rPr>
          <w:rFonts w:ascii="Arial" w:cs="Arial" w:eastAsia="Arial" w:hAnsi="Arial"/>
          <w:sz w:val="16"/>
          <w:szCs w:val="16"/>
          <w:color w:val="auto"/>
        </w:rPr>
        <w:t>Identification No.)</w:t>
      </w:r>
    </w:p>
    <w:p>
      <w:pPr>
        <w:spacing w:after="0" w:line="70" w:lineRule="exact"/>
        <w:rPr>
          <w:sz w:val="24"/>
          <w:szCs w:val="24"/>
          <w:color w:val="auto"/>
        </w:rPr>
      </w:pPr>
    </w:p>
    <w:p>
      <w:pPr>
        <w:ind w:left="1220"/>
        <w:spacing w:after="0"/>
        <w:tabs>
          <w:tab w:leader="none" w:pos="4440" w:val="left"/>
          <w:tab w:leader="none" w:pos="6240" w:val="left"/>
          <w:tab w:leader="none" w:pos="8960" w:val="left"/>
        </w:tabs>
        <w:rPr>
          <w:sz w:val="20"/>
          <w:szCs w:val="20"/>
          <w:color w:val="auto"/>
        </w:rPr>
      </w:pPr>
      <w:r>
        <w:rPr>
          <w:rFonts w:ascii="Arial" w:cs="Arial" w:eastAsia="Arial" w:hAnsi="Arial"/>
          <w:sz w:val="17"/>
          <w:szCs w:val="17"/>
          <w:b w:val="1"/>
          <w:bCs w:val="1"/>
          <w:color w:val="auto"/>
        </w:rPr>
        <w:t>9715 Key West Avenue</w:t>
      </w:r>
      <w:r>
        <w:rPr>
          <w:sz w:val="20"/>
          <w:szCs w:val="20"/>
          <w:color w:val="auto"/>
        </w:rPr>
        <w:tab/>
      </w:r>
      <w:r>
        <w:rPr>
          <w:rFonts w:ascii="Arial" w:cs="Arial" w:eastAsia="Arial" w:hAnsi="Arial"/>
          <w:sz w:val="17"/>
          <w:szCs w:val="17"/>
          <w:b w:val="1"/>
          <w:bCs w:val="1"/>
          <w:color w:val="auto"/>
        </w:rPr>
        <w:t>Rockville</w:t>
      </w:r>
      <w:r>
        <w:rPr>
          <w:sz w:val="20"/>
          <w:szCs w:val="20"/>
          <w:color w:val="auto"/>
        </w:rPr>
        <w:tab/>
      </w:r>
      <w:r>
        <w:rPr>
          <w:rFonts w:ascii="Arial" w:cs="Arial" w:eastAsia="Arial" w:hAnsi="Arial"/>
          <w:sz w:val="17"/>
          <w:szCs w:val="17"/>
          <w:b w:val="1"/>
          <w:bCs w:val="1"/>
          <w:color w:val="auto"/>
        </w:rPr>
        <w:t>MD</w:t>
      </w:r>
      <w:r>
        <w:rPr>
          <w:sz w:val="20"/>
          <w:szCs w:val="20"/>
          <w:color w:val="auto"/>
        </w:rPr>
        <w:tab/>
      </w:r>
      <w:r>
        <w:rPr>
          <w:rFonts w:ascii="Arial" w:cs="Arial" w:eastAsia="Arial" w:hAnsi="Arial"/>
          <w:sz w:val="15"/>
          <w:szCs w:val="15"/>
          <w:b w:val="1"/>
          <w:bCs w:val="1"/>
          <w:color w:val="auto"/>
        </w:rPr>
        <w:t>20850</w:t>
      </w:r>
    </w:p>
    <w:p>
      <w:pPr>
        <w:spacing w:after="0" w:line="25" w:lineRule="exact"/>
        <w:rPr>
          <w:sz w:val="24"/>
          <w:szCs w:val="24"/>
          <w:color w:val="auto"/>
        </w:rPr>
      </w:pPr>
    </w:p>
    <w:p>
      <w:pPr>
        <w:ind w:left="680"/>
        <w:spacing w:after="0"/>
        <w:tabs>
          <w:tab w:leader="none" w:pos="8780" w:val="left"/>
        </w:tabs>
        <w:rPr>
          <w:sz w:val="20"/>
          <w:szCs w:val="20"/>
          <w:color w:val="auto"/>
        </w:rPr>
      </w:pPr>
      <w:r>
        <w:rPr>
          <w:rFonts w:ascii="Arial" w:cs="Arial" w:eastAsia="Arial" w:hAnsi="Arial"/>
          <w:sz w:val="17"/>
          <w:szCs w:val="17"/>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6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1" w:lineRule="exact"/>
        <w:rPr>
          <w:sz w:val="24"/>
          <w:szCs w:val="24"/>
          <w:color w:val="auto"/>
        </w:rPr>
      </w:pPr>
    </w:p>
    <w:p>
      <w:pPr>
        <w:ind w:right="40" w:firstLine="324"/>
        <w:spacing w:after="0" w:line="31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00" w:hanging="192"/>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48" w:lineRule="exact"/>
        <w:rPr>
          <w:sz w:val="24"/>
          <w:szCs w:val="24"/>
          <w:color w:val="auto"/>
        </w:rPr>
      </w:pPr>
    </w:p>
    <w:p>
      <w:pPr>
        <w:ind w:right="20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500" w:type="dxa"/>
        <w:tblCellMar>
          <w:top w:w="0" w:type="dxa"/>
          <w:left w:w="0" w:type="dxa"/>
          <w:bottom w:w="0" w:type="dxa"/>
          <w:right w:w="0" w:type="dxa"/>
        </w:tblCellMar>
      </w:tblPr>
      <w:tr>
        <w:trPr>
          <w:trHeight w:val="265"/>
        </w:trPr>
        <w:tc>
          <w:tcPr>
            <w:tcW w:w="2120" w:type="dxa"/>
            <w:vAlign w:val="bottom"/>
          </w:tcPr>
          <w:p>
            <w:pPr>
              <w:jc w:val="center"/>
              <w:ind w:right="410"/>
              <w:spacing w:after="0"/>
              <w:rPr>
                <w:sz w:val="20"/>
                <w:szCs w:val="20"/>
                <w:color w:val="auto"/>
              </w:rPr>
            </w:pPr>
            <w:r>
              <w:rPr>
                <w:rFonts w:ascii="Arial" w:cs="Arial" w:eastAsia="Arial" w:hAnsi="Arial"/>
                <w:sz w:val="18"/>
                <w:szCs w:val="18"/>
                <w:color w:val="auto"/>
                <w:w w:val="90"/>
              </w:rPr>
              <w:t>Large 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2"/>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jc w:val="center"/>
              <w:ind w:right="430"/>
              <w:spacing w:after="0"/>
              <w:rPr>
                <w:sz w:val="20"/>
                <w:szCs w:val="20"/>
                <w:color w:val="auto"/>
              </w:rPr>
            </w:pPr>
            <w:r>
              <w:rPr>
                <w:rFonts w:ascii="Arial" w:cs="Arial" w:eastAsia="Arial" w:hAnsi="Arial"/>
                <w:sz w:val="18"/>
                <w:szCs w:val="18"/>
                <w:color w:val="auto"/>
                <w:w w:val="91"/>
              </w:rPr>
              <w:t>Non-accelerated filer</w:t>
            </w:r>
          </w:p>
        </w:tc>
        <w:tc>
          <w:tcPr>
            <w:tcW w:w="13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jc w:val="center"/>
              <w:ind w:right="170"/>
              <w:spacing w:after="0"/>
              <w:rPr>
                <w:sz w:val="20"/>
                <w:szCs w:val="20"/>
                <w:color w:val="auto"/>
              </w:rPr>
            </w:pPr>
            <w:r>
              <w:rPr>
                <w:rFonts w:ascii="Arial" w:cs="Arial" w:eastAsia="Arial" w:hAnsi="Arial"/>
                <w:sz w:val="18"/>
                <w:szCs w:val="18"/>
                <w:color w:val="auto"/>
                <w:w w:val="91"/>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580" w:type="dxa"/>
            <w:vAlign w:val="bottom"/>
          </w:tcPr>
          <w:p>
            <w:pPr>
              <w:jc w:val="center"/>
              <w:ind w:right="130"/>
              <w:spacing w:after="0"/>
              <w:rPr>
                <w:sz w:val="20"/>
                <w:szCs w:val="20"/>
                <w:color w:val="auto"/>
              </w:rPr>
            </w:pPr>
            <w:r>
              <w:rPr>
                <w:rFonts w:ascii="Arial" w:cs="Arial" w:eastAsia="Arial" w:hAnsi="Arial"/>
                <w:sz w:val="18"/>
                <w:szCs w:val="18"/>
                <w:color w:val="auto"/>
                <w:w w:val="91"/>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7"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 w:lineRule="exact"/>
        <w:rPr>
          <w:sz w:val="24"/>
          <w:szCs w:val="24"/>
          <w:color w:val="auto"/>
        </w:rPr>
      </w:pPr>
    </w:p>
    <w:p>
      <w:pPr>
        <w:ind w:left="340" w:right="1660"/>
        <w:spacing w:after="0" w:line="27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at August 1, 2023</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40" w:type="dxa"/>
            <w:vAlign w:val="bottom"/>
          </w:tcPr>
          <w:p>
            <w:pPr>
              <w:jc w:val="center"/>
              <w:spacing w:after="0" w:line="188" w:lineRule="exact"/>
              <w:rPr>
                <w:sz w:val="20"/>
                <w:szCs w:val="20"/>
                <w:color w:val="auto"/>
              </w:rPr>
            </w:pPr>
            <w:r>
              <w:rPr>
                <w:rFonts w:ascii="Arial" w:cs="Arial" w:eastAsia="Arial" w:hAnsi="Arial"/>
                <w:sz w:val="18"/>
                <w:szCs w:val="18"/>
                <w:color w:val="auto"/>
                <w:w w:val="90"/>
              </w:rPr>
              <w:t>Common Stock, $0.001 par value per</w:t>
            </w:r>
          </w:p>
        </w:tc>
        <w:tc>
          <w:tcPr>
            <w:tcW w:w="2700" w:type="dxa"/>
            <w:vAlign w:val="bottom"/>
            <w:gridSpan w:val="2"/>
            <w:vMerge w:val="restart"/>
          </w:tcPr>
          <w:p>
            <w:pPr>
              <w:jc w:val="right"/>
              <w:ind w:right="808"/>
              <w:spacing w:after="0"/>
              <w:rPr>
                <w:sz w:val="20"/>
                <w:szCs w:val="20"/>
                <w:color w:val="auto"/>
              </w:rPr>
            </w:pPr>
            <w:r>
              <w:rPr>
                <w:rFonts w:ascii="Arial" w:cs="Arial" w:eastAsia="Arial" w:hAnsi="Arial"/>
                <w:sz w:val="18"/>
                <w:szCs w:val="18"/>
                <w:color w:val="auto"/>
              </w:rPr>
              <w:t>54,594,401</w:t>
            </w: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1"/>
              </w:rPr>
              <w:t>SUPN</w:t>
            </w:r>
          </w:p>
        </w:tc>
        <w:tc>
          <w:tcPr>
            <w:tcW w:w="120" w:type="dxa"/>
            <w:vAlign w:val="bottom"/>
          </w:tcPr>
          <w:p>
            <w:pPr>
              <w:spacing w:after="0"/>
              <w:rPr>
                <w:sz w:val="16"/>
                <w:szCs w:val="16"/>
                <w:color w:val="auto"/>
              </w:rPr>
            </w:pPr>
          </w:p>
        </w:tc>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Market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140" w:type="dxa"/>
            <w:vAlign w:val="bottom"/>
            <w:vMerge w:val="restart"/>
          </w:tcPr>
          <w:p>
            <w:pPr>
              <w:jc w:val="center"/>
              <w:spacing w:after="0"/>
              <w:rPr>
                <w:sz w:val="20"/>
                <w:szCs w:val="20"/>
                <w:color w:val="auto"/>
              </w:rPr>
            </w:pPr>
            <w:r>
              <w:rPr>
                <w:rFonts w:ascii="Arial" w:cs="Arial" w:eastAsia="Arial" w:hAnsi="Arial"/>
                <w:sz w:val="18"/>
                <w:szCs w:val="18"/>
                <w:color w:val="auto"/>
                <w:w w:val="84"/>
              </w:rPr>
              <w:t>share</w:t>
            </w:r>
          </w:p>
        </w:tc>
        <w:tc>
          <w:tcPr>
            <w:tcW w:w="2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5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
        </w:trPr>
        <w:tc>
          <w:tcPr>
            <w:tcW w:w="10340" w:type="dxa"/>
            <w:vAlign w:val="bottom"/>
            <w:gridSpan w:val="21"/>
            <w:vMerge w:val="restart"/>
          </w:tcPr>
          <w:p>
            <w:pPr>
              <w:spacing w:after="0"/>
              <w:rPr>
                <w:sz w:val="20"/>
                <w:szCs w:val="20"/>
                <w:color w:val="auto"/>
              </w:rPr>
            </w:pPr>
            <w:r>
              <w:rPr>
                <w:rFonts w:ascii="Arial" w:cs="Arial" w:eastAsia="Arial" w:hAnsi="Arial"/>
                <w:sz w:val="18"/>
                <w:szCs w:val="18"/>
                <w:color w:val="0000FF"/>
              </w:rPr>
              <w:t>PART I — FINANCIAL INFORMATION</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40" w:type="dxa"/>
            <w:vAlign w:val="bottom"/>
            <w:gridSpan w:val="21"/>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9800" w:type="dxa"/>
            <w:vAlign w:val="bottom"/>
            <w:gridSpan w:val="20"/>
          </w:tcPr>
          <w:p>
            <w:pPr>
              <w:spacing w:after="0"/>
              <w:rPr>
                <w:sz w:val="20"/>
                <w:szCs w:val="20"/>
                <w:color w:val="auto"/>
              </w:rPr>
            </w:pPr>
            <w:r>
              <w:rPr>
                <w:rFonts w:ascii="Arial" w:cs="Arial" w:eastAsia="Arial" w:hAnsi="Arial"/>
                <w:sz w:val="18"/>
                <w:szCs w:val="18"/>
                <w:color w:val="0000FF"/>
              </w:rPr>
              <w:t>Item 1. Unaudited Condensed Consolidated Financial Statements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Balance Sheets</w:t>
            </w:r>
          </w:p>
        </w:tc>
        <w:tc>
          <w:tcPr>
            <w:tcW w:w="5120" w:type="dxa"/>
            <w:vAlign w:val="bottom"/>
            <w:gridSpan w:val="6"/>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1E39C6"/>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Earnings (Loss)</w:t>
            </w:r>
          </w:p>
        </w:tc>
        <w:tc>
          <w:tcPr>
            <w:tcW w:w="880" w:type="dxa"/>
            <w:vAlign w:val="bottom"/>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Earnings (Loss)</w:t>
            </w:r>
          </w:p>
        </w:tc>
        <w:tc>
          <w:tcPr>
            <w:tcW w:w="880" w:type="dxa"/>
            <w:vAlign w:val="bottom"/>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Changes in Stockholders' Equity</w:t>
            </w:r>
          </w:p>
        </w:tc>
        <w:tc>
          <w:tcPr>
            <w:tcW w:w="4340" w:type="dxa"/>
            <w:vAlign w:val="bottom"/>
            <w:gridSpan w:val="2"/>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880" w:type="dxa"/>
            <w:vAlign w:val="bottom"/>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70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Item 2. Management’s Discussion and Analysis of Financial Condition and Results of Operations</w:t>
            </w:r>
          </w:p>
        </w:tc>
        <w:tc>
          <w:tcPr>
            <w:tcW w:w="2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48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4940" w:type="dxa"/>
            <w:vAlign w:val="bottom"/>
            <w:gridSpan w:val="5"/>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Item 4. Controls and Procedures</w:t>
            </w:r>
          </w:p>
        </w:tc>
        <w:tc>
          <w:tcPr>
            <w:tcW w:w="7480" w:type="dxa"/>
            <w:vAlign w:val="bottom"/>
            <w:gridSpan w:val="1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6"/>
              </w:rPr>
              <w:t>PART II — OTHER INFORMATION</w:t>
            </w:r>
          </w:p>
        </w:tc>
        <w:tc>
          <w:tcPr>
            <w:tcW w:w="7580" w:type="dxa"/>
            <w:vAlign w:val="bottom"/>
            <w:gridSpan w:val="13"/>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9800" w:type="dxa"/>
            <w:vAlign w:val="bottom"/>
            <w:gridSpan w:val="20"/>
          </w:tcPr>
          <w:p>
            <w:pPr>
              <w:spacing w:after="0"/>
              <w:rPr>
                <w:sz w:val="20"/>
                <w:szCs w:val="20"/>
                <w:color w:val="auto"/>
              </w:rPr>
            </w:pPr>
            <w:r>
              <w:rPr>
                <w:rFonts w:ascii="Arial" w:cs="Arial" w:eastAsia="Arial" w:hAnsi="Arial"/>
                <w:sz w:val="18"/>
                <w:szCs w:val="18"/>
                <w:color w:val="0000FF"/>
              </w:rPr>
              <w:t>Item 1. Legal Proceedings</w:t>
            </w:r>
          </w:p>
        </w:tc>
        <w:tc>
          <w:tcPr>
            <w:tcW w:w="880" w:type="dxa"/>
            <w:vAlign w:val="bottom"/>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18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Item 1A. Risk Factors</w:t>
            </w:r>
          </w:p>
        </w:tc>
        <w:tc>
          <w:tcPr>
            <w:tcW w:w="7920" w:type="dxa"/>
            <w:vAlign w:val="bottom"/>
            <w:gridSpan w:val="14"/>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49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4900" w:type="dxa"/>
            <w:vAlign w:val="bottom"/>
            <w:gridSpan w:val="4"/>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6920" w:type="dxa"/>
            <w:vAlign w:val="bottom"/>
            <w:gridSpan w:val="10"/>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32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Item 4. Mine Safety Disclosures</w:t>
            </w:r>
          </w:p>
        </w:tc>
        <w:tc>
          <w:tcPr>
            <w:tcW w:w="7480" w:type="dxa"/>
            <w:vAlign w:val="bottom"/>
            <w:gridSpan w:val="12"/>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9800" w:type="dxa"/>
            <w:vAlign w:val="bottom"/>
            <w:gridSpan w:val="20"/>
          </w:tcPr>
          <w:p>
            <w:pPr>
              <w:spacing w:after="0"/>
              <w:rPr>
                <w:sz w:val="20"/>
                <w:szCs w:val="20"/>
                <w:color w:val="auto"/>
              </w:rPr>
            </w:pPr>
            <w:r>
              <w:rPr>
                <w:rFonts w:ascii="Arial" w:cs="Arial" w:eastAsia="Arial" w:hAnsi="Arial"/>
                <w:sz w:val="18"/>
                <w:szCs w:val="18"/>
                <w:color w:val="0000FF"/>
              </w:rPr>
              <w:t>Item 5. Other Information</w:t>
            </w:r>
          </w:p>
        </w:tc>
        <w:tc>
          <w:tcPr>
            <w:tcW w:w="880" w:type="dxa"/>
            <w:vAlign w:val="bottom"/>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18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Item 6. Exhibits</w:t>
            </w:r>
          </w:p>
        </w:tc>
        <w:tc>
          <w:tcPr>
            <w:tcW w:w="7940" w:type="dxa"/>
            <w:vAlign w:val="bottom"/>
            <w:gridSpan w:val="15"/>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60" w:type="dxa"/>
            <w:vAlign w:val="bottom"/>
            <w:gridSpan w:val="1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880" w:type="dxa"/>
            <w:vAlign w:val="bottom"/>
          </w:tcPr>
          <w:p>
            <w:pPr>
              <w:jc w:val="right"/>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9"/>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8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2"/>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368,214</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165,497</w:t>
            </w:r>
          </w:p>
        </w:tc>
        <w:tc>
          <w:tcPr>
            <w:tcW w:w="0" w:type="dxa"/>
            <w:vAlign w:val="bottom"/>
          </w:tcPr>
          <w:p>
            <w:pPr>
              <w:spacing w:after="0"/>
              <w:rPr>
                <w:sz w:val="1"/>
                <w:szCs w:val="1"/>
                <w:color w:val="auto"/>
              </w:rPr>
            </w:pPr>
          </w:p>
        </w:tc>
      </w:tr>
      <w:tr>
        <w:trPr>
          <w:trHeight w:val="237"/>
        </w:trPr>
        <w:tc>
          <w:tcPr>
            <w:tcW w:w="854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91,541</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423,538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734,151</w:t>
            </w: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marketable securities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93,896</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702,463</w:t>
            </w:r>
          </w:p>
        </w:tc>
        <w:tc>
          <w:tcPr>
            <w:tcW w:w="0" w:type="dxa"/>
            <w:vAlign w:val="bottom"/>
          </w:tcPr>
          <w:p>
            <w:pPr>
              <w:spacing w:after="0"/>
              <w:rPr>
                <w:sz w:val="1"/>
                <w:szCs w:val="1"/>
                <w:color w:val="auto"/>
              </w:rPr>
            </w:pPr>
          </w:p>
        </w:tc>
      </w:tr>
      <w:tr>
        <w:trPr>
          <w:trHeight w:val="237"/>
        </w:trPr>
        <w:tc>
          <w:tcPr>
            <w:tcW w:w="85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117,019</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1,293,099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1,702,508</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96,342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product returns and rebates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151,665</w:t>
            </w:r>
          </w:p>
        </w:tc>
        <w:tc>
          <w:tcPr>
            <w:tcW w:w="0" w:type="dxa"/>
            <w:vAlign w:val="bottom"/>
          </w:tcPr>
          <w:p>
            <w:pPr>
              <w:spacing w:after="0"/>
              <w:rPr>
                <w:sz w:val="1"/>
                <w:szCs w:val="1"/>
                <w:color w:val="auto"/>
              </w:rPr>
            </w:pPr>
          </w:p>
        </w:tc>
      </w:tr>
      <w:tr>
        <w:trPr>
          <w:trHeight w:val="237"/>
        </w:trPr>
        <w:tc>
          <w:tcPr>
            <w:tcW w:w="8540" w:type="dxa"/>
            <w:vAlign w:val="bottom"/>
          </w:tcPr>
          <w:p>
            <w:pPr>
              <w:ind w:left="220"/>
              <w:spacing w:after="0"/>
              <w:rPr>
                <w:sz w:val="20"/>
                <w:szCs w:val="20"/>
                <w:color w:val="auto"/>
              </w:rPr>
            </w:pPr>
            <w:r>
              <w:rPr>
                <w:rFonts w:ascii="Arial" w:cs="Arial" w:eastAsia="Arial" w:hAnsi="Arial"/>
                <w:sz w:val="18"/>
                <w:szCs w:val="18"/>
                <w:color w:val="auto"/>
              </w:rPr>
              <w:t>Convertible notes, net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401,968</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current portion</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0" w:type="dxa"/>
            <w:vAlign w:val="bottom"/>
          </w:tcPr>
          <w:p>
            <w:pPr>
              <w:spacing w:after="0"/>
              <w:rPr>
                <w:sz w:val="1"/>
                <w:szCs w:val="1"/>
                <w:color w:val="auto"/>
              </w:rPr>
            </w:pPr>
          </w:p>
        </w:tc>
      </w:tr>
      <w:tr>
        <w:trPr>
          <w:trHeight w:val="230"/>
        </w:trPr>
        <w:tc>
          <w:tcPr>
            <w:tcW w:w="854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w:t>
            </w:r>
          </w:p>
        </w:tc>
        <w:tc>
          <w:tcPr>
            <w:tcW w:w="0" w:type="dxa"/>
            <w:vAlign w:val="bottom"/>
          </w:tcPr>
          <w:p>
            <w:pPr>
              <w:spacing w:after="0"/>
              <w:rPr>
                <w:sz w:val="1"/>
                <w:szCs w:val="1"/>
                <w:color w:val="auto"/>
              </w:rPr>
            </w:pPr>
          </w:p>
        </w:tc>
      </w:tr>
      <w:tr>
        <w:trPr>
          <w:trHeight w:val="237"/>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687,958</w:t>
            </w: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Contingent consideration, long-term</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33,847</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 long-term</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Deferred income tax liabilities,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49,809</w:t>
            </w: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0" w:type="dxa"/>
            <w:vAlign w:val="bottom"/>
          </w:tcPr>
          <w:p>
            <w:pPr>
              <w:spacing w:after="0"/>
              <w:rPr>
                <w:sz w:val="1"/>
                <w:szCs w:val="1"/>
                <w:color w:val="auto"/>
              </w:rPr>
            </w:pP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373,191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816,304</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Common stock, $0.001 par value; 130,000,000 shares authorized; 54,592,901 and 54,253,796 shares issued and</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0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424,266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408,115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37"/>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497,362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481,245</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886,204</w:t>
            </w:r>
          </w:p>
        </w:tc>
        <w:tc>
          <w:tcPr>
            <w:tcW w:w="0" w:type="dxa"/>
            <w:vAlign w:val="bottom"/>
          </w:tcPr>
          <w:p>
            <w:pPr>
              <w:spacing w:after="0"/>
              <w:rPr>
                <w:sz w:val="1"/>
                <w:szCs w:val="1"/>
                <w:color w:val="auto"/>
              </w:rPr>
            </w:pPr>
          </w:p>
        </w:tc>
      </w:tr>
      <w:tr>
        <w:trPr>
          <w:trHeight w:val="237"/>
        </w:trPr>
        <w:tc>
          <w:tcPr>
            <w:tcW w:w="85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1,702,508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Earnings (Loss)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center"/>
              <w:ind w:left="473"/>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4"/>
                <w:szCs w:val="14"/>
                <w:color w:val="auto"/>
              </w:rPr>
            </w:pPr>
          </w:p>
        </w:tc>
      </w:tr>
      <w:tr>
        <w:trPr>
          <w:trHeight w:val="192"/>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93"/>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90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4"/>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left="573"/>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6"/>
                <w:szCs w:val="16"/>
                <w:color w:val="auto"/>
              </w:rPr>
            </w:pPr>
          </w:p>
        </w:tc>
      </w:tr>
      <w:tr>
        <w:trPr>
          <w:trHeight w:val="238"/>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5200" w:type="dxa"/>
            <w:vAlign w:val="bottom"/>
          </w:tcPr>
          <w:p>
            <w:pPr>
              <w:ind w:left="240"/>
              <w:spacing w:after="0"/>
              <w:rPr>
                <w:sz w:val="20"/>
                <w:szCs w:val="20"/>
                <w:color w:val="auto"/>
              </w:rPr>
            </w:pPr>
            <w:r>
              <w:rPr>
                <w:rFonts w:ascii="Arial" w:cs="Arial" w:eastAsia="Arial" w:hAnsi="Arial"/>
                <w:sz w:val="18"/>
                <w:szCs w:val="18"/>
                <w:color w:val="auto"/>
              </w:rPr>
              <w:t>Net product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128,336</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165,459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268,911</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312,923</w:t>
            </w: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Royalty revenues</w:t>
            </w: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r>
      <w:tr>
        <w:trPr>
          <w:trHeight w:val="223"/>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170,051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322,557</w:t>
            </w:r>
          </w:p>
        </w:tc>
      </w:tr>
      <w:tr>
        <w:trPr>
          <w:trHeight w:val="236"/>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38,389</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45,591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37,224</w:t>
            </w: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190,935</w:t>
            </w:r>
          </w:p>
        </w:tc>
      </w:tr>
      <w:tr>
        <w:trPr>
          <w:trHeight w:val="237"/>
        </w:trPr>
        <w:tc>
          <w:tcPr>
            <w:tcW w:w="5200" w:type="dxa"/>
            <w:vAlign w:val="bottom"/>
          </w:tcPr>
          <w:p>
            <w:pPr>
              <w:ind w:left="2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41,288</w:t>
            </w:r>
          </w:p>
        </w:tc>
      </w:tr>
      <w:tr>
        <w:trPr>
          <w:trHeight w:val="236"/>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Contingent consideration expense (gain)</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3"/>
        </w:trPr>
        <w:tc>
          <w:tcPr>
            <w:tcW w:w="520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153,150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158,705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301,738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309,244</w:t>
            </w:r>
          </w:p>
        </w:tc>
      </w:tr>
      <w:tr>
        <w:trPr>
          <w:trHeight w:val="250"/>
        </w:trPr>
        <w:tc>
          <w:tcPr>
            <w:tcW w:w="5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Operating earnings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13,313</w:t>
            </w:r>
          </w:p>
        </w:tc>
      </w:tr>
      <w:tr>
        <w:trPr>
          <w:trHeight w:val="257"/>
        </w:trPr>
        <w:tc>
          <w:tcPr>
            <w:tcW w:w="5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29"/>
        </w:trPr>
        <w:tc>
          <w:tcPr>
            <w:tcW w:w="52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r>
      <w:tr>
        <w:trPr>
          <w:trHeight w:val="237"/>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w:t>
            </w:r>
          </w:p>
        </w:tc>
      </w:tr>
      <w:tr>
        <w:trPr>
          <w:trHeight w:val="229"/>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r>
      <w:tr>
        <w:trPr>
          <w:trHeight w:val="236"/>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26,047</w:t>
            </w:r>
          </w:p>
        </w:tc>
      </w:tr>
      <w:tr>
        <w:trPr>
          <w:trHeight w:val="257"/>
        </w:trPr>
        <w:tc>
          <w:tcPr>
            <w:tcW w:w="5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(831)</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7,865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16,117</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33,481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30"/>
        </w:trPr>
        <w:tc>
          <w:tcPr>
            <w:tcW w:w="5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56"/>
        </w:trPr>
        <w:tc>
          <w:tcPr>
            <w:tcW w:w="5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52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54,502,993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53,426,163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54,442,463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53,378,319</w:t>
            </w:r>
          </w:p>
        </w:tc>
      </w:tr>
      <w:tr>
        <w:trPr>
          <w:trHeight w:val="230"/>
        </w:trPr>
        <w:tc>
          <w:tcPr>
            <w:tcW w:w="52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54,502,993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61,397,159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59,035,154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61,401,694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Earnings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8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4"/>
                <w:szCs w:val="14"/>
                <w:color w:val="auto"/>
              </w:rPr>
            </w:pPr>
          </w:p>
        </w:tc>
      </w:tr>
      <w:tr>
        <w:trPr>
          <w:trHeight w:val="192"/>
        </w:trPr>
        <w:tc>
          <w:tcPr>
            <w:tcW w:w="5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r>
      <w:tr>
        <w:trPr>
          <w:trHeight w:val="194"/>
        </w:trPr>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6"/>
                <w:szCs w:val="16"/>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(831)</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34"/>
              <w:spacing w:after="0"/>
              <w:rPr>
                <w:sz w:val="20"/>
                <w:szCs w:val="20"/>
                <w:color w:val="auto"/>
              </w:rPr>
            </w:pPr>
            <w:r>
              <w:rPr>
                <w:rFonts w:ascii="Arial" w:cs="Arial" w:eastAsia="Arial" w:hAnsi="Arial"/>
                <w:sz w:val="18"/>
                <w:szCs w:val="18"/>
                <w:color w:val="auto"/>
                <w:w w:val="93"/>
              </w:rPr>
              <w:t>7,865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16,117</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33,481</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marketable securities, net of tax</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554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1"/>
              </w:rPr>
              <w:t>(1,447)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1"/>
              </w:rPr>
              <w:t>(3,759)</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gain (loss)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91"/>
              </w:rPr>
              <w:t>(1,447)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1"/>
              </w:rPr>
              <w:t>(3,759)</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 (loss)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center"/>
              <w:ind w:left="334"/>
              <w:spacing w:after="0"/>
              <w:rPr>
                <w:sz w:val="20"/>
                <w:szCs w:val="20"/>
                <w:color w:val="auto"/>
              </w:rPr>
            </w:pPr>
            <w:r>
              <w:rPr>
                <w:rFonts w:ascii="Arial" w:cs="Arial" w:eastAsia="Arial" w:hAnsi="Arial"/>
                <w:sz w:val="18"/>
                <w:szCs w:val="18"/>
                <w:color w:val="auto"/>
                <w:w w:val="93"/>
              </w:rPr>
              <w:t>6,418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29,722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40"/>
          </w:cols>
          <w:pgMar w:left="320" w:top="125" w:right="439" w:bottom="10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041"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4"/>
            <w:vMerge w:val="restart"/>
          </w:tcPr>
          <w:p>
            <w:pPr>
              <w:jc w:val="right"/>
              <w:ind w:right="37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05"/>
        </w:trPr>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3"/>
            <w:vMerge w:val="restart"/>
          </w:tcPr>
          <w:p>
            <w:pPr>
              <w:jc w:val="center"/>
              <w:ind w:right="28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233"/>
              <w:spacing w:after="0" w:line="125"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94"/>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6"/>
        </w:trPr>
        <w:tc>
          <w:tcPr>
            <w:tcW w:w="2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Earnings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233"/>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54,253,796</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408,115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886,204</w:t>
            </w:r>
          </w:p>
        </w:tc>
        <w:tc>
          <w:tcPr>
            <w:tcW w:w="0" w:type="dxa"/>
            <w:vAlign w:val="bottom"/>
          </w:tcPr>
          <w:p>
            <w:pPr>
              <w:spacing w:after="0"/>
              <w:rPr>
                <w:sz w:val="1"/>
                <w:szCs w:val="1"/>
                <w:color w:val="auto"/>
              </w:rPr>
            </w:pPr>
          </w:p>
        </w:tc>
      </w:tr>
      <w:tr>
        <w:trPr>
          <w:trHeight w:val="237"/>
        </w:trPr>
        <w:tc>
          <w:tcPr>
            <w:tcW w:w="292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182"/>
        </w:trPr>
        <w:tc>
          <w:tcPr>
            <w:tcW w:w="2920" w:type="dxa"/>
            <w:vAlign w:val="bottom"/>
            <w:gridSpan w:val="2"/>
            <w:shd w:val="clear" w:color="auto" w:fill="CCEEFF"/>
          </w:tcPr>
          <w:p>
            <w:pPr>
              <w:ind w:left="200"/>
              <w:spacing w:after="0" w:line="182" w:lineRule="exact"/>
              <w:rPr>
                <w:sz w:val="20"/>
                <w:szCs w:val="20"/>
                <w:color w:val="auto"/>
              </w:rPr>
            </w:pPr>
            <w:r>
              <w:rPr>
                <w:rFonts w:ascii="Arial" w:cs="Arial" w:eastAsia="Arial" w:hAnsi="Arial"/>
                <w:sz w:val="18"/>
                <w:szCs w:val="18"/>
                <w:color w:val="auto"/>
              </w:rPr>
              <w:t>Issuance of common stock in</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connection with the Company’s</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216,826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award plans</w:t>
            </w:r>
          </w:p>
        </w:tc>
        <w:tc>
          <w:tcPr>
            <w:tcW w:w="12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920" w:type="dxa"/>
            <w:vAlign w:val="bottom"/>
            <w:gridSpan w:val="2"/>
          </w:tcPr>
          <w:p>
            <w:pPr>
              <w:ind w:left="200"/>
              <w:spacing w:after="0"/>
              <w:rPr>
                <w:sz w:val="20"/>
                <w:szCs w:val="20"/>
                <w:color w:val="auto"/>
              </w:rPr>
            </w:pPr>
            <w:r>
              <w:rPr>
                <w:rFonts w:ascii="Arial" w:cs="Arial" w:eastAsia="Arial" w:hAnsi="Arial"/>
                <w:sz w:val="18"/>
                <w:szCs w:val="18"/>
                <w:color w:val="auto"/>
              </w:rPr>
              <w:t>Net earnings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16,948</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Unrealized gain on marketable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securities, net of tax</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2023</w:t>
            </w:r>
          </w:p>
        </w:tc>
        <w:tc>
          <w:tcPr>
            <w:tcW w:w="1200" w:type="dxa"/>
            <w:vAlign w:val="bottom"/>
          </w:tcPr>
          <w:p>
            <w:pPr>
              <w:jc w:val="right"/>
              <w:spacing w:after="0"/>
              <w:rPr>
                <w:sz w:val="20"/>
                <w:szCs w:val="20"/>
                <w:color w:val="auto"/>
              </w:rPr>
            </w:pPr>
            <w:r>
              <w:rPr>
                <w:rFonts w:ascii="Arial" w:cs="Arial" w:eastAsia="Arial" w:hAnsi="Arial"/>
                <w:sz w:val="18"/>
                <w:szCs w:val="18"/>
                <w:color w:val="auto"/>
              </w:rPr>
              <w:t>54,470,622</w:t>
            </w:r>
          </w:p>
        </w:tc>
        <w:tc>
          <w:tcPr>
            <w:tcW w:w="980" w:type="dxa"/>
            <w:vAlign w:val="bottom"/>
            <w:gridSpan w:val="3"/>
          </w:tcPr>
          <w:p>
            <w:pPr>
              <w:jc w:val="right"/>
              <w:ind w:right="67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2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416,232</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498,193</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912,150</w:t>
            </w: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176"/>
        </w:trPr>
        <w:tc>
          <w:tcPr>
            <w:tcW w:w="2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Issuance of common stock in</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connection with the Company’s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122,279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37"/>
        </w:trPr>
        <w:tc>
          <w:tcPr>
            <w:tcW w:w="2920" w:type="dxa"/>
            <w:vAlign w:val="bottom"/>
            <w:gridSpan w:val="2"/>
          </w:tcPr>
          <w:p>
            <w:pPr>
              <w:ind w:left="200"/>
              <w:spacing w:after="0"/>
              <w:rPr>
                <w:sz w:val="20"/>
                <w:szCs w:val="20"/>
                <w:color w:val="auto"/>
              </w:rPr>
            </w:pPr>
            <w:r>
              <w:rPr>
                <w:rFonts w:ascii="Arial" w:cs="Arial" w:eastAsia="Arial" w:hAnsi="Arial"/>
                <w:sz w:val="18"/>
                <w:szCs w:val="18"/>
                <w:color w:val="auto"/>
              </w:rPr>
              <w:t>equity award plans</w:t>
            </w: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176"/>
        </w:trPr>
        <w:tc>
          <w:tcPr>
            <w:tcW w:w="29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Unrealized gain on marketable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0"/>
              <w:spacing w:after="0"/>
              <w:rPr>
                <w:sz w:val="20"/>
                <w:szCs w:val="20"/>
                <w:color w:val="auto"/>
              </w:rPr>
            </w:pPr>
            <w:r>
              <w:rPr>
                <w:rFonts w:ascii="Arial" w:cs="Arial" w:eastAsia="Arial" w:hAnsi="Arial"/>
                <w:sz w:val="18"/>
                <w:szCs w:val="18"/>
                <w:color w:val="auto"/>
              </w:rPr>
              <w:t>securities, net of tax</w:t>
            </w: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54,592,901</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424,266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497,362</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919,908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4"/>
            <w:vMerge w:val="restart"/>
          </w:tcPr>
          <w:p>
            <w:pPr>
              <w:jc w:val="right"/>
              <w:ind w:right="399"/>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Accumulated Other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gridSpan w:val="3"/>
            <w:vMerge w:val="restart"/>
          </w:tcPr>
          <w:p>
            <w:pPr>
              <w:jc w:val="center"/>
              <w:ind w:right="20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ind w:right="173"/>
              <w:spacing w:after="0" w:line="125"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restart"/>
          </w:tcPr>
          <w:p>
            <w:pPr>
              <w:jc w:val="center"/>
              <w:ind w:right="54"/>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Paid-in Capital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Earnings (Loss)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53"/>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0"/>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53,256,094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815,851</w:t>
            </w:r>
          </w:p>
        </w:tc>
        <w:tc>
          <w:tcPr>
            <w:tcW w:w="0" w:type="dxa"/>
            <w:vAlign w:val="bottom"/>
          </w:tcPr>
          <w:p>
            <w:pPr>
              <w:spacing w:after="0"/>
              <w:rPr>
                <w:sz w:val="1"/>
                <w:szCs w:val="1"/>
                <w:color w:val="auto"/>
              </w:rPr>
            </w:pPr>
          </w:p>
        </w:tc>
      </w:tr>
      <w:tr>
        <w:trPr>
          <w:trHeight w:val="175"/>
        </w:trPr>
        <w:tc>
          <w:tcPr>
            <w:tcW w:w="29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Cumulative effect of adoption of</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(56,212)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40,612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30"/>
        </w:trPr>
        <w:tc>
          <w:tcPr>
            <w:tcW w:w="2900" w:type="dxa"/>
            <w:vAlign w:val="bottom"/>
          </w:tcPr>
          <w:p>
            <w:pPr>
              <w:ind w:left="140"/>
              <w:spacing w:after="0"/>
              <w:rPr>
                <w:sz w:val="20"/>
                <w:szCs w:val="20"/>
                <w:color w:val="auto"/>
              </w:rPr>
            </w:pPr>
            <w:r>
              <w:rPr>
                <w:rFonts w:ascii="Arial" w:cs="Arial" w:eastAsia="Arial" w:hAnsi="Arial"/>
                <w:sz w:val="18"/>
                <w:szCs w:val="18"/>
                <w:color w:val="auto"/>
              </w:rPr>
              <w:t>ASU 2020-06</w:t>
            </w:r>
          </w:p>
        </w:tc>
        <w:tc>
          <w:tcPr>
            <w:tcW w:w="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Balance, January 1,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53,256,094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420,534</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800,251</w:t>
            </w: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Share-based compensation</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common stock in</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connection with the Company’s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equity award plans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Net earnings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25,616</w:t>
            </w:r>
          </w:p>
        </w:tc>
        <w:tc>
          <w:tcPr>
            <w:tcW w:w="0" w:type="dxa"/>
            <w:vAlign w:val="bottom"/>
          </w:tcPr>
          <w:p>
            <w:pPr>
              <w:spacing w:after="0"/>
              <w:rPr>
                <w:sz w:val="1"/>
                <w:szCs w:val="1"/>
                <w:color w:val="auto"/>
              </w:rPr>
            </w:pPr>
          </w:p>
        </w:tc>
      </w:tr>
      <w:tr>
        <w:trPr>
          <w:trHeight w:val="188"/>
        </w:trPr>
        <w:tc>
          <w:tcPr>
            <w:tcW w:w="29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Unrealized loss on marketable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(2,312)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17"/>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securities, net of tax</w:t>
            </w:r>
          </w:p>
        </w:tc>
        <w:tc>
          <w:tcPr>
            <w:tcW w:w="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9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2022</w:t>
            </w:r>
          </w:p>
        </w:tc>
        <w:tc>
          <w:tcPr>
            <w:tcW w:w="1200" w:type="dxa"/>
            <w:vAlign w:val="bottom"/>
          </w:tcPr>
          <w:p>
            <w:pPr>
              <w:jc w:val="right"/>
              <w:spacing w:after="0"/>
              <w:rPr>
                <w:sz w:val="20"/>
                <w:szCs w:val="20"/>
                <w:color w:val="auto"/>
              </w:rPr>
            </w:pPr>
            <w:r>
              <w:rPr>
                <w:rFonts w:ascii="Arial" w:cs="Arial" w:eastAsia="Arial" w:hAnsi="Arial"/>
                <w:sz w:val="18"/>
                <w:szCs w:val="18"/>
                <w:color w:val="auto"/>
              </w:rPr>
              <w:t>53,386,305</w:t>
            </w:r>
          </w:p>
        </w:tc>
        <w:tc>
          <w:tcPr>
            <w:tcW w:w="980" w:type="dxa"/>
            <w:vAlign w:val="bottom"/>
            <w:gridSpan w:val="3"/>
          </w:tcPr>
          <w:p>
            <w:pPr>
              <w:jc w:val="right"/>
              <w:ind w:right="69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53</w:t>
            </w:r>
          </w:p>
        </w:tc>
        <w:tc>
          <w:tcPr>
            <w:tcW w:w="2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383,016</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446,150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828,446</w:t>
            </w: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0" w:type="dxa"/>
            <w:vAlign w:val="bottom"/>
          </w:tcPr>
          <w:p>
            <w:pPr>
              <w:spacing w:after="0"/>
              <w:rPr>
                <w:sz w:val="1"/>
                <w:szCs w:val="1"/>
                <w:color w:val="auto"/>
              </w:rPr>
            </w:pPr>
          </w:p>
        </w:tc>
      </w:tr>
      <w:tr>
        <w:trPr>
          <w:trHeight w:val="175"/>
        </w:trPr>
        <w:tc>
          <w:tcPr>
            <w:tcW w:w="292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Issuance of common stock in</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connection with the Company’s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equity award plans</w:t>
            </w:r>
          </w:p>
        </w:tc>
        <w:tc>
          <w:tcPr>
            <w:tcW w:w="1200" w:type="dxa"/>
            <w:vAlign w:val="bottom"/>
          </w:tcPr>
          <w:p>
            <w:pPr>
              <w:jc w:val="right"/>
              <w:spacing w:after="0"/>
              <w:rPr>
                <w:sz w:val="20"/>
                <w:szCs w:val="20"/>
                <w:color w:val="auto"/>
              </w:rPr>
            </w:pPr>
            <w:r>
              <w:rPr>
                <w:rFonts w:ascii="Arial" w:cs="Arial" w:eastAsia="Arial" w:hAnsi="Arial"/>
                <w:sz w:val="18"/>
                <w:szCs w:val="18"/>
                <w:color w:val="auto"/>
              </w:rPr>
              <w:t>106,081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earnings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0" w:type="dxa"/>
            <w:vAlign w:val="bottom"/>
          </w:tcPr>
          <w:p>
            <w:pPr>
              <w:spacing w:after="0"/>
              <w:rPr>
                <w:sz w:val="1"/>
                <w:szCs w:val="1"/>
                <w:color w:val="auto"/>
              </w:rPr>
            </w:pPr>
          </w:p>
        </w:tc>
      </w:tr>
      <w:tr>
        <w:trPr>
          <w:trHeight w:val="188"/>
        </w:trPr>
        <w:tc>
          <w:tcPr>
            <w:tcW w:w="29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Unrealized gain on marketable</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30"/>
        </w:trPr>
        <w:tc>
          <w:tcPr>
            <w:tcW w:w="2920" w:type="dxa"/>
            <w:vAlign w:val="bottom"/>
            <w:gridSpan w:val="2"/>
          </w:tcPr>
          <w:p>
            <w:pPr>
              <w:ind w:left="140"/>
              <w:spacing w:after="0"/>
              <w:rPr>
                <w:sz w:val="20"/>
                <w:szCs w:val="20"/>
                <w:color w:val="auto"/>
              </w:rPr>
            </w:pPr>
            <w:r>
              <w:rPr>
                <w:rFonts w:ascii="Arial" w:cs="Arial" w:eastAsia="Arial" w:hAnsi="Arial"/>
                <w:sz w:val="18"/>
                <w:szCs w:val="18"/>
                <w:color w:val="auto"/>
              </w:rPr>
              <w:t>securities, net of tax</w:t>
            </w: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53,492,386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389,586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454,015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841,434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8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8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r>
      <w:tr>
        <w:trPr>
          <w:trHeight w:val="189"/>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6"/>
                <w:szCs w:val="16"/>
                <w:color w:val="auto"/>
              </w:rPr>
            </w:pPr>
          </w:p>
        </w:tc>
      </w:tr>
      <w:tr>
        <w:trPr>
          <w:trHeight w:val="23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16,117</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33,481</w:t>
            </w:r>
          </w:p>
        </w:tc>
      </w:tr>
      <w:tr>
        <w:trPr>
          <w:trHeight w:val="23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42,919</w:t>
            </w:r>
          </w:p>
        </w:tc>
      </w:tr>
      <w:tr>
        <w:trPr>
          <w:trHeight w:val="243"/>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income from Navitor (see Note 4)</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(12,888)</w:t>
            </w: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w:t>
            </w:r>
          </w:p>
        </w:tc>
      </w:tr>
      <w:tr>
        <w:trPr>
          <w:trHeight w:val="230"/>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Realized gains from sales of marketable securities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520" w:type="dxa"/>
            <w:vAlign w:val="bottom"/>
          </w:tcPr>
          <w:p>
            <w:pPr>
              <w:ind w:left="300"/>
              <w:spacing w:after="0"/>
              <w:rPr>
                <w:sz w:val="20"/>
                <w:szCs w:val="20"/>
                <w:color w:val="auto"/>
              </w:rPr>
            </w:pPr>
            <w:r>
              <w:rPr>
                <w:rFonts w:ascii="Arial" w:cs="Arial" w:eastAsia="Arial" w:hAnsi="Arial"/>
                <w:sz w:val="18"/>
                <w:szCs w:val="18"/>
                <w:color w:val="auto"/>
              </w:rPr>
              <w:t>Amortization of premium/discount on marketable securities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1,068</w:t>
            </w:r>
          </w:p>
        </w:tc>
      </w:tr>
      <w:tr>
        <w:trPr>
          <w:trHeight w:val="236"/>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 in fair value of contingent consideration</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Other noncash adjustments,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43"/>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Deferred income tax benefit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(16,057)</w:t>
            </w:r>
          </w:p>
        </w:tc>
      </w:tr>
      <w:tr>
        <w:trPr>
          <w:trHeight w:val="229"/>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(9,093)</w:t>
            </w:r>
          </w:p>
        </w:tc>
      </w:tr>
      <w:tr>
        <w:trPr>
          <w:trHeight w:val="236"/>
        </w:trPr>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r>
      <w:tr>
        <w:trPr>
          <w:trHeight w:val="243"/>
        </w:trPr>
        <w:tc>
          <w:tcPr>
            <w:tcW w:w="8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product returns and rebates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13,037</w:t>
            </w:r>
          </w:p>
        </w:tc>
      </w:tr>
      <w:tr>
        <w:trPr>
          <w:trHeight w:val="230"/>
        </w:trPr>
        <w:tc>
          <w:tcPr>
            <w:tcW w:w="8520" w:type="dxa"/>
            <w:vAlign w:val="bottom"/>
          </w:tcPr>
          <w:p>
            <w:pPr>
              <w:ind w:left="400"/>
              <w:spacing w:after="0"/>
              <w:rPr>
                <w:sz w:val="20"/>
                <w:szCs w:val="20"/>
                <w:color w:val="auto"/>
              </w:rPr>
            </w:pPr>
            <w:r>
              <w:rPr>
                <w:rFonts w:ascii="Arial" w:cs="Arial" w:eastAsia="Arial" w:hAnsi="Arial"/>
                <w:sz w:val="18"/>
                <w:szCs w:val="18"/>
                <w:color w:val="auto"/>
              </w:rPr>
              <w:t>Accounts payable and other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11,763</w:t>
            </w:r>
          </w:p>
        </w:tc>
      </w:tr>
      <w:tr>
        <w:trPr>
          <w:trHeight w:val="229"/>
        </w:trPr>
        <w:tc>
          <w:tcPr>
            <w:tcW w:w="8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2"/>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30,252</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75,421</w:t>
            </w:r>
          </w:p>
        </w:tc>
      </w:tr>
      <w:tr>
        <w:trPr>
          <w:trHeight w:val="146"/>
        </w:trPr>
        <w:tc>
          <w:tcPr>
            <w:tcW w:w="8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(206,503)</w:t>
            </w:r>
          </w:p>
        </w:tc>
      </w:tr>
      <w:tr>
        <w:trPr>
          <w:trHeight w:val="230"/>
        </w:trPr>
        <w:tc>
          <w:tcPr>
            <w:tcW w:w="8520" w:type="dxa"/>
            <w:vAlign w:val="bottom"/>
          </w:tcPr>
          <w:p>
            <w:pPr>
              <w:ind w:left="30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300,513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121,112</w:t>
            </w:r>
          </w:p>
        </w:tc>
      </w:tr>
      <w:tr>
        <w:trPr>
          <w:trHeight w:val="229"/>
        </w:trPr>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32"/>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300,076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(85,666)</w:t>
            </w:r>
          </w:p>
        </w:tc>
      </w:tr>
      <w:tr>
        <w:trPr>
          <w:trHeight w:val="146"/>
        </w:trPr>
        <w:tc>
          <w:tcPr>
            <w:tcW w:w="8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39"/>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Proceeds from Line of Credit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Payments on Line of Credit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Payment on convertible notes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520" w:type="dxa"/>
            <w:vAlign w:val="bottom"/>
          </w:tcPr>
          <w:p>
            <w:pPr>
              <w:ind w:left="300"/>
              <w:spacing w:after="0"/>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(22,900)</w:t>
            </w:r>
          </w:p>
        </w:tc>
      </w:tr>
      <w:tr>
        <w:trPr>
          <w:trHeight w:val="236"/>
        </w:trPr>
        <w:tc>
          <w:tcPr>
            <w:tcW w:w="8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(398,742)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w:t>
            </w:r>
          </w:p>
        </w:tc>
      </w:tr>
      <w:tr>
        <w:trPr>
          <w:trHeight w:val="156"/>
        </w:trPr>
        <w:tc>
          <w:tcPr>
            <w:tcW w:w="8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(68,414)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(30,006)</w:t>
            </w:r>
          </w:p>
        </w:tc>
      </w:tr>
      <w:tr>
        <w:trPr>
          <w:trHeight w:val="243"/>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203,434</w:t>
            </w:r>
          </w:p>
        </w:tc>
      </w:tr>
      <w:tr>
        <w:trPr>
          <w:trHeight w:val="223"/>
        </w:trPr>
        <w:tc>
          <w:tcPr>
            <w:tcW w:w="8520" w:type="dxa"/>
            <w:vAlign w:val="bottom"/>
          </w:tcPr>
          <w:p>
            <w:pPr>
              <w:ind w:left="30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9"/>
        </w:trPr>
        <w:tc>
          <w:tcPr>
            <w:tcW w:w="8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paid for interest on debt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8520" w:type="dxa"/>
            <w:vAlign w:val="bottom"/>
          </w:tcPr>
          <w:p>
            <w:pPr>
              <w:ind w:left="30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8,543</w:t>
            </w:r>
          </w:p>
        </w:tc>
      </w:tr>
      <w:tr>
        <w:trPr>
          <w:trHeight w:val="230"/>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paid for operating leases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w:t>
            </w:r>
          </w:p>
        </w:tc>
      </w:tr>
      <w:tr>
        <w:trPr>
          <w:trHeight w:val="162"/>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8520" w:type="dxa"/>
            <w:vAlign w:val="bottom"/>
          </w:tcPr>
          <w:p>
            <w:pPr>
              <w:ind w:left="300"/>
              <w:spacing w:after="0"/>
              <w:rPr>
                <w:sz w:val="20"/>
                <w:szCs w:val="20"/>
                <w:color w:val="auto"/>
              </w:rPr>
            </w:pPr>
            <w:r>
              <w:rPr>
                <w:rFonts w:ascii="Arial" w:cs="Arial" w:eastAsia="Arial" w:hAnsi="Arial"/>
                <w:sz w:val="18"/>
                <w:szCs w:val="18"/>
                <w:color w:val="auto"/>
              </w:rPr>
              <w:t>Lease assets obtained for new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3,938</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8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Business Organization</w:t>
      </w:r>
    </w:p>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Supernus Pharmaceuticals, Inc. (the "Company", see Note 2, </w:t>
      </w:r>
      <w:r>
        <w:rPr>
          <w:rFonts w:ascii="Arial" w:cs="Arial" w:eastAsia="Arial" w:hAnsi="Arial"/>
          <w:sz w:val="18"/>
          <w:szCs w:val="18"/>
          <w:i w:val="1"/>
          <w:iCs w:val="1"/>
          <w:color w:val="auto"/>
        </w:rPr>
        <w:t>Consolidation</w:t>
      </w:r>
      <w:r>
        <w:rPr>
          <w:rFonts w:ascii="Arial" w:cs="Arial" w:eastAsia="Arial" w:hAnsi="Arial"/>
          <w:sz w:val="18"/>
          <w:szCs w:val="18"/>
          <w:color w:val="auto"/>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47"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The Company has eight commercial products that it markets: Qelbree</w:t>
      </w:r>
      <w:r>
        <w:rPr>
          <w:rFonts w:ascii="Arial" w:cs="Arial" w:eastAsia="Arial" w:hAnsi="Arial"/>
          <w:sz w:val="23"/>
          <w:szCs w:val="23"/>
          <w:color w:val="auto"/>
          <w:vertAlign w:val="superscript"/>
        </w:rPr>
        <w:t>®</w:t>
      </w:r>
      <w:r>
        <w:rPr>
          <w:rFonts w:ascii="Arial" w:cs="Arial" w:eastAsia="Arial" w:hAnsi="Arial"/>
          <w:sz w:val="18"/>
          <w:szCs w:val="18"/>
          <w:color w:val="auto"/>
        </w:rPr>
        <w:t>, GOCOVRI</w:t>
      </w:r>
      <w:r>
        <w:rPr>
          <w:rFonts w:ascii="Arial" w:cs="Arial" w:eastAsia="Arial" w:hAnsi="Arial"/>
          <w:sz w:val="23"/>
          <w:szCs w:val="23"/>
          <w:color w:val="auto"/>
          <w:vertAlign w:val="superscript"/>
        </w:rPr>
        <w:t>®</w:t>
      </w:r>
      <w:r>
        <w:rPr>
          <w:rFonts w:ascii="Arial" w:cs="Arial" w:eastAsia="Arial" w:hAnsi="Arial"/>
          <w:sz w:val="18"/>
          <w:szCs w:val="18"/>
          <w:color w:val="auto"/>
        </w:rPr>
        <w:t>, Trokendi XR</w:t>
      </w:r>
      <w:r>
        <w:rPr>
          <w:rFonts w:ascii="Arial" w:cs="Arial" w:eastAsia="Arial" w:hAnsi="Arial"/>
          <w:sz w:val="23"/>
          <w:szCs w:val="23"/>
          <w:color w:val="auto"/>
          <w:vertAlign w:val="superscript"/>
        </w:rPr>
        <w:t>®</w:t>
      </w:r>
      <w:r>
        <w:rPr>
          <w:rFonts w:ascii="Arial" w:cs="Arial" w:eastAsia="Arial" w:hAnsi="Arial"/>
          <w:sz w:val="18"/>
          <w:szCs w:val="18"/>
          <w:color w:val="auto"/>
        </w:rPr>
        <w:t>, Oxtellar XR</w:t>
      </w:r>
      <w:r>
        <w:rPr>
          <w:rFonts w:ascii="Arial" w:cs="Arial" w:eastAsia="Arial" w:hAnsi="Arial"/>
          <w:sz w:val="23"/>
          <w:szCs w:val="23"/>
          <w:color w:val="auto"/>
          <w:vertAlign w:val="superscript"/>
        </w:rPr>
        <w:t>®</w:t>
      </w:r>
      <w:r>
        <w:rPr>
          <w:rFonts w:ascii="Arial" w:cs="Arial" w:eastAsia="Arial" w:hAnsi="Arial"/>
          <w:sz w:val="18"/>
          <w:szCs w:val="18"/>
          <w:color w:val="auto"/>
        </w:rPr>
        <w:t>, APOKYN</w:t>
      </w:r>
      <w:r>
        <w:rPr>
          <w:rFonts w:ascii="Arial" w:cs="Arial" w:eastAsia="Arial" w:hAnsi="Arial"/>
          <w:sz w:val="23"/>
          <w:szCs w:val="23"/>
          <w:color w:val="auto"/>
          <w:vertAlign w:val="superscript"/>
        </w:rPr>
        <w:t>®</w:t>
      </w:r>
      <w:r>
        <w:rPr>
          <w:rFonts w:ascii="Arial" w:cs="Arial" w:eastAsia="Arial" w:hAnsi="Arial"/>
          <w:sz w:val="18"/>
          <w:szCs w:val="18"/>
          <w:color w:val="auto"/>
        </w:rPr>
        <w:t>, XADAGO</w:t>
      </w:r>
      <w:r>
        <w:rPr>
          <w:rFonts w:ascii="Arial" w:cs="Arial" w:eastAsia="Arial" w:hAnsi="Arial"/>
          <w:sz w:val="23"/>
          <w:szCs w:val="23"/>
          <w:color w:val="auto"/>
          <w:vertAlign w:val="superscript"/>
        </w:rPr>
        <w:t>®</w:t>
      </w:r>
      <w:r>
        <w:rPr>
          <w:rFonts w:ascii="Arial" w:cs="Arial" w:eastAsia="Arial" w:hAnsi="Arial"/>
          <w:sz w:val="18"/>
          <w:szCs w:val="18"/>
          <w:color w:val="auto"/>
        </w:rPr>
        <w:t>, Osmolex ER</w:t>
      </w:r>
      <w:r>
        <w:rPr>
          <w:rFonts w:ascii="Arial" w:cs="Arial" w:eastAsia="Arial" w:hAnsi="Arial"/>
          <w:sz w:val="23"/>
          <w:szCs w:val="23"/>
          <w:color w:val="auto"/>
          <w:vertAlign w:val="superscript"/>
        </w:rPr>
        <w:t>®</w:t>
      </w:r>
      <w:r>
        <w:rPr>
          <w:rFonts w:ascii="Arial" w:cs="Arial" w:eastAsia="Arial" w:hAnsi="Arial"/>
          <w:sz w:val="18"/>
          <w:szCs w:val="18"/>
          <w:color w:val="auto"/>
        </w:rPr>
        <w:t>, and MYOBLOC</w:t>
      </w:r>
      <w:r>
        <w:rPr>
          <w:rFonts w:ascii="Arial" w:cs="Arial" w:eastAsia="Arial" w:hAnsi="Arial"/>
          <w:sz w:val="23"/>
          <w:szCs w:val="23"/>
          <w:color w:val="auto"/>
          <w:vertAlign w:val="superscript"/>
        </w:rPr>
        <w:t>®</w:t>
      </w:r>
      <w:r>
        <w:rPr>
          <w:rFonts w:ascii="Arial" w:cs="Arial" w:eastAsia="Arial" w:hAnsi="Arial"/>
          <w:sz w:val="18"/>
          <w:szCs w:val="18"/>
          <w:color w:val="auto"/>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spacing w:after="0" w:line="161" w:lineRule="exact"/>
        <w:rPr>
          <w:sz w:val="20"/>
          <w:szCs w:val="20"/>
          <w:color w:val="auto"/>
        </w:rPr>
      </w:pPr>
    </w:p>
    <w:p>
      <w:pPr>
        <w:ind w:right="7520" w:firstLine="8"/>
        <w:spacing w:after="0" w:line="464"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firstLine="648"/>
        <w:spacing w:after="0" w:line="275" w:lineRule="auto"/>
        <w:rPr>
          <w:sz w:val="20"/>
          <w:szCs w:val="20"/>
          <w:color w:val="auto"/>
        </w:rPr>
      </w:pPr>
      <w:r>
        <w:rPr>
          <w:rFonts w:ascii="Arial" w:cs="Arial" w:eastAsia="Arial" w:hAnsi="Arial"/>
          <w:sz w:val="17"/>
          <w:szCs w:val="17"/>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unaudited condensed consolidated financial statements should be read in conjunction with the Company’s most recent Annual Report on Form 10-K, for the year ended December 31, 2022, filed with the SEC.</w:t>
      </w:r>
    </w:p>
    <w:p>
      <w:pPr>
        <w:spacing w:after="0" w:line="13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management’s opinion, the unaudited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U.S., operates in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8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Company's unaudited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significant intercompany transactions and balances have been eliminated in consolidation.</w:t>
      </w:r>
    </w:p>
    <w:p>
      <w:pPr>
        <w:spacing w:after="0" w:line="13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unaudited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continuously assesses whether it is the primary beneficiary of a VIE as changes to existing relationships or future transactions may affect its conclusions.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printed materials and digital marketing, marketing programs and speaker programs. The costs of the Company's advertising efforts are expensed as incurred.</w:t>
      </w:r>
    </w:p>
    <w:p>
      <w:pPr>
        <w:spacing w:after="0" w:line="143"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 xml:space="preserve">The Company incurred approximately $25.9 million and $51.8 million in advertising expense for the three and six months ended June 30, 2023, respectively, and approximately $36.9 million and $60.8 million for the three and six months ended June 30, 2022. These expenses are recorded as a component of </w:t>
      </w: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xml:space="preserve"> in the unaudited condensed consolidated statements of earnings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On March 30, 2023, the Company transferred funds totaling $403.8 million to the Trustee (Wilmington Trust) related to the repayment of the 2023 Notes which was reported as restricted cash in the first quarter of 2023. On April 1, 2023, the Company paid the total principal amount due of $402.5 million under the 2023 Notes and the remaining outstanding interest due of $1.3 million with the restricted cash. Refer to Note 8, </w:t>
      </w:r>
      <w:r>
        <w:rPr>
          <w:rFonts w:ascii="Arial" w:cs="Arial" w:eastAsia="Arial" w:hAnsi="Arial"/>
          <w:sz w:val="17"/>
          <w:szCs w:val="17"/>
          <w:i w:val="1"/>
          <w:iCs w:val="1"/>
          <w:color w:val="auto"/>
        </w:rPr>
        <w:t>Debt</w:t>
      </w:r>
      <w:r>
        <w:rPr>
          <w:rFonts w:ascii="Arial" w:cs="Arial" w:eastAsia="Arial" w:hAnsi="Arial"/>
          <w:sz w:val="17"/>
          <w:szCs w:val="17"/>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 xml:space="preserve">Line of credit includes borrowings under the uncommitted demand secured line of credit. On February 8, 2023, the Company entered into a credit line agreement (the “Credit Line”) with UBS Bank USA (“UBS”). The Credit Line provides for a revolving line of credit of up to $150 million, which can be drawn at any time. Refer to Note 8,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Accounting Standards Update (ASU) 2020-06, </w:t>
      </w:r>
      <w:r>
        <w:rPr>
          <w:rFonts w:ascii="Arial" w:cs="Arial" w:eastAsia="Arial" w:hAnsi="Arial"/>
          <w:sz w:val="16"/>
          <w:szCs w:val="16"/>
          <w:i w:val="1"/>
          <w:iCs w:val="1"/>
          <w:color w:val="auto"/>
        </w:rPr>
        <w:t>Debt - Debt with Conversion and Other Options (Subtopic 470-20) and Derivatives and Hedging -</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w:t>
      </w:r>
      <w:r>
        <w:rPr>
          <w:rFonts w:ascii="Arial" w:cs="Arial" w:eastAsia="Arial" w:hAnsi="Arial"/>
          <w:sz w:val="16"/>
          <w:szCs w:val="16"/>
          <w:i w:val="1"/>
          <w:iCs w:val="1"/>
          <w:color w:val="auto"/>
        </w:rPr>
        <w:t xml:space="preserve"> Accounting for Convertible Instruments and Contracts in an Entity's Own Equity </w:t>
      </w:r>
      <w:r>
        <w:rPr>
          <w:rFonts w:ascii="Arial" w:cs="Arial" w:eastAsia="Arial" w:hAnsi="Arial"/>
          <w:sz w:val="16"/>
          <w:szCs w:val="16"/>
          <w:color w:val="auto"/>
        </w:rPr>
        <w:t>- The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issued in August 2020, 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spacing w:after="0" w:line="1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 6.8 million in dilutive shares included in diluted weighted average shares of common stock outstanding for the purposes of calculating diluted earnings per share under the if-converted method.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Disaggregated 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product or source,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r>
      <w:tr>
        <w:trPr>
          <w:trHeight w:val="186"/>
        </w:trPr>
        <w:tc>
          <w:tcPr>
            <w:tcW w:w="4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Pr>
          <w:p>
            <w:pPr>
              <w:spacing w:after="0"/>
              <w:rPr>
                <w:sz w:val="16"/>
                <w:szCs w:val="16"/>
                <w:color w:val="auto"/>
              </w:rPr>
            </w:pPr>
          </w:p>
        </w:tc>
      </w:tr>
      <w:tr>
        <w:trPr>
          <w:trHeight w:val="26"/>
        </w:trPr>
        <w:tc>
          <w:tcPr>
            <w:tcW w:w="45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45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189"/>
        </w:trPr>
        <w:tc>
          <w:tcPr>
            <w:tcW w:w="4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r>
      <w:tr>
        <w:trPr>
          <w:trHeight w:val="23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7"/>
        </w:trPr>
        <w:tc>
          <w:tcPr>
            <w:tcW w:w="4520" w:type="dxa"/>
            <w:vAlign w:val="bottom"/>
          </w:tcPr>
          <w:p>
            <w:pPr>
              <w:ind w:left="140"/>
              <w:spacing w:after="0"/>
              <w:rPr>
                <w:sz w:val="20"/>
                <w:szCs w:val="20"/>
                <w:color w:val="auto"/>
              </w:rPr>
            </w:pPr>
            <w:r>
              <w:rPr>
                <w:rFonts w:ascii="Arial" w:cs="Arial" w:eastAsia="Arial" w:hAnsi="Arial"/>
                <w:sz w:val="18"/>
                <w:szCs w:val="18"/>
                <w:color w:val="auto"/>
              </w:rPr>
              <w:t>Qelbree</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30,977</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11,099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56,759</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19,382</w:t>
            </w:r>
          </w:p>
        </w:tc>
      </w:tr>
      <w:tr>
        <w:trPr>
          <w:trHeight w:val="236"/>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GOCOVRI</w:t>
            </w:r>
          </w:p>
        </w:tc>
        <w:tc>
          <w:tcPr>
            <w:tcW w:w="9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54,761</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47,301</w:t>
            </w: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Oxtellar XR</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52,715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57,479</w:t>
            </w:r>
          </w:p>
        </w:tc>
      </w:tr>
      <w:tr>
        <w:trPr>
          <w:trHeight w:val="243"/>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Trokendi XR</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134,434</w:t>
            </w: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APOKYN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38,895</w:t>
            </w:r>
          </w:p>
        </w:tc>
      </w:tr>
      <w:tr>
        <w:trPr>
          <w:trHeight w:val="230"/>
        </w:trPr>
        <w:tc>
          <w:tcPr>
            <w:tcW w:w="452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940" w:type="dxa"/>
            <w:vAlign w:val="bottom"/>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128,336</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165,459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268,911</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312,923</w:t>
            </w:r>
          </w:p>
        </w:tc>
      </w:tr>
      <w:tr>
        <w:trPr>
          <w:trHeight w:val="23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9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135,563</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170,051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322,557</w:t>
            </w: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25" w:lineRule="auto"/>
        <w:tabs>
          <w:tab w:leader="none" w:pos="340"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of MYOBLOC, XADAGO and Osmolex ER.</w:t>
      </w:r>
    </w:p>
    <w:p>
      <w:pPr>
        <w:spacing w:after="0" w:line="154" w:lineRule="exact"/>
        <w:rPr>
          <w:sz w:val="20"/>
          <w:szCs w:val="20"/>
          <w:color w:val="auto"/>
        </w:rPr>
      </w:pPr>
    </w:p>
    <w:p>
      <w:pPr>
        <w:ind w:left="180" w:right="380" w:firstLine="648"/>
        <w:spacing w:after="0" w:line="277" w:lineRule="auto"/>
        <w:rPr>
          <w:sz w:val="20"/>
          <w:szCs w:val="20"/>
          <w:color w:val="auto"/>
        </w:rPr>
      </w:pPr>
      <w:r>
        <w:rPr>
          <w:rFonts w:ascii="Arial" w:cs="Arial" w:eastAsia="Arial" w:hAnsi="Arial"/>
          <w:sz w:val="18"/>
          <w:szCs w:val="18"/>
          <w:color w:val="auto"/>
        </w:rPr>
        <w:t>The decrease in Trokendi XR net product sales for the three and six months ended June 30, 2023, compared to the same period in 2022 was primarily attributable to the loss of exclusivity with generic entrants in January 2023.</w:t>
      </w:r>
    </w:p>
    <w:p>
      <w:pPr>
        <w:spacing w:after="0" w:line="14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the percentage of net product sales to total net product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rPr>
              <w:t>Percentage of Net Product Sales</w:t>
            </w:r>
          </w:p>
        </w:tc>
      </w:tr>
      <w:tr>
        <w:trPr>
          <w:trHeight w:val="133"/>
        </w:trPr>
        <w:tc>
          <w:tcPr>
            <w:tcW w:w="4540" w:type="dxa"/>
            <w:vAlign w:val="bottom"/>
          </w:tcPr>
          <w:p>
            <w:pPr>
              <w:spacing w:after="0"/>
              <w:rPr>
                <w:sz w:val="11"/>
                <w:szCs w:val="11"/>
                <w:color w:val="auto"/>
              </w:rPr>
            </w:pPr>
          </w:p>
        </w:tc>
        <w:tc>
          <w:tcPr>
            <w:tcW w:w="3300" w:type="dxa"/>
            <w:vAlign w:val="bottom"/>
            <w:gridSpan w:val="4"/>
          </w:tcPr>
          <w:p>
            <w:pPr>
              <w:jc w:val="center"/>
              <w:spacing w:after="0" w:line="133"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60" w:type="dxa"/>
            <w:vAlign w:val="bottom"/>
            <w:gridSpan w:val="3"/>
          </w:tcPr>
          <w:p>
            <w:pPr>
              <w:jc w:val="center"/>
              <w:ind w:right="959"/>
              <w:spacing w:after="0" w:line="133" w:lineRule="exact"/>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00" w:type="dxa"/>
            <w:vAlign w:val="bottom"/>
            <w:gridSpan w:val="3"/>
          </w:tcPr>
          <w:p>
            <w:pPr>
              <w:jc w:val="center"/>
              <w:ind w:right="113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60" w:type="dxa"/>
            <w:vAlign w:val="bottom"/>
            <w:gridSpan w:val="3"/>
          </w:tcPr>
          <w:p>
            <w:pPr>
              <w:jc w:val="center"/>
              <w:ind w:right="979"/>
              <w:spacing w:after="0"/>
              <w:rPr>
                <w:sz w:val="20"/>
                <w:szCs w:val="20"/>
                <w:color w:val="auto"/>
              </w:rPr>
            </w:pPr>
            <w:r>
              <w:rPr>
                <w:rFonts w:ascii="Arial" w:cs="Arial" w:eastAsia="Arial" w:hAnsi="Arial"/>
                <w:sz w:val="14"/>
                <w:szCs w:val="14"/>
                <w:b w:val="1"/>
                <w:bCs w:val="1"/>
                <w:color w:val="auto"/>
                <w:w w:val="92"/>
              </w:rPr>
              <w:t>June 30,</w:t>
            </w:r>
          </w:p>
        </w:tc>
      </w:tr>
      <w:tr>
        <w:trPr>
          <w:trHeight w:val="25"/>
        </w:trPr>
        <w:tc>
          <w:tcPr>
            <w:tcW w:w="4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1"/>
        </w:trPr>
        <w:tc>
          <w:tcPr>
            <w:tcW w:w="454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center"/>
              <w:ind w:left="294"/>
              <w:spacing w:after="0"/>
              <w:rPr>
                <w:sz w:val="20"/>
                <w:szCs w:val="20"/>
                <w:color w:val="auto"/>
              </w:rPr>
            </w:pPr>
            <w:r>
              <w:rPr>
                <w:rFonts w:ascii="Arial" w:cs="Arial" w:eastAsia="Arial" w:hAnsi="Arial"/>
                <w:sz w:val="14"/>
                <w:szCs w:val="14"/>
                <w:b w:val="1"/>
                <w:bCs w:val="1"/>
                <w:color w:val="auto"/>
                <w:w w:val="96"/>
              </w:rPr>
              <w:t>2023</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96"/>
              </w:rPr>
              <w:t>2023</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Qelbree</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4"/>
              </w:rPr>
              <w:t>24%</w:t>
            </w:r>
          </w:p>
        </w:tc>
        <w:tc>
          <w:tcPr>
            <w:tcW w:w="2100" w:type="dxa"/>
            <w:vAlign w:val="bottom"/>
            <w:gridSpan w:val="3"/>
            <w:shd w:val="clear" w:color="auto" w:fill="CCEEFF"/>
          </w:tcPr>
          <w:p>
            <w:pPr>
              <w:jc w:val="center"/>
              <w:ind w:left="413"/>
              <w:spacing w:after="0"/>
              <w:rPr>
                <w:sz w:val="20"/>
                <w:szCs w:val="20"/>
                <w:color w:val="auto"/>
              </w:rPr>
            </w:pPr>
            <w:r>
              <w:rPr>
                <w:rFonts w:ascii="Arial" w:cs="Arial" w:eastAsia="Arial" w:hAnsi="Arial"/>
                <w:sz w:val="18"/>
                <w:szCs w:val="18"/>
                <w:color w:val="auto"/>
                <w:w w:val="92"/>
              </w:rPr>
              <w:t>7%</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4"/>
              </w:rPr>
              <w:t>21%</w:t>
            </w:r>
          </w:p>
        </w:tc>
        <w:tc>
          <w:tcPr>
            <w:tcW w:w="2260" w:type="dxa"/>
            <w:vAlign w:val="bottom"/>
            <w:gridSpan w:val="3"/>
            <w:shd w:val="clear" w:color="auto" w:fill="CCEEFF"/>
          </w:tcPr>
          <w:p>
            <w:pPr>
              <w:jc w:val="center"/>
              <w:ind w:left="575"/>
              <w:spacing w:after="0"/>
              <w:rPr>
                <w:sz w:val="20"/>
                <w:szCs w:val="20"/>
                <w:color w:val="auto"/>
              </w:rPr>
            </w:pPr>
            <w:r>
              <w:rPr>
                <w:rFonts w:ascii="Arial" w:cs="Arial" w:eastAsia="Arial" w:hAnsi="Arial"/>
                <w:sz w:val="18"/>
                <w:szCs w:val="18"/>
                <w:color w:val="auto"/>
                <w:w w:val="92"/>
              </w:rPr>
              <w:t>6%</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GOCOVRI</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4"/>
              </w:rPr>
              <w:t>22%</w:t>
            </w:r>
          </w:p>
        </w:tc>
        <w:tc>
          <w:tcPr>
            <w:tcW w:w="2100" w:type="dxa"/>
            <w:vAlign w:val="bottom"/>
            <w:gridSpan w:val="3"/>
          </w:tcPr>
          <w:p>
            <w:pPr>
              <w:jc w:val="center"/>
              <w:ind w:left="393"/>
              <w:spacing w:after="0"/>
              <w:rPr>
                <w:sz w:val="20"/>
                <w:szCs w:val="20"/>
                <w:color w:val="auto"/>
              </w:rPr>
            </w:pPr>
            <w:r>
              <w:rPr>
                <w:rFonts w:ascii="Arial" w:cs="Arial" w:eastAsia="Arial" w:hAnsi="Arial"/>
                <w:sz w:val="18"/>
                <w:szCs w:val="18"/>
                <w:color w:val="auto"/>
                <w:w w:val="94"/>
              </w:rPr>
              <w:t>15%</w:t>
            </w:r>
          </w:p>
        </w:tc>
        <w:tc>
          <w:tcPr>
            <w:tcW w:w="1140" w:type="dxa"/>
            <w:vAlign w:val="bottom"/>
            <w:gridSpan w:val="2"/>
          </w:tcPr>
          <w:p>
            <w:pPr>
              <w:jc w:val="center"/>
              <w:ind w:left="550"/>
              <w:spacing w:after="0"/>
              <w:rPr>
                <w:sz w:val="20"/>
                <w:szCs w:val="20"/>
                <w:color w:val="auto"/>
              </w:rPr>
            </w:pPr>
            <w:r>
              <w:rPr>
                <w:rFonts w:ascii="Arial" w:cs="Arial" w:eastAsia="Arial" w:hAnsi="Arial"/>
                <w:sz w:val="18"/>
                <w:szCs w:val="18"/>
                <w:color w:val="auto"/>
                <w:w w:val="94"/>
              </w:rPr>
              <w:t>20%</w:t>
            </w:r>
          </w:p>
        </w:tc>
        <w:tc>
          <w:tcPr>
            <w:tcW w:w="2260" w:type="dxa"/>
            <w:vAlign w:val="bottom"/>
            <w:gridSpan w:val="3"/>
          </w:tcPr>
          <w:p>
            <w:pPr>
              <w:jc w:val="center"/>
              <w:ind w:left="575"/>
              <w:spacing w:after="0"/>
              <w:rPr>
                <w:sz w:val="20"/>
                <w:szCs w:val="20"/>
                <w:color w:val="auto"/>
              </w:rPr>
            </w:pPr>
            <w:r>
              <w:rPr>
                <w:rFonts w:ascii="Arial" w:cs="Arial" w:eastAsia="Arial" w:hAnsi="Arial"/>
                <w:sz w:val="18"/>
                <w:szCs w:val="18"/>
                <w:color w:val="auto"/>
                <w:w w:val="88"/>
              </w:rPr>
              <w:t>15%</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Oxtellar XR</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4"/>
              </w:rPr>
              <w:t>19%</w:t>
            </w:r>
          </w:p>
        </w:tc>
        <w:tc>
          <w:tcPr>
            <w:tcW w:w="2100" w:type="dxa"/>
            <w:vAlign w:val="bottom"/>
            <w:gridSpan w:val="3"/>
            <w:shd w:val="clear" w:color="auto" w:fill="CCEEFF"/>
          </w:tcPr>
          <w:p>
            <w:pPr>
              <w:jc w:val="center"/>
              <w:ind w:left="393"/>
              <w:spacing w:after="0"/>
              <w:rPr>
                <w:sz w:val="20"/>
                <w:szCs w:val="20"/>
                <w:color w:val="auto"/>
              </w:rPr>
            </w:pPr>
            <w:r>
              <w:rPr>
                <w:rFonts w:ascii="Arial" w:cs="Arial" w:eastAsia="Arial" w:hAnsi="Arial"/>
                <w:sz w:val="18"/>
                <w:szCs w:val="18"/>
                <w:color w:val="auto"/>
                <w:w w:val="94"/>
              </w:rPr>
              <w:t>18%</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4"/>
              </w:rPr>
              <w:t>20%</w:t>
            </w:r>
          </w:p>
        </w:tc>
        <w:tc>
          <w:tcPr>
            <w:tcW w:w="2260" w:type="dxa"/>
            <w:vAlign w:val="bottom"/>
            <w:gridSpan w:val="3"/>
            <w:shd w:val="clear" w:color="auto" w:fill="CCEEFF"/>
          </w:tcPr>
          <w:p>
            <w:pPr>
              <w:jc w:val="center"/>
              <w:ind w:left="575"/>
              <w:spacing w:after="0"/>
              <w:rPr>
                <w:sz w:val="20"/>
                <w:szCs w:val="20"/>
                <w:color w:val="auto"/>
              </w:rPr>
            </w:pPr>
            <w:r>
              <w:rPr>
                <w:rFonts w:ascii="Arial" w:cs="Arial" w:eastAsia="Arial" w:hAnsi="Arial"/>
                <w:sz w:val="18"/>
                <w:szCs w:val="18"/>
                <w:color w:val="auto"/>
                <w:w w:val="88"/>
              </w:rPr>
              <w:t>18%</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Trokendi XR</w:t>
            </w:r>
          </w:p>
        </w:tc>
        <w:tc>
          <w:tcPr>
            <w:tcW w:w="1200" w:type="dxa"/>
            <w:vAlign w:val="bottom"/>
          </w:tcPr>
          <w:p>
            <w:pPr>
              <w:jc w:val="center"/>
              <w:ind w:left="294"/>
              <w:spacing w:after="0"/>
              <w:rPr>
                <w:sz w:val="20"/>
                <w:szCs w:val="20"/>
                <w:color w:val="auto"/>
              </w:rPr>
            </w:pPr>
            <w:r>
              <w:rPr>
                <w:rFonts w:ascii="Arial" w:cs="Arial" w:eastAsia="Arial" w:hAnsi="Arial"/>
                <w:sz w:val="18"/>
                <w:szCs w:val="18"/>
                <w:color w:val="auto"/>
                <w:w w:val="94"/>
              </w:rPr>
              <w:t>15%</w:t>
            </w:r>
          </w:p>
        </w:tc>
        <w:tc>
          <w:tcPr>
            <w:tcW w:w="2100" w:type="dxa"/>
            <w:vAlign w:val="bottom"/>
            <w:gridSpan w:val="3"/>
          </w:tcPr>
          <w:p>
            <w:pPr>
              <w:jc w:val="center"/>
              <w:ind w:left="393"/>
              <w:spacing w:after="0"/>
              <w:rPr>
                <w:sz w:val="20"/>
                <w:szCs w:val="20"/>
                <w:color w:val="auto"/>
              </w:rPr>
            </w:pPr>
            <w:r>
              <w:rPr>
                <w:rFonts w:ascii="Arial" w:cs="Arial" w:eastAsia="Arial" w:hAnsi="Arial"/>
                <w:sz w:val="18"/>
                <w:szCs w:val="18"/>
                <w:color w:val="auto"/>
                <w:w w:val="94"/>
              </w:rPr>
              <w:t>43%</w:t>
            </w:r>
          </w:p>
        </w:tc>
        <w:tc>
          <w:tcPr>
            <w:tcW w:w="1140" w:type="dxa"/>
            <w:vAlign w:val="bottom"/>
            <w:gridSpan w:val="2"/>
          </w:tcPr>
          <w:p>
            <w:pPr>
              <w:jc w:val="center"/>
              <w:ind w:left="550"/>
              <w:spacing w:after="0"/>
              <w:rPr>
                <w:sz w:val="20"/>
                <w:szCs w:val="20"/>
                <w:color w:val="auto"/>
              </w:rPr>
            </w:pPr>
            <w:r>
              <w:rPr>
                <w:rFonts w:ascii="Arial" w:cs="Arial" w:eastAsia="Arial" w:hAnsi="Arial"/>
                <w:sz w:val="18"/>
                <w:szCs w:val="18"/>
                <w:color w:val="auto"/>
                <w:w w:val="94"/>
              </w:rPr>
              <w:t>20%</w:t>
            </w:r>
          </w:p>
        </w:tc>
        <w:tc>
          <w:tcPr>
            <w:tcW w:w="2260" w:type="dxa"/>
            <w:vAlign w:val="bottom"/>
            <w:gridSpan w:val="3"/>
          </w:tcPr>
          <w:p>
            <w:pPr>
              <w:jc w:val="center"/>
              <w:ind w:left="575"/>
              <w:spacing w:after="0"/>
              <w:rPr>
                <w:sz w:val="20"/>
                <w:szCs w:val="20"/>
                <w:color w:val="auto"/>
              </w:rPr>
            </w:pPr>
            <w:r>
              <w:rPr>
                <w:rFonts w:ascii="Arial" w:cs="Arial" w:eastAsia="Arial" w:hAnsi="Arial"/>
                <w:sz w:val="18"/>
                <w:szCs w:val="18"/>
                <w:color w:val="auto"/>
                <w:w w:val="88"/>
              </w:rPr>
              <w:t>43%</w:t>
            </w:r>
          </w:p>
        </w:tc>
      </w:tr>
      <w:tr>
        <w:trPr>
          <w:trHeight w:val="23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APOKYN</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4"/>
              </w:rPr>
              <w:t>14%</w:t>
            </w:r>
          </w:p>
        </w:tc>
        <w:tc>
          <w:tcPr>
            <w:tcW w:w="2100" w:type="dxa"/>
            <w:vAlign w:val="bottom"/>
            <w:gridSpan w:val="3"/>
            <w:shd w:val="clear" w:color="auto" w:fill="CCEEFF"/>
          </w:tcPr>
          <w:p>
            <w:pPr>
              <w:jc w:val="center"/>
              <w:ind w:left="393"/>
              <w:spacing w:after="0"/>
              <w:rPr>
                <w:sz w:val="20"/>
                <w:szCs w:val="20"/>
                <w:color w:val="auto"/>
              </w:rPr>
            </w:pPr>
            <w:r>
              <w:rPr>
                <w:rFonts w:ascii="Arial" w:cs="Arial" w:eastAsia="Arial" w:hAnsi="Arial"/>
                <w:sz w:val="18"/>
                <w:szCs w:val="18"/>
                <w:color w:val="auto"/>
                <w:w w:val="94"/>
              </w:rPr>
              <w:t>12%</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4"/>
              </w:rPr>
              <w:t>13%</w:t>
            </w:r>
          </w:p>
        </w:tc>
        <w:tc>
          <w:tcPr>
            <w:tcW w:w="2260" w:type="dxa"/>
            <w:vAlign w:val="bottom"/>
            <w:gridSpan w:val="3"/>
            <w:shd w:val="clear" w:color="auto" w:fill="CCEEFF"/>
          </w:tcPr>
          <w:p>
            <w:pPr>
              <w:jc w:val="center"/>
              <w:ind w:left="575"/>
              <w:spacing w:after="0"/>
              <w:rPr>
                <w:sz w:val="20"/>
                <w:szCs w:val="20"/>
                <w:color w:val="auto"/>
              </w:rPr>
            </w:pPr>
            <w:r>
              <w:rPr>
                <w:rFonts w:ascii="Arial" w:cs="Arial" w:eastAsia="Arial" w:hAnsi="Arial"/>
                <w:sz w:val="18"/>
                <w:szCs w:val="18"/>
                <w:color w:val="auto"/>
                <w:w w:val="88"/>
              </w:rPr>
              <w:t>12%</w:t>
            </w:r>
          </w:p>
        </w:tc>
      </w:tr>
      <w:tr>
        <w:trPr>
          <w:trHeight w:val="229"/>
        </w:trPr>
        <w:tc>
          <w:tcPr>
            <w:tcW w:w="4540" w:type="dxa"/>
            <w:vAlign w:val="bottom"/>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200" w:type="dxa"/>
            <w:vAlign w:val="bottom"/>
            <w:tcBorders>
              <w:bottom w:val="single" w:sz="8" w:color="auto"/>
            </w:tcBorders>
          </w:tcPr>
          <w:p>
            <w:pPr>
              <w:jc w:val="center"/>
              <w:ind w:left="274"/>
              <w:spacing w:after="0"/>
              <w:rPr>
                <w:sz w:val="20"/>
                <w:szCs w:val="20"/>
                <w:color w:val="auto"/>
              </w:rPr>
            </w:pPr>
            <w:r>
              <w:rPr>
                <w:rFonts w:ascii="Arial" w:cs="Arial" w:eastAsia="Arial" w:hAnsi="Arial"/>
                <w:sz w:val="18"/>
                <w:szCs w:val="18"/>
                <w:color w:val="auto"/>
                <w:w w:val="92"/>
              </w:rPr>
              <w:t>6%</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center"/>
              <w:ind w:left="479"/>
              <w:spacing w:after="0"/>
              <w:rPr>
                <w:sz w:val="20"/>
                <w:szCs w:val="20"/>
                <w:color w:val="auto"/>
              </w:rPr>
            </w:pPr>
            <w:r>
              <w:rPr>
                <w:rFonts w:ascii="Arial" w:cs="Arial" w:eastAsia="Arial" w:hAnsi="Arial"/>
                <w:sz w:val="18"/>
                <w:szCs w:val="18"/>
                <w:color w:val="auto"/>
                <w:w w:val="92"/>
              </w:rPr>
              <w:t>6%</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1"/>
              </w:rPr>
              <w:t>100%</w:t>
            </w:r>
          </w:p>
        </w:tc>
        <w:tc>
          <w:tcPr>
            <w:tcW w:w="2100" w:type="dxa"/>
            <w:vAlign w:val="bottom"/>
            <w:gridSpan w:val="3"/>
            <w:shd w:val="clear" w:color="auto" w:fill="CCEEFF"/>
          </w:tcPr>
          <w:p>
            <w:pPr>
              <w:jc w:val="center"/>
              <w:ind w:left="393"/>
              <w:spacing w:after="0"/>
              <w:rPr>
                <w:sz w:val="20"/>
                <w:szCs w:val="20"/>
                <w:color w:val="auto"/>
              </w:rPr>
            </w:pPr>
            <w:r>
              <w:rPr>
                <w:rFonts w:ascii="Arial" w:cs="Arial" w:eastAsia="Arial" w:hAnsi="Arial"/>
                <w:sz w:val="18"/>
                <w:szCs w:val="18"/>
                <w:color w:val="auto"/>
                <w:w w:val="91"/>
              </w:rPr>
              <w:t>100%</w:t>
            </w:r>
          </w:p>
        </w:tc>
        <w:tc>
          <w:tcPr>
            <w:tcW w:w="114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1"/>
              </w:rPr>
              <w:t>100%</w:t>
            </w:r>
          </w:p>
        </w:tc>
        <w:tc>
          <w:tcPr>
            <w:tcW w:w="2260" w:type="dxa"/>
            <w:vAlign w:val="bottom"/>
            <w:gridSpan w:val="3"/>
            <w:shd w:val="clear" w:color="auto" w:fill="CCEEFF"/>
          </w:tcPr>
          <w:p>
            <w:pPr>
              <w:jc w:val="center"/>
              <w:ind w:left="555"/>
              <w:spacing w:after="0"/>
              <w:rPr>
                <w:sz w:val="20"/>
                <w:szCs w:val="20"/>
                <w:color w:val="auto"/>
              </w:rPr>
            </w:pPr>
            <w:r>
              <w:rPr>
                <w:rFonts w:ascii="Arial" w:cs="Arial" w:eastAsia="Arial" w:hAnsi="Arial"/>
                <w:sz w:val="18"/>
                <w:szCs w:val="18"/>
                <w:color w:val="auto"/>
                <w:w w:val="91"/>
              </w:rPr>
              <w:t>100%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tabs>
          <w:tab w:leader="none" w:pos="340"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Includes net product sales of MYOBLOC, XADAGO and Osmolex ER.</w:t>
      </w:r>
    </w:p>
    <w:p>
      <w:pPr>
        <w:spacing w:after="0" w:line="1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Each of our three major customers, AmerisourceBergen Drug Corporation, Cardinal Health, Inc. and McKesson Corporation, individually accounted for more than 20% of our total net product sales and collectively accounted for more than 75% of our total net product sales for the three and six months ended June 30, 2023 and 2022.</w:t>
      </w:r>
    </w:p>
    <w:p>
      <w:pPr>
        <w:spacing w:after="0" w:line="143"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 xml:space="preserve">The Company recognized noncash royalty revenue of $1.7 million and $4.0 million for the three and six months ended June 30, 2023, respectively. The Company recognized noncash royalty revenue of $2.5 million and $4.7 million for the three and six months ended June 30, 2022, respectively. Refer to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ind w:right="31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December 31, 2022</w:t>
            </w:r>
          </w:p>
        </w:tc>
      </w:tr>
      <w:tr>
        <w:trPr>
          <w:trHeight w:val="26"/>
        </w:trPr>
        <w:tc>
          <w:tcPr>
            <w:tcW w:w="7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1"/>
        </w:trPr>
        <w:tc>
          <w:tcPr>
            <w:tcW w:w="7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37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U.S. government agency and municipal debt securities</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29"/>
        </w:trPr>
        <w:tc>
          <w:tcPr>
            <w:tcW w:w="7880" w:type="dxa"/>
            <w:vAlign w:val="bottom"/>
          </w:tcPr>
          <w:p>
            <w:pPr>
              <w:ind w:left="140"/>
              <w:spacing w:after="0"/>
              <w:rPr>
                <w:sz w:val="20"/>
                <w:szCs w:val="20"/>
                <w:color w:val="auto"/>
              </w:rPr>
            </w:pPr>
            <w:r>
              <w:rPr>
                <w:rFonts w:ascii="Arial" w:cs="Arial" w:eastAsia="Arial" w:hAnsi="Arial"/>
                <w:sz w:val="18"/>
                <w:szCs w:val="18"/>
                <w:color w:val="auto"/>
              </w:rPr>
              <w:t>Amortized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166,737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466,333</w:t>
            </w:r>
          </w:p>
        </w:tc>
      </w:tr>
      <w:tr>
        <w:trPr>
          <w:trHeight w:val="230"/>
        </w:trPr>
        <w:tc>
          <w:tcPr>
            <w:tcW w:w="7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Gross unrealized losses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r>
      <w:tr>
        <w:trPr>
          <w:trHeight w:val="25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462,110</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than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year to 2 years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2023, there was no impairment due to credit loss on any available-for-sale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Navitor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Agreement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center"/>
        <w:ind w:right="31"/>
        <w:spacing w:after="0"/>
        <w:rPr>
          <w:sz w:val="20"/>
          <w:szCs w:val="20"/>
          <w:color w:val="auto"/>
        </w:rPr>
      </w:pPr>
      <w:r>
        <w:rPr>
          <w:rFonts w:ascii="Arial" w:cs="Arial" w:eastAsia="Arial" w:hAnsi="Arial"/>
          <w:sz w:val="14"/>
          <w:szCs w:val="14"/>
          <w:b w:val="1"/>
          <w:bCs w:val="1"/>
          <w:color w:val="auto"/>
        </w:rPr>
        <w:t>June 30,</w:t>
      </w:r>
    </w:p>
    <w:p>
      <w:pPr>
        <w:spacing w:after="0" w:line="4" w:lineRule="exact"/>
        <w:rPr>
          <w:sz w:val="20"/>
          <w:szCs w:val="20"/>
          <w:color w:val="auto"/>
        </w:rPr>
      </w:pPr>
    </w:p>
    <w:p>
      <w:pPr>
        <w:jc w:val="center"/>
        <w:ind w:right="31"/>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wp:posOffset>
            </wp:positionV>
            <wp:extent cx="1028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6" w:lineRule="exact"/>
        <w:rPr>
          <w:sz w:val="20"/>
          <w:szCs w:val="20"/>
          <w:color w:val="auto"/>
        </w:rPr>
      </w:pPr>
    </w:p>
    <w:p>
      <w:pPr>
        <w:ind w:left="429"/>
        <w:spacing w:after="0"/>
        <w:rPr>
          <w:sz w:val="20"/>
          <w:szCs w:val="20"/>
          <w:color w:val="auto"/>
        </w:rPr>
      </w:pPr>
      <w:r>
        <w:rPr>
          <w:rFonts w:ascii="Arial" w:cs="Arial" w:eastAsia="Arial" w:hAnsi="Arial"/>
          <w:sz w:val="14"/>
          <w:szCs w:val="14"/>
          <w:b w:val="1"/>
          <w:bCs w:val="1"/>
          <w:color w:val="auto"/>
        </w:rPr>
        <w:t>(unaudited)</w:t>
      </w:r>
    </w:p>
    <w:p>
      <w:pPr>
        <w:spacing w:after="0" w:line="50" w:lineRule="exact"/>
        <w:rPr>
          <w:sz w:val="20"/>
          <w:szCs w:val="20"/>
          <w:color w:val="auto"/>
        </w:rPr>
      </w:pPr>
    </w:p>
    <w:p>
      <w:pPr>
        <w:ind w:left="949" w:hanging="949"/>
        <w:spacing w:after="0"/>
        <w:tabs>
          <w:tab w:leader="none" w:pos="949" w:val="left"/>
        </w:tabs>
        <w:numPr>
          <w:ilvl w:val="0"/>
          <w:numId w:val="7"/>
        </w:numPr>
        <w:rPr>
          <w:rFonts w:ascii="Arial" w:cs="Arial" w:eastAsia="Arial" w:hAnsi="Arial"/>
          <w:sz w:val="16"/>
          <w:szCs w:val="16"/>
          <w:color w:val="auto"/>
        </w:rPr>
      </w:pPr>
      <w:r>
        <w:rPr>
          <w:rFonts w:ascii="Arial" w:cs="Arial" w:eastAsia="Arial" w:hAnsi="Arial"/>
          <w:sz w:val="16"/>
          <w:szCs w:val="16"/>
          <w:color w:val="auto"/>
        </w:rPr>
        <w:t>126,950</w:t>
      </w:r>
    </w:p>
    <w:p>
      <w:pPr>
        <w:spacing w:after="0" w:line="46" w:lineRule="exact"/>
        <w:rPr>
          <w:rFonts w:ascii="Arial" w:cs="Arial" w:eastAsia="Arial" w:hAnsi="Arial"/>
          <w:sz w:val="16"/>
          <w:szCs w:val="16"/>
          <w:color w:val="auto"/>
        </w:rPr>
      </w:pPr>
    </w:p>
    <w:p>
      <w:pPr>
        <w:ind w:left="1049"/>
        <w:spacing w:after="0"/>
        <w:rPr>
          <w:rFonts w:ascii="Arial" w:cs="Arial" w:eastAsia="Arial" w:hAnsi="Arial"/>
          <w:sz w:val="16"/>
          <w:szCs w:val="16"/>
          <w:color w:val="auto"/>
        </w:rPr>
      </w:pPr>
      <w:r>
        <w:rPr>
          <w:rFonts w:ascii="Arial" w:cs="Arial" w:eastAsia="Arial" w:hAnsi="Arial"/>
          <w:sz w:val="15"/>
          <w:szCs w:val="15"/>
          <w:color w:val="auto"/>
        </w:rPr>
        <w:t>37,478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36195</wp:posOffset>
            </wp:positionV>
            <wp:extent cx="1028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50" w:lineRule="exact"/>
        <w:rPr>
          <w:sz w:val="20"/>
          <w:szCs w:val="20"/>
          <w:color w:val="auto"/>
        </w:rPr>
      </w:pPr>
    </w:p>
    <w:p>
      <w:pPr>
        <w:ind w:left="949" w:hanging="949"/>
        <w:spacing w:after="0"/>
        <w:tabs>
          <w:tab w:leader="none" w:pos="949" w:val="left"/>
        </w:tabs>
        <w:numPr>
          <w:ilvl w:val="0"/>
          <w:numId w:val="8"/>
        </w:numPr>
        <w:rPr>
          <w:rFonts w:ascii="Arial" w:cs="Arial" w:eastAsia="Arial" w:hAnsi="Arial"/>
          <w:sz w:val="16"/>
          <w:szCs w:val="16"/>
          <w:color w:val="auto"/>
        </w:rPr>
      </w:pPr>
      <w:r>
        <w:rPr>
          <w:rFonts w:ascii="Arial" w:cs="Arial" w:eastAsia="Arial" w:hAnsi="Arial"/>
          <w:sz w:val="16"/>
          <w:szCs w:val="16"/>
          <w:color w:val="auto"/>
        </w:rPr>
        <w:t>164,428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1028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544" w:lineRule="exact"/>
        <w:rPr>
          <w:sz w:val="20"/>
          <w:szCs w:val="20"/>
          <w:color w:val="auto"/>
        </w:rPr>
      </w:pPr>
    </w:p>
    <w:p>
      <w:pPr>
        <w:sectPr>
          <w:pgSz w:w="11900" w:h="16838" w:orient="portrait"/>
          <w:cols w:equalWidth="0" w:num="2">
            <w:col w:w="8911" w:space="720"/>
            <w:col w:w="1609"/>
          </w:cols>
          <w:pgMar w:left="320" w:top="125" w:right="339" w:bottom="1440" w:gutter="0" w:footer="0" w:header="0"/>
          <w:type w:val="continuous"/>
        </w:sectPr>
      </w:pPr>
    </w:p>
    <w:p>
      <w:pPr>
        <w:ind w:right="100" w:firstLine="648"/>
        <w:spacing w:after="0" w:line="254" w:lineRule="auto"/>
        <w:rPr>
          <w:sz w:val="20"/>
          <w:szCs w:val="20"/>
          <w:color w:val="auto"/>
        </w:rPr>
      </w:pPr>
      <w:r>
        <w:rPr>
          <w:rFonts w:ascii="Arial" w:cs="Arial" w:eastAsia="Arial" w:hAnsi="Arial"/>
          <w:sz w:val="18"/>
          <w:szCs w:val="18"/>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In addition to entering into the Development Agreement in April 2020, the Company acquired Series D Preferred Shares of Navitor Inc. for $15 million, representing an approximately 13% ownership position in Navitor Inc.</w:t>
      </w:r>
    </w:p>
    <w:p>
      <w:pPr>
        <w:spacing w:after="0" w:line="130"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spacing w:after="0" w:line="16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had determined that Navitor LLC is a VIE. The Company does not consolidate this VIE because the Company lacks the power to direct the activities that most significantly impact Navitor’s economic performance.</w:t>
      </w:r>
    </w:p>
    <w:p>
      <w:pPr>
        <w:spacing w:after="0" w:line="13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the unaudited condensed consolidated balance sheets, was expensed and recorded in </w:t>
      </w:r>
      <w:r>
        <w:rPr>
          <w:rFonts w:ascii="Arial" w:cs="Arial" w:eastAsia="Arial" w:hAnsi="Arial"/>
          <w:sz w:val="16"/>
          <w:szCs w:val="16"/>
          <w:i w:val="1"/>
          <w:iCs w:val="1"/>
          <w:color w:val="auto"/>
        </w:rPr>
        <w:t>Research and development expense.</w:t>
      </w:r>
    </w:p>
    <w:p>
      <w:pPr>
        <w:spacing w:after="0" w:line="13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 xml:space="preserve">$12.9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in the consolidated balance sheets as of December 31, 2021. In the first quarter of 2022, the Company determined its estimated share of Navitor LLC's year-end 2021 earnings and recorded a gain of $12.9 million in </w:t>
      </w: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xml:space="preserve"> in the unaudited condensed consolidated statement of earnings.</w:t>
      </w:r>
    </w:p>
    <w:p>
      <w:pPr>
        <w:spacing w:after="0" w:line="12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maximum exposure to losses related to Navitor LLC is a maximum of approximately $50 million in expense for Phase I and Phase II development of NV-5138 (SPN-820), and the cost of other development and formulation activities provided by the Company.</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Subsequent to the Development Agreement entered into in 2020, no additional equity investment has been made or financing has been provided to Navitor LLC.</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of Financial Measurements</w:t>
      </w:r>
    </w:p>
    <w:p>
      <w:pPr>
        <w:spacing w:after="0" w:line="18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14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that are accessible at measurement date for identical assets.</w:t>
      </w:r>
    </w:p>
    <w:p>
      <w:pPr>
        <w:spacing w:after="0" w:line="196" w:lineRule="exact"/>
        <w:rPr>
          <w:rFonts w:ascii="Arial" w:cs="Arial" w:eastAsia="Arial" w:hAnsi="Arial"/>
          <w:sz w:val="17"/>
          <w:szCs w:val="17"/>
          <w:color w:val="auto"/>
        </w:rPr>
      </w:pPr>
    </w:p>
    <w:p>
      <w:pPr>
        <w:ind w:left="980" w:right="2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43" w:lineRule="exact"/>
        <w:rPr>
          <w:rFonts w:ascii="Arial" w:cs="Arial" w:eastAsia="Arial" w:hAnsi="Arial"/>
          <w:sz w:val="18"/>
          <w:szCs w:val="18"/>
          <w:color w:val="auto"/>
        </w:rPr>
      </w:pPr>
    </w:p>
    <w:p>
      <w:pPr>
        <w:ind w:left="980" w:right="3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4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There have been no transfers of assets or liabilities into or out of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and Liabilities Recorded at Fair Value</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272"/>
              <w:spacing w:after="0"/>
              <w:rPr>
                <w:sz w:val="20"/>
                <w:szCs w:val="20"/>
                <w:color w:val="auto"/>
              </w:rPr>
            </w:pPr>
            <w:r>
              <w:rPr>
                <w:rFonts w:ascii="Arial" w:cs="Arial" w:eastAsia="Arial" w:hAnsi="Arial"/>
                <w:sz w:val="14"/>
                <w:szCs w:val="14"/>
                <w:b w:val="1"/>
                <w:bCs w:val="1"/>
                <w:color w:val="auto"/>
                <w:w w:val="93"/>
              </w:rPr>
              <w:t>Fair Value Measurements as of June 30, 2023 (unaudited)</w:t>
            </w: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82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w w:val="99"/>
              </w:rPr>
              <w:t>Total Fair Value as of June</w:t>
            </w:r>
          </w:p>
        </w:tc>
        <w:tc>
          <w:tcPr>
            <w:tcW w:w="360" w:type="dxa"/>
            <w:vAlign w:val="bottom"/>
          </w:tcPr>
          <w:p>
            <w:pPr>
              <w:spacing w:after="0"/>
              <w:rPr>
                <w:sz w:val="12"/>
                <w:szCs w:val="12"/>
                <w:color w:val="auto"/>
              </w:rPr>
            </w:pPr>
          </w:p>
        </w:tc>
        <w:tc>
          <w:tcPr>
            <w:tcW w:w="13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restart"/>
          </w:tcPr>
          <w:p>
            <w:pPr>
              <w:jc w:val="center"/>
              <w:ind w:right="312"/>
              <w:spacing w:after="0"/>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30, 2023 (unaudited)</w:t>
            </w:r>
          </w:p>
        </w:tc>
        <w:tc>
          <w:tcPr>
            <w:tcW w:w="3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Money market securities and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126,950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126,950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37,478</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164,954</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654"/>
              <w:spacing w:after="0"/>
              <w:rPr>
                <w:sz w:val="20"/>
                <w:szCs w:val="20"/>
                <w:color w:val="auto"/>
              </w:rPr>
            </w:pPr>
            <w:r>
              <w:rPr>
                <w:rFonts w:ascii="Arial" w:cs="Arial" w:eastAsia="Arial" w:hAnsi="Arial"/>
                <w:sz w:val="14"/>
                <w:szCs w:val="14"/>
                <w:b w:val="1"/>
                <w:bCs w:val="1"/>
                <w:color w:val="auto"/>
                <w:w w:val="92"/>
              </w:rPr>
              <w:t>Fair Value Measurements as of December 31, 2022</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Total Fair Value as of</w:t>
            </w:r>
          </w:p>
        </w:tc>
        <w:tc>
          <w:tcPr>
            <w:tcW w:w="360" w:type="dxa"/>
            <w:vAlign w:val="bottom"/>
          </w:tcPr>
          <w:p>
            <w:pPr>
              <w:spacing w:after="0"/>
              <w:rPr>
                <w:sz w:val="12"/>
                <w:szCs w:val="12"/>
                <w:color w:val="auto"/>
              </w:rPr>
            </w:pPr>
          </w:p>
        </w:tc>
        <w:tc>
          <w:tcPr>
            <w:tcW w:w="13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vMerge w:val="restart"/>
          </w:tcPr>
          <w:p>
            <w:pPr>
              <w:jc w:val="center"/>
              <w:ind w:right="312"/>
              <w:spacing w:after="0"/>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0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2022</w:t>
            </w:r>
          </w:p>
        </w:tc>
        <w:tc>
          <w:tcPr>
            <w:tcW w:w="3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Money market securities and funds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368,214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marketable securities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Arial" w:cs="Arial" w:eastAsia="Arial" w:hAnsi="Arial"/>
                <w:sz w:val="18"/>
                <w:szCs w:val="18"/>
                <w:color w:val="auto"/>
              </w:rPr>
              <w:t>Corporate and municipal debt securities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93,896</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462,595</w:t>
            </w:r>
          </w:p>
        </w:tc>
        <w:tc>
          <w:tcPr>
            <w:tcW w:w="7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32"/>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18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 Recorded at Carrying Value</w:t>
      </w:r>
    </w:p>
    <w:p>
      <w:pPr>
        <w:spacing w:after="0" w:line="19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April 1, 2023, the Company paid the total principal amount due of $402.5 million under the 2023 Notes and the outstanding interest due of $1.3 million.</w:t>
      </w:r>
    </w:p>
    <w:p>
      <w:pPr>
        <w:spacing w:after="0" w:line="13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As of December 31, 2022, the carrying value and fair value of the 2023 Notes which were not carried at fair value was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5"/>
              </w:rPr>
              <w:t>Fair Value (Level 2)</w:t>
            </w:r>
          </w:p>
        </w:tc>
      </w:tr>
      <w:tr>
        <w:trPr>
          <w:trHeight w:val="203"/>
        </w:trPr>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401,968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395,959</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has been estimated based on actual trading information, and quoted prices, both provided by bond traders.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Contingent Consideration</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The Company's contingent consideration liabilities are related to the USWM Acquisition in 2020 and the Adamas Acquisition in 2021 (each acquisition as defined below).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condensed consolidated statement of earnings (loss) in </w:t>
      </w:r>
      <w:r>
        <w:rPr>
          <w:rFonts w:ascii="Arial" w:cs="Arial" w:eastAsia="Arial" w:hAnsi="Arial"/>
          <w:sz w:val="17"/>
          <w:szCs w:val="17"/>
          <w:i w:val="1"/>
          <w:iCs w:val="1"/>
          <w:color w:val="auto"/>
        </w:rPr>
        <w:t>Contingent consideration (gain) expense</w:t>
      </w:r>
      <w:r>
        <w:rPr>
          <w:rFonts w:ascii="Arial" w:cs="Arial" w:eastAsia="Arial" w:hAnsi="Arial"/>
          <w:sz w:val="17"/>
          <w:szCs w:val="17"/>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Contingent Consideration</w:t>
      </w:r>
    </w:p>
    <w:p>
      <w:pPr>
        <w:spacing w:after="0" w:line="18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June 30, 2023, the potential contingent consideration payments are up to $85 million, which is comprised of the potential $55 million in regulatory and development milestones and $30 million in sales-based milestones.</w:t>
      </w:r>
    </w:p>
    <w:p>
      <w:pPr>
        <w:spacing w:after="0" w:line="1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and development milestones:</w:t>
      </w:r>
    </w:p>
    <w:p>
      <w:pPr>
        <w:spacing w:after="0" w:line="198"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potential $55 million in regulatory and development milestones is comprised of (1) $25 million related to the FDA's approval of the SPN-830 NDA and (2) $30 million related to the subsequent commercial product launch.</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Sales-based milestones:</w:t>
      </w:r>
    </w:p>
    <w:p>
      <w:pPr>
        <w:spacing w:after="0" w:line="184" w:lineRule="exact"/>
        <w:rPr>
          <w:rFonts w:ascii="Arial" w:cs="Arial" w:eastAsia="Arial" w:hAnsi="Arial"/>
          <w:sz w:val="18"/>
          <w:szCs w:val="18"/>
          <w:color w:val="auto"/>
        </w:rPr>
      </w:pPr>
    </w:p>
    <w:p>
      <w:pPr>
        <w:ind w:left="660" w:right="220"/>
        <w:spacing w:after="0" w:line="263" w:lineRule="auto"/>
        <w:rPr>
          <w:rFonts w:ascii="Arial" w:cs="Arial" w:eastAsia="Arial" w:hAnsi="Arial"/>
          <w:sz w:val="18"/>
          <w:szCs w:val="18"/>
          <w:color w:val="auto"/>
        </w:rPr>
      </w:pPr>
      <w:r>
        <w:rPr>
          <w:rFonts w:ascii="Arial" w:cs="Arial" w:eastAsia="Arial" w:hAnsi="Arial"/>
          <w:sz w:val="18"/>
          <w:szCs w:val="18"/>
          <w:color w:val="auto"/>
        </w:rPr>
        <w:t>The potential $30 million sales-based milestone relates to the achievement of certain net product sales of the acquired USWM products in 2023. As of June 30, 2023, the Company assessed that this remaining $30 million sales-based milestone will not be achieved based on net sales projections.</w:t>
      </w:r>
    </w:p>
    <w:p>
      <w:pPr>
        <w:spacing w:after="0" w:line="157"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 key assumptions considered in estimating the fair value include the estimated probability and timing of milestone achievement, such as the probability and timing of obtaining regulatory approval, discount rate, and the estimated amount and timing of projected revenues from the acquired USWM products.</w:t>
      </w:r>
    </w:p>
    <w:p>
      <w:pPr>
        <w:spacing w:after="0" w:line="14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recorded a $0.7 million expense and a $1.1 million gain due to the change in the fair value of the contingent consideration liabilities for the USWM milestones for the three and six months ended June 30, 2023. The change in the fair value of contingent consideration for USWM milestones was primarily driven by the change in estimated fair value of regulatory and developmental milestones due to passage of time in both periods, as well as the change in timing of milestone achievement and estimated discount rate in the first quarter of 2023.</w:t>
      </w:r>
    </w:p>
    <w:p>
      <w:pPr>
        <w:spacing w:after="0" w:line="13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recorded a $0.3 million expense and a $2.1 million expense due to the change in the fair value of the contingent consideration liabilities for the USWM milestones for the three and six months ended June 30, 2022. The change in the fair value was primarily driven by the increase in estimated fair value of regulatory and developmental milestones due to passage of time and the accretion to the payout amount related to the milestone achieved in the first quarter of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Contingent Consideration</w:t>
      </w:r>
    </w:p>
    <w:p>
      <w:pPr>
        <w:spacing w:after="0" w:line="19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spacing w:after="0" w:line="14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key assumptions considered in estimating the fair value of the Adamas sales-based milestones include the estimated revenue projections, volatility, estimated discount rates and risk-free interest rate.</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recorded a $0.1 million expense and a $0.2 million expense due to the change in fair value of the contingent consideration liabilities for the CVRs for the three and six months ended June 30, 2023. The change in fair value of contingent consideration for the sales-based Adamas milestones was primarily due to passage of time and estimated discount rate.</w:t>
      </w:r>
    </w:p>
    <w:p>
      <w:pPr>
        <w:spacing w:after="0" w:line="143"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The Company recorded a $0.4 million expense and a $0.7 million gain due to the change in fair value of the contingent consideration liabilities for the CVRs for the three and six months ended June 30, 2022. The change in fair value was primarily due to changes in market data and the passage of time.</w:t>
      </w:r>
    </w:p>
    <w:p>
      <w:pPr>
        <w:spacing w:after="0" w:line="83" w:lineRule="exact"/>
        <w:rPr>
          <w:sz w:val="20"/>
          <w:szCs w:val="20"/>
          <w:color w:val="auto"/>
        </w:rPr>
      </w:pPr>
    </w:p>
    <w:p>
      <w:pPr>
        <w:ind w:right="680" w:firstLine="648"/>
        <w:spacing w:after="0" w:line="269" w:lineRule="auto"/>
        <w:rPr>
          <w:sz w:val="20"/>
          <w:szCs w:val="20"/>
          <w:color w:val="auto"/>
        </w:rPr>
      </w:pPr>
      <w:r>
        <w:rPr>
          <w:rFonts w:ascii="Arial" w:cs="Arial" w:eastAsia="Arial" w:hAnsi="Arial"/>
          <w:sz w:val="18"/>
          <w:szCs w:val="18"/>
          <w:color w:val="auto"/>
        </w:rPr>
        <w:t>The following tables provide a reconciliation of the beginning and ending balances related to the contingent consideration for the USWM Acquisition and Adamas Acquisition (dollars in thousands):</w:t>
      </w: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USWM Acquisition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Adamas Acquisition</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r>
      <w:tr>
        <w:trPr>
          <w:trHeight w:val="25"/>
        </w:trPr>
        <w:tc>
          <w:tcPr>
            <w:tcW w:w="6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46,270</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r>
      <w:tr>
        <w:trPr>
          <w:trHeight w:val="237"/>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r>
      <w:tr>
        <w:trPr>
          <w:trHeight w:val="25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 (unaudited)</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8"/>
        </w:trPr>
        <w:tc>
          <w:tcPr>
            <w:tcW w:w="6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134"/>
              <w:spacing w:after="0"/>
              <w:rPr>
                <w:sz w:val="20"/>
                <w:szCs w:val="20"/>
                <w:color w:val="auto"/>
              </w:rPr>
            </w:pPr>
            <w:r>
              <w:rPr>
                <w:rFonts w:ascii="Arial" w:cs="Arial" w:eastAsia="Arial" w:hAnsi="Arial"/>
                <w:sz w:val="14"/>
                <w:szCs w:val="14"/>
                <w:b w:val="1"/>
                <w:bCs w:val="1"/>
                <w:color w:val="auto"/>
                <w:w w:val="97"/>
              </w:rPr>
              <w:t>USWM Acquisition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Adamas Acquisition</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574"/>
              <w:spacing w:after="0"/>
              <w:rPr>
                <w:sz w:val="20"/>
                <w:szCs w:val="20"/>
                <w:color w:val="auto"/>
              </w:rPr>
            </w:pPr>
            <w:r>
              <w:rPr>
                <w:rFonts w:ascii="Arial" w:cs="Arial" w:eastAsia="Arial" w:hAnsi="Arial"/>
                <w:sz w:val="14"/>
                <w:szCs w:val="14"/>
                <w:b w:val="1"/>
                <w:bCs w:val="1"/>
                <w:color w:val="auto"/>
              </w:rPr>
              <w:t>Total</w:t>
            </w:r>
          </w:p>
        </w:tc>
      </w:tr>
      <w:tr>
        <w:trPr>
          <w:trHeight w:val="25"/>
        </w:trPr>
        <w:tc>
          <w:tcPr>
            <w:tcW w:w="6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70,170</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Milestone payments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4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June 30, 2022 (unaudited)</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47,240</w:t>
            </w:r>
          </w:p>
        </w:tc>
        <w:tc>
          <w:tcPr>
            <w:tcW w:w="10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56,885</w:t>
            </w: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paid $25 million in the first quarter of 2022 of which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 The amount paid was for the milestone that was due upon the FDA acceptance of the SPN-830 NDA for review, which was achieved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provides the current and long-term portions related to the contingent consideration for the USWM Acquisition and Adamas Acquisition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Reported under the following captions in the condensed consolidated balance sheets:</w:t>
            </w:r>
          </w:p>
        </w:tc>
        <w:tc>
          <w:tcPr>
            <w:tcW w:w="280" w:type="dxa"/>
            <w:vAlign w:val="bottom"/>
          </w:tcPr>
          <w:p>
            <w:pPr>
              <w:spacing w:after="0"/>
              <w:rPr>
                <w:sz w:val="19"/>
                <w:szCs w:val="19"/>
                <w:color w:val="auto"/>
              </w:rPr>
            </w:pPr>
          </w:p>
        </w:tc>
        <w:tc>
          <w:tcPr>
            <w:tcW w:w="134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Contingent consideration, long-term</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w:t>
            </w:r>
          </w:p>
        </w:tc>
      </w:tr>
      <w:tr>
        <w:trPr>
          <w:trHeight w:val="25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Intangibles Assets,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gross carrying amounts and related accumulated amortization of intangibles assets (dollars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12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12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2"/>
              </w:rPr>
              <w:t>Average Life</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 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Amount, Net</w:t>
            </w:r>
          </w:p>
        </w:tc>
        <w:tc>
          <w:tcPr>
            <w:tcW w:w="80" w:type="dxa"/>
            <w:vAlign w:val="bottom"/>
          </w:tcPr>
          <w:p>
            <w:pPr>
              <w:spacing w:after="0"/>
              <w:rPr>
                <w:sz w:val="16"/>
                <w:szCs w:val="16"/>
                <w:color w:val="auto"/>
              </w:rPr>
            </w:pP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8"/>
              </w:rPr>
              <w:t>Amount, 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Amount, Net</w:t>
            </w:r>
          </w:p>
        </w:tc>
        <w:tc>
          <w:tcPr>
            <w:tcW w:w="0" w:type="dxa"/>
            <w:vAlign w:val="bottom"/>
          </w:tcPr>
          <w:p>
            <w:pPr>
              <w:spacing w:after="0"/>
              <w:rPr>
                <w:sz w:val="1"/>
                <w:szCs w:val="1"/>
                <w:color w:val="auto"/>
              </w:rPr>
            </w:pPr>
          </w:p>
        </w:tc>
      </w:tr>
      <w:tr>
        <w:trPr>
          <w:trHeight w:val="26"/>
        </w:trPr>
        <w:tc>
          <w:tcPr>
            <w:tcW w:w="29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Acquired in-process research and</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subject to</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6"/>
              </w:rPr>
              <w:t>Acquired developed technology and</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7.32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681,500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(151,814)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529,686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681,500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(113,061)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568,439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rights</w:t>
            </w: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Arial" w:cs="Arial" w:eastAsia="Arial" w:hAnsi="Arial"/>
                <w:sz w:val="18"/>
                <w:szCs w:val="18"/>
                <w:color w:val="auto"/>
              </w:rPr>
              <w:t>Capitalized patent defense costs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1.17</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57"/>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662,389</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Amortization expense for intangible assets was approximately $20.1 million and $40.1 million, for the three and six months ended June 30, 2023 and approximately $20.7 million and $41.3 million for the three and six months ended June 30, 2022, respectively.</w:t>
      </w:r>
    </w:p>
    <w:p>
      <w:pPr>
        <w:spacing w:after="0" w:line="13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U.S. patents covering Trokendi XR and Oxtellar XR will expire no earlier than 2027. In regard to Trokendi XR, the Company entered into settlement agreements that allowed third parties to enter the market on January 1, 2023. In regard to Oxtellar XR, the Company entered into settlement and license agreements that allows a third party to enter the market on or after September 1, 2024.</w:t>
      </w:r>
    </w:p>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2023</w:t>
      </w:r>
    </w:p>
    <w:p>
      <w:pPr>
        <w:spacing w:after="0" w:line="185"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The 0.625% Convertible Senior Notes Due 2023 (2023 Notes), which were issued in March 2018, bore interest at an annual rate of 0.625%, payable semi-annually in arrears on April 1 and October 1 of each year. The 2023 Notes matured on April 1, 2023. On March 30, 2023, the Company transferred funds totaling $403.8 million to the Trustee (Wilmington Trust) related to the repayment of the 2023 Notes which was reported as restricted cash in the first quarter of 2023. On April 1, 2023, the Company paid the total principal amount due of $402.5 million under the 2023 Notes and the remaining outstanding interest due of $1.3 million with the restricted cash.</w:t>
      </w:r>
    </w:p>
    <w:p>
      <w:pPr>
        <w:spacing w:after="0" w:line="14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As of March 31, 2023, the Convertible Note Hedges have expired.</w:t>
      </w:r>
    </w:p>
    <w:p>
      <w:pPr>
        <w:spacing w:after="0" w:line="15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 issued a total of 6,783,939 warrants. The warrants entitle the holder to one share per warrant. The strike price of the Warrant Transactions will initially be $80.91 per share of the Company’s common stock, and is subject to adjustment.</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The warrants expire in tranches, if unexercised, on or before November 22, 2023.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 liability component of the 2023 Notes consisted of the following,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80"/>
        </w:trPr>
        <w:tc>
          <w:tcPr>
            <w:tcW w:w="9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80" w:type="dxa"/>
            <w:vAlign w:val="bottom"/>
          </w:tcPr>
          <w:p>
            <w:pPr>
              <w:spacing w:after="0"/>
              <w:rPr>
                <w:sz w:val="7"/>
                <w:szCs w:val="7"/>
                <w:color w:val="auto"/>
              </w:rPr>
            </w:pPr>
          </w:p>
        </w:tc>
      </w:tr>
      <w:tr>
        <w:trPr>
          <w:trHeight w:val="23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r>
      <w:tr>
        <w:trPr>
          <w:trHeight w:val="229"/>
        </w:trPr>
        <w:tc>
          <w:tcPr>
            <w:tcW w:w="9620" w:type="dxa"/>
            <w:vAlign w:val="bottom"/>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r>
      <w:tr>
        <w:trPr>
          <w:trHeight w:val="255"/>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401,968</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Uncommitted Demand Secured Line of Credit</w:t>
      </w:r>
    </w:p>
    <w:p>
      <w:pPr>
        <w:spacing w:after="0" w:line="18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8, 2023, the Company entered into a credit line agreement with UBS.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spacing w:after="0" w:line="147"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16"/>
          <w:szCs w:val="16"/>
          <w:color w:val="auto"/>
        </w:rPr>
        <w:t>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w:t>
      </w:r>
    </w:p>
    <w:p>
      <w:pPr>
        <w:spacing w:after="0" w:line="162"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Upon certain customary events of default, 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spacing w:after="0" w:line="143"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w:t>
      </w:r>
    </w:p>
    <w:p>
      <w:pPr>
        <w:spacing w:after="0" w:line="1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30, 2023, the Company borrowed $93.0 million under the Credit Line, which bore a variable interest rate. The funds from this borrowing were used to repay outstanding indebtedness under the 2023 Notes as discussed above under the Convertible Senior Notes Due 2023. During the six months ended June 30, 2023, the Company repaid the total principal balance of $93.0 million under the Credit Line and the interest incurred on the Credit Line of $0.7 million. As of June 30. 2023, there was no outstanding debt under the Credit Line.</w:t>
      </w:r>
    </w:p>
    <w:p>
      <w:pPr>
        <w:spacing w:after="0" w:line="1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Share-Based 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r>
      <w:tr>
        <w:trPr>
          <w:trHeight w:val="192"/>
        </w:trPr>
        <w:tc>
          <w:tcPr>
            <w:tcW w:w="4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r>
      <w:tr>
        <w:trPr>
          <w:trHeight w:val="195"/>
        </w:trPr>
        <w:tc>
          <w:tcPr>
            <w:tcW w:w="454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194"/>
        </w:trPr>
        <w:tc>
          <w:tcPr>
            <w:tcW w:w="4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r>
      <w:tr>
        <w:trPr>
          <w:trHeight w:val="238"/>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r>
      <w:tr>
        <w:trPr>
          <w:trHeight w:val="25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871"/>
        </w:trPr>
        <w:tc>
          <w:tcPr>
            <w:tcW w:w="4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jc w:val="right"/>
              <w:ind w:right="338"/>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9"/>
        </w:trPr>
        <w:tc>
          <w:tcPr>
            <w:tcW w:w="6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restart"/>
          </w:tcPr>
          <w:p>
            <w:pPr>
              <w:jc w:val="center"/>
              <w:ind w:right="175"/>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16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6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175"/>
              <w:spacing w:after="0" w:line="145"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5,797,569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61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1,112,140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June 30, 2023 (unaudited)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6,648,919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June 30, 2023 (unaudited):</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Vested and expected to vest</w:t>
            </w:r>
          </w:p>
        </w:tc>
        <w:tc>
          <w:tcPr>
            <w:tcW w:w="1600" w:type="dxa"/>
            <w:vAlign w:val="bottom"/>
          </w:tcPr>
          <w:p>
            <w:pPr>
              <w:jc w:val="right"/>
              <w:spacing w:after="0"/>
              <w:rPr>
                <w:sz w:val="20"/>
                <w:szCs w:val="20"/>
                <w:color w:val="auto"/>
              </w:rPr>
            </w:pPr>
            <w:r>
              <w:rPr>
                <w:rFonts w:ascii="Arial" w:cs="Arial" w:eastAsia="Arial" w:hAnsi="Arial"/>
                <w:sz w:val="18"/>
                <w:szCs w:val="18"/>
                <w:color w:val="auto"/>
              </w:rPr>
              <w:t>6,648,919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29.17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4,079,988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 of December 31, 2022:</w:t>
            </w: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Arial" w:cs="Arial" w:eastAsia="Arial" w:hAnsi="Arial"/>
                <w:sz w:val="18"/>
                <w:szCs w:val="18"/>
                <w:color w:val="auto"/>
              </w:rPr>
              <w:t>Vested and expected to vest</w:t>
            </w:r>
          </w:p>
        </w:tc>
        <w:tc>
          <w:tcPr>
            <w:tcW w:w="1600" w:type="dxa"/>
            <w:vAlign w:val="bottom"/>
          </w:tcPr>
          <w:p>
            <w:pPr>
              <w:jc w:val="right"/>
              <w:spacing w:after="0"/>
              <w:rPr>
                <w:sz w:val="20"/>
                <w:szCs w:val="20"/>
                <w:color w:val="auto"/>
              </w:rPr>
            </w:pPr>
            <w:r>
              <w:rPr>
                <w:rFonts w:ascii="Arial" w:cs="Arial" w:eastAsia="Arial" w:hAnsi="Arial"/>
                <w:sz w:val="18"/>
                <w:szCs w:val="18"/>
                <w:color w:val="auto"/>
              </w:rPr>
              <w:t>5,797,569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Exercisable</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3,541,395</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(RSU)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2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4"/>
        </w:trPr>
        <w:tc>
          <w:tcPr>
            <w:tcW w:w="79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227,980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30"/>
        </w:trPr>
        <w:tc>
          <w:tcPr>
            <w:tcW w:w="79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June 30, 2023 (unaudited)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share unit (PSU)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2660" w:type="dxa"/>
            <w:vAlign w:val="bottom"/>
            <w:gridSpan w:val="4"/>
          </w:tcPr>
          <w:p>
            <w:pPr>
              <w:jc w:val="right"/>
              <w:ind w:right="438"/>
              <w:spacing w:after="0"/>
              <w:rPr>
                <w:sz w:val="20"/>
                <w:szCs w:val="20"/>
                <w:color w:val="auto"/>
              </w:rPr>
            </w:pPr>
            <w:r>
              <w:rPr>
                <w:rFonts w:ascii="Arial" w:cs="Arial" w:eastAsia="Arial" w:hAnsi="Arial"/>
                <w:sz w:val="14"/>
                <w:szCs w:val="14"/>
                <w:b w:val="1"/>
                <w:bCs w:val="1"/>
                <w:color w:val="auto"/>
              </w:rPr>
              <w:t>Performance-Based Units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right"/>
              <w:ind w:right="658"/>
              <w:spacing w:after="0"/>
              <w:rPr>
                <w:sz w:val="20"/>
                <w:szCs w:val="20"/>
                <w:color w:val="auto"/>
              </w:rPr>
            </w:pPr>
            <w:r>
              <w:rPr>
                <w:rFonts w:ascii="Arial" w:cs="Arial" w:eastAsia="Arial" w:hAnsi="Arial"/>
                <w:sz w:val="14"/>
                <w:szCs w:val="14"/>
                <w:b w:val="1"/>
                <w:bCs w:val="1"/>
                <w:color w:val="auto"/>
              </w:rPr>
              <w:t>Market-Based Units</w:t>
            </w:r>
          </w:p>
        </w:tc>
        <w:tc>
          <w:tcPr>
            <w:tcW w:w="100" w:type="dxa"/>
            <w:vAlign w:val="bottom"/>
          </w:tcPr>
          <w:p>
            <w:pPr>
              <w:spacing w:after="0"/>
              <w:rPr>
                <w:sz w:val="16"/>
                <w:szCs w:val="16"/>
                <w:color w:val="auto"/>
              </w:rPr>
            </w:pPr>
          </w:p>
        </w:tc>
        <w:tc>
          <w:tcPr>
            <w:tcW w:w="2780" w:type="dxa"/>
            <w:vAlign w:val="bottom"/>
            <w:gridSpan w:val="5"/>
          </w:tcPr>
          <w:p>
            <w:pPr>
              <w:ind w:left="1020"/>
              <w:spacing w:after="0"/>
              <w:rPr>
                <w:sz w:val="20"/>
                <w:szCs w:val="20"/>
                <w:color w:val="auto"/>
              </w:rPr>
            </w:pPr>
            <w:r>
              <w:rPr>
                <w:rFonts w:ascii="Arial" w:cs="Arial" w:eastAsia="Arial" w:hAnsi="Arial"/>
                <w:sz w:val="14"/>
                <w:szCs w:val="14"/>
                <w:b w:val="1"/>
                <w:bCs w:val="1"/>
                <w:color w:val="auto"/>
              </w:rPr>
              <w:t>Total PSUs</w:t>
            </w:r>
          </w:p>
        </w:tc>
        <w:tc>
          <w:tcPr>
            <w:tcW w:w="0" w:type="dxa"/>
            <w:vAlign w:val="bottom"/>
          </w:tcPr>
          <w:p>
            <w:pPr>
              <w:spacing w:after="0"/>
              <w:rPr>
                <w:sz w:val="1"/>
                <w:szCs w:val="1"/>
                <w:color w:val="auto"/>
              </w:rPr>
            </w:pPr>
          </w:p>
        </w:tc>
      </w:tr>
      <w:tr>
        <w:trPr>
          <w:trHeight w:val="25"/>
        </w:trPr>
        <w:tc>
          <w:tcPr>
            <w:tcW w:w="2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4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8"/>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95"/>
              </w:rPr>
              <w:t>Weighted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3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Number of PSUs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00" w:type="dxa"/>
            <w:vAlign w:val="bottom"/>
          </w:tcPr>
          <w:p>
            <w:pPr>
              <w:spacing w:after="0"/>
              <w:rPr>
                <w:sz w:val="12"/>
                <w:szCs w:val="12"/>
                <w:color w:val="auto"/>
              </w:rPr>
            </w:pPr>
          </w:p>
        </w:tc>
        <w:tc>
          <w:tcPr>
            <w:tcW w:w="13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per Share</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Value per Share</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Value per Share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205,000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Nonvested, June 30, 2023 (unaudited)</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right"/>
              <w:ind w:right="1156"/>
              <w:spacing w:after="0"/>
              <w:rPr>
                <w:sz w:val="20"/>
                <w:szCs w:val="20"/>
                <w:color w:val="auto"/>
              </w:rPr>
            </w:pPr>
            <w:r>
              <w:rPr>
                <w:rFonts w:ascii="Arial" w:cs="Arial" w:eastAsia="Arial" w:hAnsi="Arial"/>
                <w:sz w:val="18"/>
                <w:szCs w:val="18"/>
                <w:color w:val="auto"/>
                <w:w w:val="99"/>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Earnings (Loss) per Share</w:t>
      </w:r>
    </w:p>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Basic earnings (loss) per share is calculated using the weighted average number of common shares outstanding. Diluted earnings (loss) per share is calculated using the weighted average number of common shares outstanding, including the dilutive effect of the Company’s stock option grants, SARs, RSUs, employee stock purchase plan (ESPP) awards, and the 2023 Notes, as determined per the if-converted method.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185" w:lineRule="exact"/>
        <w:rPr>
          <w:sz w:val="20"/>
          <w:szCs w:val="20"/>
          <w:color w:val="auto"/>
        </w:rPr>
      </w:pPr>
    </w:p>
    <w:p>
      <w:pPr>
        <w:jc w:val="both"/>
        <w:ind w:right="380"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8, </w:t>
      </w:r>
      <w:r>
        <w:rPr>
          <w:rFonts w:ascii="Arial" w:cs="Arial" w:eastAsia="Arial" w:hAnsi="Arial"/>
          <w:sz w:val="18"/>
          <w:szCs w:val="18"/>
          <w:i w:val="1"/>
          <w:iCs w:val="1"/>
          <w:color w:val="auto"/>
        </w:rPr>
        <w:t>Debt</w:t>
      </w:r>
      <w:r>
        <w:rPr>
          <w:rFonts w:ascii="Arial" w:cs="Arial" w:eastAsia="Arial" w:hAnsi="Arial"/>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Diluted earnings (loss) per share related to the 2023 Notes is calculated using the if-converted method. The number of dilutive shares is based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initial conversion rate associated with the 2023 Notes. The Convertible Note Hedge and Warrant Transactions are excluded in the calculation of diluted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(loss) per share because inclusion would be anti-dilutive. Specifically, the denominator of the diluted earnings (loss) per share calculation excludes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shares related to the warrants because the average price of the Company's common stock was less than the strike price of the warrants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$80.91 per share. Prior to actual conversion, the Convertible Note Hedge Transactions are not considered in calculating diluted earnings per share, as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would be anti-dilutive.</w:t>
      </w:r>
    </w:p>
    <w:p>
      <w:pPr>
        <w:spacing w:after="0" w:line="170" w:lineRule="exact"/>
        <w:rPr>
          <w:sz w:val="20"/>
          <w:szCs w:val="20"/>
          <w:color w:val="auto"/>
        </w:rPr>
      </w:pPr>
    </w:p>
    <w:p>
      <w:pPr>
        <w:jc w:val="both"/>
        <w:ind w:right="180" w:firstLine="648"/>
        <w:spacing w:after="0" w:line="262"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and shares associated with the conversion of the 2023 Notes in the calculation of diluted earnings (loss) per share, because their inclusion would be anti-dilutive:</w:t>
      </w:r>
    </w:p>
    <w:tbl>
      <w:tblPr>
        <w:tblLayout w:type="fixed"/>
        <w:tblInd w:w="0" w:type="dxa"/>
        <w:tblCellMar>
          <w:top w:w="0" w:type="dxa"/>
          <w:left w:w="0" w:type="dxa"/>
          <w:bottom w:w="0" w:type="dxa"/>
          <w:right w:w="0" w:type="dxa"/>
        </w:tblCellMar>
      </w:tblPr>
      <w:tr>
        <w:trPr>
          <w:trHeight w:val="151"/>
        </w:trPr>
        <w:tc>
          <w:tcPr>
            <w:tcW w:w="4500" w:type="dxa"/>
            <w:vAlign w:val="bottom"/>
          </w:tcPr>
          <w:p>
            <w:pPr>
              <w:spacing w:after="0"/>
              <w:rPr>
                <w:sz w:val="13"/>
                <w:szCs w:val="13"/>
                <w:color w:val="auto"/>
              </w:rPr>
            </w:pPr>
          </w:p>
        </w:tc>
        <w:tc>
          <w:tcPr>
            <w:tcW w:w="2360" w:type="dxa"/>
            <w:vAlign w:val="bottom"/>
          </w:tcPr>
          <w:p>
            <w:pPr>
              <w:jc w:val="center"/>
              <w:ind w:left="902"/>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tcPr>
          <w:p>
            <w:pPr>
              <w:jc w:val="center"/>
              <w:ind w:left="944"/>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3"/>
                <w:szCs w:val="13"/>
                <w:color w:val="auto"/>
              </w:rPr>
            </w:pPr>
          </w:p>
        </w:tc>
      </w:tr>
      <w:tr>
        <w:trPr>
          <w:trHeight w:val="192"/>
        </w:trPr>
        <w:tc>
          <w:tcPr>
            <w:tcW w:w="4500" w:type="dxa"/>
            <w:vAlign w:val="bottom"/>
          </w:tcPr>
          <w:p>
            <w:pPr>
              <w:spacing w:after="0"/>
              <w:rPr>
                <w:sz w:val="16"/>
                <w:szCs w:val="16"/>
                <w:color w:val="auto"/>
              </w:rPr>
            </w:pPr>
          </w:p>
        </w:tc>
        <w:tc>
          <w:tcPr>
            <w:tcW w:w="2360" w:type="dxa"/>
            <w:vAlign w:val="bottom"/>
            <w:tcBorders>
              <w:bottom w:val="single" w:sz="8" w:color="auto"/>
            </w:tcBorders>
          </w:tcPr>
          <w:p>
            <w:pPr>
              <w:jc w:val="center"/>
              <w:ind w:left="902"/>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tcPr>
          <w:p>
            <w:pPr>
              <w:jc w:val="center"/>
              <w:ind w:left="924"/>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r>
      <w:tr>
        <w:trPr>
          <w:trHeight w:val="196"/>
        </w:trPr>
        <w:tc>
          <w:tcPr>
            <w:tcW w:w="4500" w:type="dxa"/>
            <w:vAlign w:val="bottom"/>
          </w:tcPr>
          <w:p>
            <w:pPr>
              <w:spacing w:after="0"/>
              <w:rPr>
                <w:sz w:val="17"/>
                <w:szCs w:val="17"/>
                <w:color w:val="auto"/>
              </w:rPr>
            </w:pPr>
          </w:p>
        </w:tc>
        <w:tc>
          <w:tcPr>
            <w:tcW w:w="2360" w:type="dxa"/>
            <w:vAlign w:val="bottom"/>
            <w:tcBorders>
              <w:bottom w:val="single" w:sz="8" w:color="auto"/>
            </w:tcBorders>
          </w:tcPr>
          <w:p>
            <w:pPr>
              <w:jc w:val="right"/>
              <w:ind w:right="1322"/>
              <w:spacing w:after="0"/>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2280" w:type="dxa"/>
            <w:vAlign w:val="bottom"/>
            <w:tcBorders>
              <w:bottom w:val="single" w:sz="8" w:color="auto"/>
            </w:tcBorders>
          </w:tcPr>
          <w:p>
            <w:pPr>
              <w:jc w:val="right"/>
              <w:ind w:right="1264"/>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r>
      <w:tr>
        <w:trPr>
          <w:trHeight w:val="194"/>
        </w:trPr>
        <w:tc>
          <w:tcPr>
            <w:tcW w:w="4500" w:type="dxa"/>
            <w:vAlign w:val="bottom"/>
          </w:tcPr>
          <w:p>
            <w:pPr>
              <w:spacing w:after="0"/>
              <w:rPr>
                <w:sz w:val="16"/>
                <w:szCs w:val="16"/>
                <w:color w:val="auto"/>
              </w:rPr>
            </w:pPr>
          </w:p>
        </w:tc>
        <w:tc>
          <w:tcPr>
            <w:tcW w:w="2360" w:type="dxa"/>
            <w:vAlign w:val="bottom"/>
          </w:tcPr>
          <w:p>
            <w:pPr>
              <w:jc w:val="center"/>
              <w:ind w:left="882"/>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jc w:val="center"/>
              <w:ind w:left="924"/>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36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74,549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80" w:type="dxa"/>
            <w:vAlign w:val="bottom"/>
            <w:shd w:val="clear" w:color="auto" w:fill="CCEEFF"/>
          </w:tcPr>
          <w:p>
            <w:pPr>
              <w:jc w:val="right"/>
              <w:ind w:right="68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Stock options, RSUs, PSUs</w:t>
            </w:r>
          </w:p>
        </w:tc>
        <w:tc>
          <w:tcPr>
            <w:tcW w:w="2360" w:type="dxa"/>
            <w:vAlign w:val="bottom"/>
          </w:tcPr>
          <w:p>
            <w:pPr>
              <w:jc w:val="right"/>
              <w:ind w:right="742"/>
              <w:spacing w:after="0"/>
              <w:rPr>
                <w:sz w:val="20"/>
                <w:szCs w:val="20"/>
                <w:color w:val="auto"/>
              </w:rPr>
            </w:pPr>
            <w:r>
              <w:rPr>
                <w:rFonts w:ascii="Arial" w:cs="Arial" w:eastAsia="Arial" w:hAnsi="Arial"/>
                <w:sz w:val="18"/>
                <w:szCs w:val="18"/>
                <w:color w:val="auto"/>
              </w:rPr>
              <w:t>537,762</w:t>
            </w:r>
          </w:p>
        </w:tc>
        <w:tc>
          <w:tcPr>
            <w:tcW w:w="980" w:type="dxa"/>
            <w:vAlign w:val="bottom"/>
          </w:tcPr>
          <w:p>
            <w:pPr>
              <w:jc w:val="right"/>
              <w:spacing w:after="0"/>
              <w:rPr>
                <w:sz w:val="20"/>
                <w:szCs w:val="20"/>
                <w:color w:val="auto"/>
              </w:rPr>
            </w:pPr>
            <w:r>
              <w:rPr>
                <w:rFonts w:ascii="Arial" w:cs="Arial" w:eastAsia="Arial" w:hAnsi="Arial"/>
                <w:sz w:val="18"/>
                <w:szCs w:val="18"/>
                <w:color w:val="auto"/>
              </w:rPr>
              <w:t>283,299</w:t>
            </w:r>
          </w:p>
        </w:tc>
        <w:tc>
          <w:tcPr>
            <w:tcW w:w="2380" w:type="dxa"/>
            <w:vAlign w:val="bottom"/>
            <w:gridSpan w:val="2"/>
          </w:tcPr>
          <w:p>
            <w:pPr>
              <w:jc w:val="right"/>
              <w:ind w:right="684"/>
              <w:spacing w:after="0"/>
              <w:rPr>
                <w:sz w:val="20"/>
                <w:szCs w:val="20"/>
                <w:color w:val="auto"/>
              </w:rPr>
            </w:pPr>
            <w:r>
              <w:rPr>
                <w:rFonts w:ascii="Arial" w:cs="Arial" w:eastAsia="Arial" w:hAnsi="Arial"/>
                <w:sz w:val="18"/>
                <w:szCs w:val="18"/>
                <w:color w:val="auto"/>
              </w:rPr>
              <w:t>482,447</w:t>
            </w:r>
          </w:p>
        </w:tc>
        <w:tc>
          <w:tcPr>
            <w:tcW w:w="1020" w:type="dxa"/>
            <w:vAlign w:val="bottom"/>
          </w:tcPr>
          <w:p>
            <w:pPr>
              <w:jc w:val="right"/>
              <w:spacing w:after="0"/>
              <w:rPr>
                <w:sz w:val="20"/>
                <w:szCs w:val="20"/>
                <w:color w:val="auto"/>
              </w:rPr>
            </w:pPr>
            <w:r>
              <w:rPr>
                <w:rFonts w:ascii="Arial" w:cs="Arial" w:eastAsia="Arial" w:hAnsi="Arial"/>
                <w:sz w:val="18"/>
                <w:szCs w:val="18"/>
                <w:color w:val="auto"/>
              </w:rPr>
              <w:t>556,565</w:t>
            </w:r>
          </w:p>
        </w:tc>
      </w:tr>
    </w:tbl>
    <w:p>
      <w:pPr>
        <w:spacing w:after="0" w:line="25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(loss) per share for the three and six months ended June 30, 2023 and 2022 under the if-converted method (dollars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2"/>
              </w:rPr>
              <w:t>Six Months Ended</w:t>
            </w:r>
          </w:p>
        </w:tc>
        <w:tc>
          <w:tcPr>
            <w:tcW w:w="1020" w:type="dxa"/>
            <w:vAlign w:val="bottom"/>
          </w:tcPr>
          <w:p>
            <w:pPr>
              <w:spacing w:after="0"/>
              <w:rPr>
                <w:sz w:val="14"/>
                <w:szCs w:val="14"/>
                <w:color w:val="auto"/>
              </w:rPr>
            </w:pPr>
          </w:p>
        </w:tc>
      </w:tr>
      <w:tr>
        <w:trPr>
          <w:trHeight w:val="186"/>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Pr>
          <w:p>
            <w:pPr>
              <w:spacing w:after="0"/>
              <w:rPr>
                <w:sz w:val="16"/>
                <w:szCs w:val="16"/>
                <w:color w:val="auto"/>
              </w:rPr>
            </w:pPr>
          </w:p>
        </w:tc>
      </w:tr>
      <w:tr>
        <w:trPr>
          <w:trHeight w:val="25"/>
        </w:trPr>
        <w:tc>
          <w:tcPr>
            <w:tcW w:w="4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44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r>
      <w:tr>
        <w:trPr>
          <w:trHeight w:val="189"/>
        </w:trPr>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center"/>
              <w:ind w:left="495"/>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r>
      <w:tr>
        <w:trPr>
          <w:trHeight w:val="238"/>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7"/>
        </w:trPr>
        <w:tc>
          <w:tcPr>
            <w:tcW w:w="448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(831)</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7,865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16,117</w:t>
            </w:r>
          </w:p>
        </w:tc>
        <w:tc>
          <w:tcPr>
            <w:tcW w:w="7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33,481</w:t>
            </w:r>
          </w:p>
        </w:tc>
      </w:tr>
      <w:tr>
        <w:trPr>
          <w:trHeight w:val="236"/>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After-tax interest expense for 2023 Notes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r>
      <w:tr>
        <w:trPr>
          <w:trHeight w:val="223"/>
        </w:trPr>
        <w:tc>
          <w:tcPr>
            <w:tcW w:w="4480" w:type="dxa"/>
            <w:vAlign w:val="bottom"/>
          </w:tcPr>
          <w:p>
            <w:pPr>
              <w:ind w:left="140"/>
              <w:spacing w:after="0"/>
              <w:rPr>
                <w:sz w:val="20"/>
                <w:szCs w:val="20"/>
                <w:color w:val="auto"/>
              </w:rPr>
            </w:pPr>
            <w:r>
              <w:rPr>
                <w:rFonts w:ascii="Arial" w:cs="Arial" w:eastAsia="Arial" w:hAnsi="Arial"/>
                <w:sz w:val="18"/>
                <w:szCs w:val="18"/>
                <w:color w:val="auto"/>
              </w:rPr>
              <w:t>Numerator for dilutive earnings per share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35,256</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54,502,993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53,426,163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54,442,463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53,378,319</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Stock options, RSUs and SARs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1,187,060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1,181,983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1,239,439</w:t>
            </w:r>
          </w:p>
        </w:tc>
      </w:tr>
      <w:tr>
        <w:trPr>
          <w:trHeight w:val="237"/>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Convertible notes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6,783,936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3,410,708</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6,783,936</w:t>
            </w: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54,502,993</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61,397,159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59,035,154</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61,401,694</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Earnings (loss) per share, basic</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0.30</w:t>
            </w:r>
          </w:p>
        </w:tc>
        <w:tc>
          <w:tcPr>
            <w:tcW w:w="7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share, diluted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904"/>
        </w:trPr>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29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 (Benefit)</w:t>
      </w:r>
    </w:p>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8"/>
          <w:szCs w:val="18"/>
          <w:color w:val="auto"/>
        </w:rPr>
        <w:t>The following table provides information regarding the Company’s income tax expense (benefit) for the three and six months ended June 30, 2023 and 2022 (dollars in thousands):</w:t>
      </w:r>
    </w:p>
    <w:tbl>
      <w:tblPr>
        <w:tblLayout w:type="fixed"/>
        <w:tblInd w:w="0" w:type="dxa"/>
        <w:tblCellMar>
          <w:top w:w="0" w:type="dxa"/>
          <w:left w:w="0" w:type="dxa"/>
          <w:bottom w:w="0" w:type="dxa"/>
          <w:right w:w="0" w:type="dxa"/>
        </w:tblCellMar>
      </w:tblPr>
      <w:tr>
        <w:trPr>
          <w:trHeight w:val="144"/>
        </w:trPr>
        <w:tc>
          <w:tcPr>
            <w:tcW w:w="4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gridSpan w:val="2"/>
          </w:tcPr>
          <w:p>
            <w:pPr>
              <w:jc w:val="center"/>
              <w:ind w:left="542"/>
              <w:spacing w:after="0" w:line="145" w:lineRule="exact"/>
              <w:rPr>
                <w:sz w:val="20"/>
                <w:szCs w:val="20"/>
                <w:color w:val="auto"/>
              </w:rPr>
            </w:pPr>
            <w:r>
              <w:rPr>
                <w:rFonts w:ascii="Arial" w:cs="Arial" w:eastAsia="Arial" w:hAnsi="Arial"/>
                <w:sz w:val="14"/>
                <w:szCs w:val="14"/>
                <w:b w:val="1"/>
                <w:bCs w:val="1"/>
                <w:color w:val="auto"/>
                <w:w w:val="93"/>
              </w:rPr>
              <w:t>Three Months Ended</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2"/>
          </w:tcPr>
          <w:p>
            <w:pPr>
              <w:jc w:val="center"/>
              <w:ind w:left="602"/>
              <w:spacing w:after="0" w:line="145" w:lineRule="exact"/>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12"/>
                <w:szCs w:val="12"/>
                <w:color w:val="auto"/>
              </w:rPr>
            </w:pPr>
          </w:p>
        </w:tc>
      </w:tr>
      <w:tr>
        <w:trPr>
          <w:trHeight w:val="196"/>
        </w:trPr>
        <w:tc>
          <w:tcPr>
            <w:tcW w:w="4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center"/>
              <w:ind w:left="602"/>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tcBorders>
              <w:bottom w:val="single" w:sz="8" w:color="auto"/>
            </w:tcBorders>
          </w:tcPr>
          <w:p>
            <w:pPr>
              <w:spacing w:after="0"/>
              <w:rPr>
                <w:sz w:val="17"/>
                <w:szCs w:val="17"/>
                <w:color w:val="auto"/>
              </w:rPr>
            </w:pPr>
          </w:p>
        </w:tc>
      </w:tr>
      <w:tr>
        <w:trPr>
          <w:trHeight w:val="196"/>
        </w:trPr>
        <w:tc>
          <w:tcPr>
            <w:tcW w:w="4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188"/>
        </w:trPr>
        <w:tc>
          <w:tcPr>
            <w:tcW w:w="4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2"/>
          </w:tcPr>
          <w:p>
            <w:pPr>
              <w:jc w:val="center"/>
              <w:ind w:left="602"/>
              <w:spacing w:after="0"/>
              <w:rPr>
                <w:sz w:val="20"/>
                <w:szCs w:val="20"/>
                <w:color w:val="auto"/>
              </w:rPr>
            </w:pPr>
            <w:r>
              <w:rPr>
                <w:rFonts w:ascii="Arial" w:cs="Arial" w:eastAsia="Arial" w:hAnsi="Arial"/>
                <w:sz w:val="14"/>
                <w:szCs w:val="14"/>
                <w:b w:val="1"/>
                <w:bCs w:val="1"/>
                <w:color w:val="auto"/>
                <w:w w:val="91"/>
              </w:rPr>
              <w:t>(unaudited)</w:t>
            </w:r>
          </w:p>
        </w:tc>
        <w:tc>
          <w:tcPr>
            <w:tcW w:w="1080" w:type="dxa"/>
            <w:vAlign w:val="bottom"/>
          </w:tcPr>
          <w:p>
            <w:pPr>
              <w:spacing w:after="0"/>
              <w:rPr>
                <w:sz w:val="16"/>
                <w:szCs w:val="16"/>
                <w:color w:val="auto"/>
              </w:rPr>
            </w:pPr>
          </w:p>
        </w:tc>
      </w:tr>
      <w:tr>
        <w:trPr>
          <w:trHeight w:val="244"/>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(16,296)</w:t>
            </w:r>
          </w:p>
        </w:tc>
        <w:tc>
          <w:tcPr>
            <w:tcW w:w="7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3,459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(24,227)</w:t>
            </w:r>
          </w:p>
        </w:tc>
        <w:tc>
          <w:tcPr>
            <w:tcW w:w="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(7,434)</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95.1 %</w:t>
            </w:r>
          </w:p>
        </w:tc>
        <w:tc>
          <w:tcPr>
            <w:tcW w:w="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2"/>
              <w:spacing w:after="0"/>
              <w:rPr>
                <w:sz w:val="20"/>
                <w:szCs w:val="20"/>
                <w:color w:val="auto"/>
              </w:rPr>
            </w:pPr>
            <w:r>
              <w:rPr>
                <w:rFonts w:ascii="Arial" w:cs="Arial" w:eastAsia="Arial" w:hAnsi="Arial"/>
                <w:sz w:val="18"/>
                <w:szCs w:val="18"/>
                <w:color w:val="auto"/>
              </w:rPr>
              <w:t>298.7 %</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w:t>
            </w:r>
          </w:p>
        </w:tc>
      </w:tr>
    </w:tbl>
    <w:p>
      <w:pPr>
        <w:spacing w:after="0" w:line="25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Income tax benefit was $16.3 million and $24.2 million for the three and six months ended June 30, 2023, as compared to $3.5 million expense and $7.4 million benefit for the three and six months ended June 30, 2022. The change was mainly due to an increased pre-tax loss in both periods in 2023.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requires an estimate of the annual effective income tax rate for the full year and apply it to pre-tax income (loss) for each interim period, taking into account year-to-date amounts and projected results for the full year. The effective tax rate decrease was mainly due to lower pre-tax earnings forecasted for 2023. The annual forecasted earnings represent the Company's best estimate as of June 30, 2023 and is subject to changes, which could have a material impact on the effective tax rate in subsequent periods.</w:t>
      </w:r>
    </w:p>
    <w:p>
      <w:pPr>
        <w:spacing w:after="0" w:line="13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3"/>
          <w:szCs w:val="13"/>
          <w:b w:val="1"/>
          <w:bCs w:val="1"/>
          <w:color w:val="auto"/>
        </w:rPr>
        <w:t>Leases</w:t>
      </w:r>
    </w:p>
    <w:p>
      <w:pPr>
        <w:spacing w:after="0" w:line="202"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Operating lease assets and lease liabilities as reported on the unaudited condensed consolidated balance sheets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assets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assets</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right="420"/>
        <w:spacing w:after="0" w:line="308" w:lineRule="auto"/>
        <w:rPr>
          <w:sz w:val="20"/>
          <w:szCs w:val="20"/>
          <w:color w:val="auto"/>
        </w:rPr>
      </w:pPr>
      <w:r>
        <w:rPr>
          <w:rFonts w:ascii="Arial" w:cs="Arial" w:eastAsia="Arial" w:hAnsi="Arial"/>
          <w:sz w:val="16"/>
          <w:szCs w:val="16"/>
          <w:color w:val="auto"/>
        </w:rPr>
        <w:t>Operating lease liabilities, current portion Operating lease liabilities, long-term</w:t>
      </w: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Balance Sheet Classification</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8"/>
              </w:rPr>
              <w:t>December 31, 2022</w:t>
            </w:r>
          </w:p>
        </w:tc>
      </w:tr>
      <w:tr>
        <w:trPr>
          <w:trHeight w:val="186"/>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ind w:right="41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489"/>
        </w:trPr>
        <w:tc>
          <w:tcPr>
            <w:tcW w:w="3320" w:type="dxa"/>
            <w:vAlign w:val="bottom"/>
          </w:tcPr>
          <w:p>
            <w:pPr>
              <w:jc w:val="center"/>
              <w:spacing w:after="0"/>
              <w:rPr>
                <w:sz w:val="20"/>
                <w:szCs w:val="20"/>
                <w:color w:val="auto"/>
              </w:rPr>
            </w:pPr>
            <w:r>
              <w:rPr>
                <w:rFonts w:ascii="Arial" w:cs="Arial" w:eastAsia="Arial" w:hAnsi="Arial"/>
                <w:sz w:val="18"/>
                <w:szCs w:val="18"/>
                <w:color w:val="auto"/>
                <w:w w:val="86"/>
              </w:rPr>
              <w:t>Other assets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28,904</w:t>
            </w:r>
          </w:p>
        </w:tc>
      </w:tr>
      <w:tr>
        <w:trPr>
          <w:trHeight w:val="223"/>
        </w:trPr>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28,904</w:t>
            </w:r>
          </w:p>
        </w:tc>
      </w:tr>
      <w:tr>
        <w:trPr>
          <w:trHeight w:val="21"/>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95"/>
        </w:trPr>
        <w:tc>
          <w:tcPr>
            <w:tcW w:w="3320" w:type="dxa"/>
            <w:vAlign w:val="bottom"/>
          </w:tcPr>
          <w:p>
            <w:pPr>
              <w:jc w:val="center"/>
              <w:spacing w:after="0"/>
              <w:rPr>
                <w:sz w:val="20"/>
                <w:szCs w:val="20"/>
                <w:color w:val="auto"/>
              </w:rPr>
            </w:pPr>
            <w:r>
              <w:rPr>
                <w:rFonts w:ascii="Arial" w:cs="Arial" w:eastAsia="Arial" w:hAnsi="Arial"/>
                <w:sz w:val="18"/>
                <w:szCs w:val="18"/>
                <w:color w:val="auto"/>
                <w:w w:val="91"/>
              </w:rPr>
              <w:t>Accounts payable and accrued liabilities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6,791</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2"/>
              </w:rPr>
              <w:t>Operating lease liabilities, long-term</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w:t>
            </w:r>
          </w:p>
        </w:tc>
      </w:tr>
      <w:tr>
        <w:trPr>
          <w:trHeight w:val="223"/>
        </w:trPr>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42,789</w:t>
            </w: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-1405255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-1130935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-805180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-488315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-187960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1440" w:gutter="0" w:footer="0" w:header="0"/>
          <w:type w:val="continuous"/>
        </w:sectPr>
      </w:pP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Composition of Other Balance Sheet Items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details the composition of other balance sheet items (dollars in thousands for amounts in tables):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Receivables, Net</w:t>
      </w:r>
    </w:p>
    <w:p>
      <w:pPr>
        <w:spacing w:after="0" w:line="18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 of June 30, 2023 and December 31, 2022, the Company has reduced accounts receivable by approximately $10.2 million and $13.0 million, respectively. Prompt pay discount and contractual service fees, which were originally recorded as a reduction to revenues, represents estimated amounts not expected to be paid by our customers. The Company's customers are primarily pharmaceutical wholesalers and distributors and specialty pharmacies.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94"/>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31,710</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90,560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91,541</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14,023</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3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7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Depreciation and amortization expense on property and equipment was approximately $0.6 million and $1.3 million for the three and six months ended June 30, 2023, and approximately $0.7 million and $1.4 million for the three and six months ended June 30, 2022,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5"/>
        </w:trPr>
        <w:tc>
          <w:tcPr>
            <w:tcW w:w="7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Accrued sales &amp; marketing</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16,783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benefits, &amp; related accruals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0" w:type="dxa"/>
            <w:vAlign w:val="bottom"/>
          </w:tcPr>
          <w:p>
            <w:pPr>
              <w:spacing w:after="0"/>
              <w:rPr>
                <w:sz w:val="1"/>
                <w:szCs w:val="1"/>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Accrued manufacturing expenses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3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R&amp;D expenses</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current portion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Accrued royalties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7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880" w:type="dxa"/>
            <w:vAlign w:val="bottom"/>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Refer to Note 15,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80" w:type="dxa"/>
            <w:vAlign w:val="bottom"/>
          </w:tcPr>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Refer to Note 12, </w:t>
            </w:r>
            <w:r>
              <w:rPr>
                <w:rFonts w:ascii="Arial" w:cs="Arial" w:eastAsia="Arial" w:hAnsi="Arial"/>
                <w:sz w:val="16"/>
                <w:szCs w:val="16"/>
                <w:i w:val="1"/>
                <w:iCs w:val="1"/>
                <w:color w:val="auto"/>
              </w:rPr>
              <w:t>Leases</w:t>
            </w: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7880" w:type="dxa"/>
            <w:vAlign w:val="bottom"/>
          </w:tcPr>
          <w:p>
            <w:pPr>
              <w:spacing w:after="0"/>
              <w:rPr>
                <w:sz w:val="20"/>
                <w:szCs w:val="20"/>
                <w:color w:val="auto"/>
              </w:rPr>
            </w:pPr>
            <w:r>
              <w:rPr>
                <w:rFonts w:ascii="Arial" w:cs="Arial" w:eastAsia="Arial" w:hAnsi="Arial"/>
                <w:sz w:val="18"/>
                <w:szCs w:val="18"/>
                <w:i w:val="1"/>
                <w:iCs w:val="1"/>
                <w:color w:val="auto"/>
              </w:rPr>
              <w:t>Accrued Product Returns and Rebates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188"/>
        </w:trPr>
        <w:tc>
          <w:tcPr>
            <w:tcW w:w="7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Accrued product returns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45,008</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151,665</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Interest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details the composition of interest expense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560"/>
              <w:spacing w:after="0"/>
              <w:rPr>
                <w:sz w:val="20"/>
                <w:szCs w:val="20"/>
                <w:color w:val="auto"/>
              </w:rPr>
            </w:pPr>
            <w:r>
              <w:rPr>
                <w:rFonts w:ascii="Arial" w:cs="Arial" w:eastAsia="Arial" w:hAnsi="Arial"/>
                <w:sz w:val="14"/>
                <w:szCs w:val="14"/>
                <w:b w:val="1"/>
                <w:bCs w:val="1"/>
                <w:color w:val="auto"/>
                <w:w w:val="93"/>
              </w:rPr>
              <w:t>Six Months Ended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40"/>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40"/>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176"/>
        </w:trPr>
        <w:tc>
          <w:tcPr>
            <w:tcW w:w="4500" w:type="dxa"/>
            <w:vAlign w:val="bottom"/>
          </w:tcPr>
          <w:p>
            <w:pPr>
              <w:ind w:left="20"/>
              <w:spacing w:after="0" w:line="176" w:lineRule="exact"/>
              <w:rPr>
                <w:sz w:val="20"/>
                <w:szCs w:val="20"/>
                <w:color w:val="auto"/>
              </w:rPr>
            </w:pPr>
            <w:r>
              <w:rPr>
                <w:rFonts w:ascii="Arial" w:cs="Arial" w:eastAsia="Arial" w:hAnsi="Arial"/>
                <w:sz w:val="18"/>
                <w:szCs w:val="18"/>
                <w:color w:val="auto"/>
                <w:w w:val="96"/>
              </w:rPr>
              <w:t>Interest expense on nonrecourse liability related to sale of</w:t>
            </w:r>
          </w:p>
        </w:tc>
        <w:tc>
          <w:tcPr>
            <w:tcW w:w="9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future royalties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Interest expense includes noncash interest expense related to amortization of deferred financing costs on the 2023 Notes. The Company has fully amortized the deferred financing costs on the 2023 Notes in the first quarter of 2023. Noncash interest for the six months ended June 30, 2023 was $0.5 million. Noncash interest expense was $0.5 million and $1.1 million for the three and six months ended June 30, 2022, respectively.</w:t>
      </w:r>
    </w:p>
    <w:p>
      <w:pPr>
        <w:spacing w:after="0" w:line="1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6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unaudited condensed consolidated statements of earnings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 xml:space="preserve">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have reverted back to the Company as the cumulative payment threshold has been reached as of June 30, 2023 (see Note 3, </w:t>
      </w:r>
      <w:r>
        <w:rPr>
          <w:rFonts w:ascii="Arial" w:cs="Arial" w:eastAsia="Arial" w:hAnsi="Arial"/>
          <w:sz w:val="18"/>
          <w:szCs w:val="18"/>
          <w:i w:val="1"/>
          <w:iCs w:val="1"/>
          <w:color w:val="auto"/>
        </w:rPr>
        <w:t>Disaggregated Revenues</w:t>
      </w:r>
      <w:r>
        <w:rPr>
          <w:rFonts w:ascii="Arial" w:cs="Arial" w:eastAsia="Arial" w:hAnsi="Arial"/>
          <w:sz w:val="18"/>
          <w:szCs w:val="18"/>
          <w:color w:val="auto"/>
        </w:rPr>
        <w:t>).</w:t>
      </w:r>
    </w:p>
    <w:p>
      <w:pPr>
        <w:spacing w:after="0" w:line="16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 xml:space="preserve">As of December 31, 2022, the nonrecourse liability related to the sale of future royalties was $6.0 million and was included in </w:t>
      </w:r>
      <w:r>
        <w:rPr>
          <w:rFonts w:ascii="Arial" w:cs="Arial" w:eastAsia="Arial" w:hAnsi="Arial"/>
          <w:sz w:val="18"/>
          <w:szCs w:val="18"/>
          <w:i w:val="1"/>
          <w:iCs w:val="1"/>
          <w:color w:val="auto"/>
        </w:rPr>
        <w:t>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as reported on the consolidated balance sheet.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Enterprise Commitments Assumed</w:t>
      </w:r>
    </w:p>
    <w:p>
      <w:pPr>
        <w:spacing w:after="0" w:line="18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As part of the USWM Acquisition, the Company assumed the remaining commitments of USWM Enterprises and its subsidiaries, which are discussed below.</w:t>
      </w:r>
    </w:p>
    <w:p>
      <w:pPr>
        <w:spacing w:after="0" w:line="14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assumed the annual minimum purchase requirement of MYOBLOC, amounting to an estimated €3.9 million annually, under the contract manufacturing agreement with Merz for manufacture and supply.</w:t>
      </w:r>
    </w:p>
    <w:p>
      <w:pPr>
        <w:spacing w:after="0" w:line="13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CIA through March 2024.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Breach-related Contingency</w:t>
      </w:r>
    </w:p>
    <w:p>
      <w:pPr>
        <w:spacing w:after="0" w:line="18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24, 2021, the Company announced that we were the target of a ransomware attack. The attack had no significant impact on our business and did not cause any long-term disruption to our operations. Based on its internal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spacing w:after="0" w:line="1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NAMENDA XR/Namzaric Qui Tam Litigation</w:t>
      </w:r>
    </w:p>
    <w:p>
      <w:pPr>
        <w:spacing w:after="0" w:line="19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judgment dismissing with prejudice Silbersher’s Federal False Claims Act claim while declining to exercise supplemental jurisdiction over the state false claims act claims which were dismissed without prejudice. On April 19, 2023, the plaintiff appealed the District Court's dismissal of the Federal False Claims Act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 Litigation</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On January 25, 2023, Defendants filed a motion to stay discovery and stay the deadline to submit a proposed scheduling order pending resolutions of Defendants’ motions to dismiss. On March 7, 2023, the Court denied the Company's motion to stay and ordered that the parties commence discovery. On April 10, 2023, the Court issued a scheduling order that provides for a Pretrial Conference on March 7, 2025 and a jury trial beginning on March 24, 2025. Pretrial discovery is ongoing as the date of this letter. The Company intends to defend itself vigorously. However, the Company can offer no assurances that it will be successful in a litigation.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Apotex Settlement and License Agreements</w:t>
      </w:r>
    </w:p>
    <w:p>
      <w:pPr>
        <w:spacing w:after="0" w:line="18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entered into a settlement and license agreements dated June 21, 2023 with Apotex Inc. to settle ongoing patent litigation regarding Apotex ANDA filings seeking approval to market a generic version of the Company's 150mg, 300mg, and 600mg strength Oxtellar XR (extended-release oxcarbazepine) tablets on or after September 1,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2022 and the related Management’s Discussion and Analysis of Financial Condition and Results of Operations, both of which are contained in our Annual Report on Form 10-K, filed with the Securities and Exchange Commission on March 9, 2023.</w:t>
      </w:r>
    </w:p>
    <w:p>
      <w:pPr>
        <w:spacing w:after="0" w:line="1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3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portfolio of commercial products and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93" w:lineRule="exact"/>
        <w:rPr>
          <w:sz w:val="20"/>
          <w:szCs w:val="20"/>
          <w:color w:val="auto"/>
        </w:rPr>
      </w:pPr>
    </w:p>
    <w:p>
      <w:pPr>
        <w:ind w:left="660" w:right="60" w:hanging="328"/>
        <w:spacing w:after="0" w:line="23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Qelbree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spacing w:after="0" w:line="157" w:lineRule="exact"/>
        <w:rPr>
          <w:rFonts w:ascii="Arial" w:cs="Arial" w:eastAsia="Arial" w:hAnsi="Arial"/>
          <w:sz w:val="18"/>
          <w:szCs w:val="18"/>
          <w:color w:val="auto"/>
        </w:rPr>
      </w:pPr>
    </w:p>
    <w:p>
      <w:pPr>
        <w:jc w:val="both"/>
        <w:ind w:left="660" w:right="340" w:hanging="328"/>
        <w:spacing w:after="0" w:line="23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Trokendi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(topiramate) is the first once-daily extended-release topiramate product indicated for the treatment of epilepsy in patients 6 years of age and older in the U.S. market. It is also indicated for the prophylaxis of migraine headache in adults and adolescents 12 years and older.</w:t>
      </w:r>
    </w:p>
    <w:p>
      <w:pPr>
        <w:spacing w:after="0" w:line="129" w:lineRule="exact"/>
        <w:rPr>
          <w:rFonts w:ascii="Arial" w:cs="Arial" w:eastAsia="Arial" w:hAnsi="Arial"/>
          <w:sz w:val="16"/>
          <w:szCs w:val="16"/>
          <w:color w:val="auto"/>
        </w:rPr>
      </w:pPr>
    </w:p>
    <w:p>
      <w:pPr>
        <w:ind w:left="660" w:right="220" w:hanging="328"/>
        <w:spacing w:after="0" w:line="24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Oxtellar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(oxcarbazepine) is indicated as therapy for the treatment of partial onset seizures in patients 6 years of age and older. It is also the first once-daily extended-release oxcarbazepine product indicated for the treatment of epilepsy in the U.S. market.</w:t>
      </w:r>
    </w:p>
    <w:p>
      <w:pPr>
        <w:spacing w:after="0" w:line="153" w:lineRule="exact"/>
        <w:rPr>
          <w:rFonts w:ascii="Arial" w:cs="Arial" w:eastAsia="Arial" w:hAnsi="Arial"/>
          <w:sz w:val="17"/>
          <w:szCs w:val="17"/>
          <w:color w:val="auto"/>
        </w:rPr>
      </w:pPr>
    </w:p>
    <w:p>
      <w:pPr>
        <w:ind w:left="660" w:right="360" w:hanging="328"/>
        <w:spacing w:after="0" w:line="22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APOKYN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62" w:lineRule="exact"/>
        <w:rPr>
          <w:rFonts w:ascii="Arial" w:cs="Arial" w:eastAsia="Arial" w:hAnsi="Arial"/>
          <w:sz w:val="18"/>
          <w:szCs w:val="18"/>
          <w:color w:val="auto"/>
        </w:rPr>
      </w:pPr>
    </w:p>
    <w:p>
      <w:pPr>
        <w:ind w:left="660" w:right="160" w:hanging="328"/>
        <w:spacing w:after="0" w:line="22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XADAGO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(safinamide) is a once-daily product indicated as adjunctive treatment to levodopa/carbidopa in patients with PD experiencing "off" episodes.</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Osmolex 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(amantadine) extended-release tablets is for the treatment of PD and drug-induced extrapyramidal reactions in adult patients.</w:t>
      </w:r>
    </w:p>
    <w:p>
      <w:pPr>
        <w:spacing w:after="0" w:line="138" w:lineRule="exact"/>
        <w:rPr>
          <w:rFonts w:ascii="Arial" w:cs="Arial" w:eastAsia="Arial" w:hAnsi="Arial"/>
          <w:sz w:val="17"/>
          <w:szCs w:val="17"/>
          <w:color w:val="auto"/>
        </w:rPr>
      </w:pPr>
    </w:p>
    <w:p>
      <w:pPr>
        <w:ind w:left="660" w:right="200" w:hanging="328"/>
        <w:spacing w:after="0" w:line="22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MYOBLOC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committed to the development of innovative product candidates in neurology and psychiatry, including the following:</w:t>
      </w:r>
    </w:p>
    <w:p>
      <w:pPr>
        <w:spacing w:after="0" w:line="206"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2620" w:type="dxa"/>
            <w:vAlign w:val="bottom"/>
            <w:tcBorders>
              <w:top w:val="single" w:sz="8" w:color="auto"/>
              <w:left w:val="single" w:sz="8" w:color="auto"/>
              <w:bottom w:val="single" w:sz="8" w:color="auto"/>
              <w:right w:val="single" w:sz="8" w:color="auto"/>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91"/>
              </w:rPr>
              <w:t>Product Candidate</w:t>
            </w:r>
          </w:p>
        </w:tc>
        <w:tc>
          <w:tcPr>
            <w:tcW w:w="2620" w:type="dxa"/>
            <w:vAlign w:val="bottom"/>
            <w:tcBorders>
              <w:top w:val="single" w:sz="8" w:color="auto"/>
              <w:bottom w:val="single" w:sz="8" w:color="auto"/>
              <w:right w:val="single" w:sz="8" w:color="auto"/>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94"/>
              </w:rPr>
              <w:t>Indication</w:t>
            </w:r>
          </w:p>
        </w:tc>
        <w:tc>
          <w:tcPr>
            <w:tcW w:w="2600" w:type="dxa"/>
            <w:vAlign w:val="bottom"/>
            <w:tcBorders>
              <w:top w:val="single" w:sz="8" w:color="auto"/>
              <w:bottom w:val="single" w:sz="8" w:color="auto"/>
              <w:right w:val="single" w:sz="8" w:color="auto"/>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90"/>
              </w:rPr>
              <w:t>Development</w:t>
            </w:r>
          </w:p>
        </w:tc>
        <w:tc>
          <w:tcPr>
            <w:tcW w:w="2620" w:type="dxa"/>
            <w:vAlign w:val="bottom"/>
            <w:tcBorders>
              <w:top w:val="single" w:sz="8" w:color="auto"/>
              <w:bottom w:val="single" w:sz="8" w:color="auto"/>
              <w:right w:val="single" w:sz="8" w:color="auto"/>
            </w:tcBorders>
            <w:shd w:val="clear" w:color="auto" w:fill="242424"/>
          </w:tcPr>
          <w:p>
            <w:pPr>
              <w:jc w:val="center"/>
              <w:spacing w:after="0"/>
              <w:rPr>
                <w:sz w:val="20"/>
                <w:szCs w:val="20"/>
                <w:color w:val="auto"/>
              </w:rPr>
            </w:pPr>
            <w:r>
              <w:rPr>
                <w:rFonts w:ascii="Arial" w:cs="Arial" w:eastAsia="Arial" w:hAnsi="Arial"/>
                <w:sz w:val="18"/>
                <w:szCs w:val="18"/>
                <w:b w:val="1"/>
                <w:bCs w:val="1"/>
                <w:color w:val="FFFFFF"/>
              </w:rPr>
              <w:t>NDA</w:t>
            </w:r>
          </w:p>
        </w:tc>
        <w:tc>
          <w:tcPr>
            <w:tcW w:w="0" w:type="dxa"/>
            <w:vAlign w:val="bottom"/>
          </w:tcPr>
          <w:p>
            <w:pPr>
              <w:spacing w:after="0"/>
              <w:rPr>
                <w:sz w:val="1"/>
                <w:szCs w:val="1"/>
                <w:color w:val="auto"/>
              </w:rPr>
            </w:pPr>
          </w:p>
        </w:tc>
      </w:tr>
      <w:tr>
        <w:trPr>
          <w:trHeight w:val="182"/>
        </w:trPr>
        <w:tc>
          <w:tcPr>
            <w:tcW w:w="2620" w:type="dxa"/>
            <w:vAlign w:val="bottom"/>
            <w:tcBorders>
              <w:left w:val="single" w:sz="8" w:color="auto"/>
              <w:right w:val="single" w:sz="8" w:color="auto"/>
            </w:tcBorders>
          </w:tcPr>
          <w:p>
            <w:pPr>
              <w:spacing w:after="0"/>
              <w:rPr>
                <w:sz w:val="15"/>
                <w:szCs w:val="15"/>
                <w:color w:val="auto"/>
              </w:rPr>
            </w:pPr>
          </w:p>
        </w:tc>
        <w:tc>
          <w:tcPr>
            <w:tcW w:w="2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2"/>
              </w:rPr>
              <w:t>Continuous treatment of motor</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Plan to resubmit the NDA in the</w:t>
            </w:r>
          </w:p>
        </w:tc>
        <w:tc>
          <w:tcPr>
            <w:tcW w:w="26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Complete Response Letter (CRL)</w:t>
            </w:r>
          </w:p>
        </w:tc>
        <w:tc>
          <w:tcPr>
            <w:tcW w:w="0" w:type="dxa"/>
            <w:vAlign w:val="bottom"/>
          </w:tcPr>
          <w:p>
            <w:pPr>
              <w:spacing w:after="0"/>
              <w:rPr>
                <w:sz w:val="1"/>
                <w:szCs w:val="1"/>
                <w:color w:val="auto"/>
              </w:rPr>
            </w:pPr>
          </w:p>
        </w:tc>
      </w:tr>
      <w:tr>
        <w:trPr>
          <w:trHeight w:val="82"/>
        </w:trPr>
        <w:tc>
          <w:tcPr>
            <w:tcW w:w="2620" w:type="dxa"/>
            <w:vAlign w:val="bottom"/>
            <w:tcBorders>
              <w:left w:val="single" w:sz="8" w:color="auto"/>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b w:val="1"/>
                <w:bCs w:val="1"/>
                <w:i w:val="1"/>
                <w:iCs w:val="1"/>
                <w:color w:val="auto"/>
                <w:w w:val="90"/>
              </w:rPr>
              <w:t>SPN-830</w:t>
            </w:r>
          </w:p>
        </w:tc>
        <w:tc>
          <w:tcPr>
            <w:tcW w:w="26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2"/>
              </w:rPr>
              <w:t>fluctuations ("off" episodes) in PD</w:t>
            </w:r>
          </w:p>
        </w:tc>
        <w:tc>
          <w:tcPr>
            <w:tcW w:w="2600" w:type="dxa"/>
            <w:vAlign w:val="bottom"/>
            <w:tcBorders>
              <w:right w:val="single" w:sz="8" w:color="auto"/>
            </w:tcBorders>
            <w:vMerge w:val="continue"/>
          </w:tcPr>
          <w:p>
            <w:pPr>
              <w:spacing w:after="0"/>
              <w:rPr>
                <w:sz w:val="7"/>
                <w:szCs w:val="7"/>
                <w:color w:val="auto"/>
              </w:rPr>
            </w:pPr>
          </w:p>
        </w:tc>
        <w:tc>
          <w:tcPr>
            <w:tcW w:w="262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2"/>
              </w:rPr>
              <w:t>received from FDA in October</w:t>
            </w:r>
          </w:p>
        </w:tc>
        <w:tc>
          <w:tcPr>
            <w:tcW w:w="0" w:type="dxa"/>
            <w:vAlign w:val="bottom"/>
          </w:tcPr>
          <w:p>
            <w:pPr>
              <w:spacing w:after="0"/>
              <w:rPr>
                <w:sz w:val="1"/>
                <w:szCs w:val="1"/>
                <w:color w:val="auto"/>
              </w:rPr>
            </w:pPr>
          </w:p>
        </w:tc>
      </w:tr>
      <w:tr>
        <w:trPr>
          <w:trHeight w:val="94"/>
        </w:trPr>
        <w:tc>
          <w:tcPr>
            <w:tcW w:w="2620" w:type="dxa"/>
            <w:vAlign w:val="bottom"/>
            <w:tcBorders>
              <w:left w:val="single" w:sz="8" w:color="auto"/>
              <w:right w:val="single" w:sz="8" w:color="auto"/>
            </w:tcBorders>
            <w:vMerge w:val="continue"/>
          </w:tcPr>
          <w:p>
            <w:pPr>
              <w:spacing w:after="0"/>
              <w:rPr>
                <w:sz w:val="8"/>
                <w:szCs w:val="8"/>
                <w:color w:val="auto"/>
              </w:rPr>
            </w:pPr>
          </w:p>
        </w:tc>
        <w:tc>
          <w:tcPr>
            <w:tcW w:w="2620" w:type="dxa"/>
            <w:vAlign w:val="bottom"/>
            <w:tcBorders>
              <w:right w:val="single" w:sz="8" w:color="auto"/>
            </w:tcBorders>
            <w:vMerge w:val="continue"/>
          </w:tcPr>
          <w:p>
            <w:pPr>
              <w:spacing w:after="0"/>
              <w:rPr>
                <w:sz w:val="8"/>
                <w:szCs w:val="8"/>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fourth quarter of 2023</w:t>
            </w:r>
          </w:p>
        </w:tc>
        <w:tc>
          <w:tcPr>
            <w:tcW w:w="2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20" w:type="dxa"/>
            <w:vAlign w:val="bottom"/>
            <w:tcBorders>
              <w:left w:val="single" w:sz="8" w:color="auto"/>
              <w:right w:val="single" w:sz="8" w:color="auto"/>
            </w:tcBorders>
          </w:tcPr>
          <w:p>
            <w:pPr>
              <w:spacing w:after="0"/>
              <w:rPr>
                <w:sz w:val="11"/>
                <w:szCs w:val="11"/>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patients</w:t>
            </w:r>
          </w:p>
        </w:tc>
        <w:tc>
          <w:tcPr>
            <w:tcW w:w="2600" w:type="dxa"/>
            <w:vAlign w:val="bottom"/>
            <w:tcBorders>
              <w:right w:val="single" w:sz="8" w:color="auto"/>
            </w:tcBorders>
            <w:vMerge w:val="continue"/>
          </w:tcPr>
          <w:p>
            <w:pPr>
              <w:spacing w:after="0"/>
              <w:rPr>
                <w:sz w:val="11"/>
                <w:szCs w:val="11"/>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94"/>
        </w:trPr>
        <w:tc>
          <w:tcPr>
            <w:tcW w:w="2620" w:type="dxa"/>
            <w:vAlign w:val="bottom"/>
            <w:tcBorders>
              <w:left w:val="single" w:sz="8" w:color="auto"/>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2600" w:type="dxa"/>
            <w:vAlign w:val="bottom"/>
            <w:tcBorders>
              <w:bottom w:val="single" w:sz="8" w:color="auto"/>
              <w:right w:val="single" w:sz="8" w:color="auto"/>
            </w:tcBorders>
          </w:tcPr>
          <w:p>
            <w:pPr>
              <w:spacing w:after="0"/>
              <w:rPr>
                <w:sz w:val="8"/>
                <w:szCs w:val="8"/>
                <w:color w:val="auto"/>
              </w:rPr>
            </w:pPr>
          </w:p>
        </w:tc>
        <w:tc>
          <w:tcPr>
            <w:tcW w:w="2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SPN-820/821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Treatment-resistant depression</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Phase II</w:t>
            </w: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SPN-817</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Treatment-resistant seizures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Phase II</w:t>
            </w:r>
          </w:p>
        </w:tc>
        <w:tc>
          <w:tcPr>
            <w:tcW w:w="2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SPN-443</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ADHD</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Preclinical</w:t>
            </w:r>
          </w:p>
        </w:tc>
        <w:tc>
          <w:tcPr>
            <w:tcW w:w="26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0"/>
              </w:rPr>
              <w:t>SPN-446/448</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CNS</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Discovery</w:t>
            </w:r>
          </w:p>
        </w:tc>
        <w:tc>
          <w:tcPr>
            <w:tcW w:w="2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w:t>
      </w:r>
    </w:p>
    <w:p>
      <w:pPr>
        <w:spacing w:after="0" w:line="18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December 2021, we resubmitted the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April 2023, the Company met with the FDA to discuss the CRL. Refer to discussion under the </w:t>
      </w:r>
      <w:r>
        <w:rPr>
          <w:rFonts w:ascii="Arial" w:cs="Arial" w:eastAsia="Arial" w:hAnsi="Arial"/>
          <w:sz w:val="16"/>
          <w:szCs w:val="16"/>
          <w:i w:val="1"/>
          <w:iCs w:val="1"/>
          <w:color w:val="auto"/>
        </w:rPr>
        <w:t>Operational Highlights</w:t>
      </w:r>
      <w:r>
        <w:rPr>
          <w:rFonts w:ascii="Arial" w:cs="Arial" w:eastAsia="Arial" w:hAnsi="Arial"/>
          <w:sz w:val="16"/>
          <w:szCs w:val="16"/>
          <w:color w:val="auto"/>
        </w:rPr>
        <w:t xml:space="preserve"> section below for a further regulatory update.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SPN-820/821 (mTORC1 activator)</w:t>
      </w:r>
    </w:p>
    <w:p>
      <w:pPr>
        <w:spacing w:after="0" w:line="185"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SPN-820/821 is a first-in-class, orally active small molecule that activates the brain mechanistic target of rapamycin complex 1 (mTORC1), a gatekeeper of cellular metabolism and renewal. SPN-820/821 binds to and modulates sestrin, which senses amino acid availability in the brain, a potent natural activator of mTORC1.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represents a novel mechanism of action (MOA) for an anticonvulsant. SPN-817 is a novel synthetic form of</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Qelbree Update</w:t>
      </w:r>
    </w:p>
    <w:p>
      <w:pPr>
        <w:spacing w:after="0" w:line="198" w:lineRule="exact"/>
        <w:rPr>
          <w:sz w:val="20"/>
          <w:szCs w:val="20"/>
          <w:color w:val="auto"/>
        </w:rPr>
      </w:pPr>
    </w:p>
    <w:p>
      <w:pPr>
        <w:ind w:left="660" w:right="5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IQVIA prescriptions were 146,344 in the second quarter of 2023, an increase of 133% compared to the same period last year and 9% compared to the first quarter of 2023.</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prescription size and improvement in gross to net resulting in 10% increase in average net price per prescription to $212 in the second quarter of 2023 compared to the first quarter.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Qelbree continues to expand its base of prescribers, with approximately 21,291 prescribers in the second quarter of 2023, up from 19,197 prescribers in the first quarter of 2023.</w:t>
      </w:r>
    </w:p>
    <w:p>
      <w:pPr>
        <w:spacing w:after="0" w:line="14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salesforce expansion has been completed and the field sales team is fully trained, allowing the Company broader reach and increased capacity as it prepares for the “back-to-school” season for Qelbree.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 Continuous treatment of motor fluctuations (“off” episodes) in Parkinson's Disease (PD)</w:t>
      </w:r>
    </w:p>
    <w:p>
      <w:pPr>
        <w:spacing w:after="0" w:line="198" w:lineRule="exact"/>
        <w:rPr>
          <w:sz w:val="20"/>
          <w:szCs w:val="20"/>
          <w:color w:val="auto"/>
        </w:rPr>
      </w:pPr>
    </w:p>
    <w:p>
      <w:pPr>
        <w:ind w:left="660" w:right="1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April 2023, the Company had a constructive meeting with the FDA to discuss the Complete Response Letter received in October 2022. Based on this meeting, the Company expects to resubmit the New Drug Application for SPN-830 in the fourth quarter of 2023.</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SPN-820/821 - Novel first-in-class activator of mTORC1</w:t>
      </w:r>
    </w:p>
    <w:p>
      <w:pPr>
        <w:spacing w:after="0" w:line="185" w:lineRule="exact"/>
        <w:rPr>
          <w:sz w:val="20"/>
          <w:szCs w:val="20"/>
          <w:color w:val="auto"/>
        </w:rPr>
      </w:pPr>
    </w:p>
    <w:p>
      <w:pPr>
        <w:ind w:left="660" w:right="10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Phase II multi-center randomized double-blind placebo-controlled parallel design study of SPN-820 in adults with treatment-resistant depression is ongoing.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 A novel product candidate for the treatment of epilepsy</w:t>
      </w:r>
    </w:p>
    <w:p>
      <w:pPr>
        <w:spacing w:after="0" w:line="225" w:lineRule="exact"/>
        <w:rPr>
          <w:sz w:val="20"/>
          <w:szCs w:val="20"/>
          <w:color w:val="auto"/>
        </w:rPr>
      </w:pPr>
    </w:p>
    <w:p>
      <w:pPr>
        <w:ind w:left="660" w:right="220" w:hanging="328"/>
        <w:spacing w:after="0" w:line="232"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open-label Phase II clinical study of SPN-817 in patients with treatment-resistant seizures is ongoing. Depending on the rate of enrollment, the Company expects to have data in the first half of 2024.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0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 xml:space="preserve">A summary of our significant accounting policies is included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our audited consolidated financial statements included in the Annual Report on Form 10-K for the year ended December 31, 2022. There were no significant changes to the disclosures with respect to our critical accounting policies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85"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Revenues consist primarily of net product sales of our commercial products in the U.S., supplemented by royalty revenues from our collaborative licensing arrangements. The following table provides information regarding our revenues during the three and six months ended months ended June 30, 2023 and 2022 (dollars in thousands):</w:t>
      </w:r>
    </w:p>
    <w:tbl>
      <w:tblPr>
        <w:tblLayout w:type="fixed"/>
        <w:tblInd w:w="0" w:type="dxa"/>
        <w:tblCellMar>
          <w:top w:w="0" w:type="dxa"/>
          <w:left w:w="0" w:type="dxa"/>
          <w:bottom w:w="0" w:type="dxa"/>
          <w:right w:w="0" w:type="dxa"/>
        </w:tblCellMar>
      </w:tblPr>
      <w:tr>
        <w:trPr>
          <w:trHeight w:val="15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right"/>
              <w:ind w:right="372"/>
              <w:spacing w:after="0" w:line="151" w:lineRule="exact"/>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gridSpan w:val="4"/>
          </w:tcPr>
          <w:p>
            <w:pPr>
              <w:jc w:val="right"/>
              <w:ind w:right="452"/>
              <w:spacing w:after="0" w:line="151"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3"/>
            <w:vMerge w:val="restart"/>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Percent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224"/>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rPr>
              <w:t>Qelbree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30,977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56,759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GOCOVRI</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2200" w:type="dxa"/>
            <w:vAlign w:val="bottom"/>
          </w:tcPr>
          <w:p>
            <w:pPr>
              <w:ind w:left="140"/>
              <w:spacing w:after="0"/>
              <w:rPr>
                <w:sz w:val="20"/>
                <w:szCs w:val="20"/>
                <w:color w:val="auto"/>
              </w:rPr>
            </w:pPr>
            <w:r>
              <w:rPr>
                <w:rFonts w:ascii="Arial" w:cs="Arial" w:eastAsia="Arial" w:hAnsi="Arial"/>
                <w:sz w:val="18"/>
                <w:szCs w:val="18"/>
                <w:color w:val="auto"/>
              </w:rPr>
              <w:t>Oxtellar XR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52,715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Trokendi XR</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2200" w:type="dxa"/>
            <w:vAlign w:val="bottom"/>
          </w:tcPr>
          <w:p>
            <w:pPr>
              <w:ind w:left="140"/>
              <w:spacing w:after="0"/>
              <w:rPr>
                <w:sz w:val="20"/>
                <w:szCs w:val="20"/>
                <w:color w:val="auto"/>
              </w:rPr>
            </w:pPr>
            <w:r>
              <w:rPr>
                <w:rFonts w:ascii="Arial" w:cs="Arial" w:eastAsia="Arial" w:hAnsi="Arial"/>
                <w:sz w:val="18"/>
                <w:szCs w:val="18"/>
                <w:color w:val="auto"/>
              </w:rPr>
              <w:t>APOKYN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2200" w:type="dxa"/>
            <w:vAlign w:val="bottom"/>
            <w:tcBorders>
              <w:bottom w:val="single" w:sz="8" w:color="CCEEFF"/>
            </w:tcBorders>
            <w:shd w:val="clear" w:color="auto" w:fill="CCEEFF"/>
          </w:tcPr>
          <w:p>
            <w:pPr>
              <w:ind w:left="140"/>
              <w:spacing w:after="0" w:line="236"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128,336</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165,459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268,911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312,923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20,416</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170,051</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289,327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322,557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85" w:lineRule="exact"/>
        <w:rPr>
          <w:sz w:val="20"/>
          <w:szCs w:val="20"/>
          <w:color w:val="auto"/>
        </w:rPr>
      </w:pPr>
    </w:p>
    <w:p>
      <w:pPr>
        <w:ind w:right="6400" w:firstLine="8"/>
        <w:spacing w:after="0" w:line="234" w:lineRule="auto"/>
        <w:tabs>
          <w:tab w:leader="none" w:pos="163"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Includes net product sales of MYOBLOC, XADAGO and Osmolex ER. ** Indicates calculation result is equal to or greater than 100%.</w:t>
      </w:r>
    </w:p>
    <w:p>
      <w:pPr>
        <w:spacing w:after="0" w:line="16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$37.1 million and $44.0 million decrease in net product sales for the three and six months ended June 30, 2023, as compared to the same periods in 2022, was primarily due to the decline in net product sales of Trokendi XR which was partially offset by the increase in net product sales from Qelbree and GOCOVRI.</w:t>
      </w:r>
    </w:p>
    <w:p>
      <w:pPr>
        <w:spacing w:after="0" w:line="143"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Trokendi XR net product sales decreased for the three and six months ended June 30, 2023, as compared to the same periods in 2022 due to the loss of exclusivity with generics entering the market in January 2023. The increase in Qelbree net product sales of $19.9 million was due to favorable unit prescription volume growth. The Company launched Qelbree for pediatric patients in May 2021 and for adult patients in May 2022 in the U.S.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We record accrued product returns and accrued product rebates as current liabilities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on our condensed consolidated balance sheets. We record sales discounts as a reduction against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on the condensed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firstLine="648"/>
        <w:spacing w:after="0" w:line="269" w:lineRule="auto"/>
        <w:rPr>
          <w:sz w:val="20"/>
          <w:szCs w:val="20"/>
          <w:color w:val="auto"/>
        </w:rPr>
      </w:pPr>
      <w:r>
        <w:rPr>
          <w:rFonts w:ascii="Arial" w:cs="Arial" w:eastAsia="Arial" w:hAnsi="Arial"/>
          <w:sz w:val="18"/>
          <w:szCs w:val="18"/>
          <w:color w:val="auto"/>
        </w:rPr>
        <w:t>The following table provides a summary of activity with respect to accrued product returns and rebates during the periods indicated (dollars in thousands):</w:t>
      </w:r>
    </w:p>
    <w:tbl>
      <w:tblPr>
        <w:tblLayout w:type="fixed"/>
        <w:tblInd w:w="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3"/>
              </w:rPr>
              <w:t>Accrued Product Returns and Rebates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336"/>
              <w:spacing w:after="0" w:line="133"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Returns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Rebates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Sales Discounts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45,008</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164,660</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current year sales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253,282</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254,947</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(260,583)</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159,024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3"/>
              </w:rPr>
              <w:t>Accrued Product Returns and Rebates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36"/>
              <w:spacing w:after="0" w:line="151"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335"/>
              <w:spacing w:after="0" w:line="151"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55"/>
              <w:spacing w:after="0" w:line="151" w:lineRule="exact"/>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Returns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Rebates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5"/>
              <w:spacing w:after="0"/>
              <w:rPr>
                <w:sz w:val="20"/>
                <w:szCs w:val="20"/>
                <w:color w:val="auto"/>
              </w:rPr>
            </w:pPr>
            <w:r>
              <w:rPr>
                <w:rFonts w:ascii="Arial" w:cs="Arial" w:eastAsia="Arial" w:hAnsi="Arial"/>
                <w:sz w:val="14"/>
                <w:szCs w:val="14"/>
                <w:b w:val="1"/>
                <w:bCs w:val="1"/>
                <w:color w:val="auto"/>
                <w:w w:val="88"/>
              </w:rPr>
              <w:t>Sales Discounts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current year sales</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260,644</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259,214</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(37,159)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(247,114)</w:t>
            </w:r>
          </w:p>
        </w:tc>
        <w:tc>
          <w:tcPr>
            <w:tcW w:w="0" w:type="dxa"/>
            <w:vAlign w:val="bottom"/>
          </w:tcPr>
          <w:p>
            <w:pPr>
              <w:spacing w:after="0"/>
              <w:rPr>
                <w:sz w:val="1"/>
                <w:szCs w:val="1"/>
                <w:color w:val="auto"/>
              </w:rPr>
            </w:pPr>
          </w:p>
        </w:tc>
      </w:tr>
      <w:tr>
        <w:trPr>
          <w:trHeight w:val="25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158,361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Product Returns and Rebates</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accrued product returns balance increased from $37.1 million as of June 30, 2022 to $51.3 million as of June 30, 2023 principally due to the timing of related return activity and an increase in provision for product returns primarily related to Qelbree.</w:t>
      </w:r>
    </w:p>
    <w:p>
      <w:pPr>
        <w:spacing w:after="0" w:line="130" w:lineRule="exact"/>
        <w:rPr>
          <w:sz w:val="20"/>
          <w:szCs w:val="20"/>
          <w:color w:val="auto"/>
        </w:rPr>
      </w:pPr>
    </w:p>
    <w:p>
      <w:pPr>
        <w:jc w:val="both"/>
        <w:ind w:right="260" w:firstLine="648"/>
        <w:spacing w:after="0" w:line="277" w:lineRule="auto"/>
        <w:rPr>
          <w:sz w:val="20"/>
          <w:szCs w:val="20"/>
          <w:color w:val="auto"/>
        </w:rPr>
      </w:pPr>
      <w:r>
        <w:rPr>
          <w:rFonts w:ascii="Arial" w:cs="Arial" w:eastAsia="Arial" w:hAnsi="Arial"/>
          <w:sz w:val="18"/>
          <w:szCs w:val="18"/>
          <w:color w:val="auto"/>
        </w:rPr>
        <w:t>The accrued product rebates balance decreased from $108.6 million as of June 30, 2022 to $97.5 million as of June 30, 2023 due to lower gross sales primarily relating to the loss of exclusivity on Trokendi XR and timing of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Product Returns and Rebates</w:t>
      </w:r>
    </w:p>
    <w:p>
      <w:pPr>
        <w:spacing w:after="0" w:line="18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provision for product returns increased from $7.1 million for the six months ended June 30, 2022 to $11.7 million for the six months ended June 30, 2023. The increase was primarily attributable to an increase in volume of products sold with the launch of Qelbree for adults in 2022, partially offset by lower sales of Trokendi XR.</w:t>
      </w:r>
    </w:p>
    <w:p>
      <w:pPr>
        <w:spacing w:after="0" w:line="14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provision for product rebates decreased from $215.9 million for the six months ended June 30, 2022 to $211.4 million for six months ended June 30, 2023. The decrease was primarily attributable to lower Trokendi XR sales partially offset by higher Qelbree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Royalty Revenues</w:t>
      </w:r>
    </w:p>
    <w:p>
      <w:pPr>
        <w:spacing w:after="0" w:line="18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Royalty revenues were $7.2 million and $4.6 million for the three months ended June 30, 2023 and 2022, respectively. Royalty revenues were $20.4 million and $9.6 million for the six months ended June 30, 2023 and 2022, respectively. The increase was primarily due to royalties on generic Trokendi XR for the three and six months ended June 30, 2023. The Company entered into settlement agreements on Trokendi XR that allowed third party generics to enter the market beginning January 1, 2023 and required them to pay royalties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Goods Sold</w:t>
      </w:r>
    </w:p>
    <w:p>
      <w:pPr>
        <w:spacing w:after="0" w:line="19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Cost of goods sold was $21.1 million and $20.5 million for the three months ended June 30, 2023 and 2022, respectively. Cost of goods sold was $44.6 million and $38.4 million for the six months ended June 30, 2023 and 2022, respectively. The $6.2 million increase was primarily due to higher Qelbree sales.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R&amp;D expenses were $24.4 million and $16.4 million for the three months ended June 30, 2023 and 2022, respectively. R&amp;D expenses were $45.6 million and $37.2 million for the six months ended June 30, 2023 and 2022, respectively. The increase for both periods was primarily due to increased clinical program costs on SPN-817 and SPN-820/SPN-821, increased manufacturing costs for our product candidates and higher employee compensation expenses in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regarding our selling, general and administrative (SG&amp;A) expenses during the periods indicated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8"/>
        </w:trPr>
        <w:tc>
          <w:tcPr>
            <w:tcW w:w="20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59,894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5"/>
              </w:rPr>
              <w:t>(19)%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117,124</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155"/>
              <w:spacing w:after="0"/>
              <w:rPr>
                <w:sz w:val="20"/>
                <w:szCs w:val="20"/>
                <w:color w:val="auto"/>
              </w:rPr>
            </w:pPr>
            <w:r>
              <w:rPr>
                <w:rFonts w:ascii="Arial" w:cs="Arial" w:eastAsia="Arial" w:hAnsi="Arial"/>
                <w:sz w:val="18"/>
                <w:szCs w:val="18"/>
                <w:color w:val="auto"/>
                <w:w w:val="91"/>
              </w:rPr>
              <w:t>(13)%</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2"/>
              </w:rPr>
              <w:t>General and administrative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26,888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center"/>
              <w:ind w:right="175"/>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center"/>
              <w:ind w:right="155"/>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86,782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95"/>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Selling, general and administrative expenses decreased by 14% to $86.8 million for the three months ended June 30, 2023 and by 10%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$172.4 million for the six months ended June 30, 2023. The decrease in selling and marketing expenses was primarily attributable to lower expenses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field sales and external marketing spend. The decrease in general and administrative expenses was primarily due to lower professional and consulting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to support finance and information and technology operations in 2022, which was partially offset by higher legal costs and share-based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in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of intangible assets was $20.1 million and $20.6 million for the three months ended June 30, 2023 and 2022,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was $40.1 million and $41.3 million for the six months ended June 30, 2023 and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 (Gain) Expense</w:t>
      </w:r>
    </w:p>
    <w:p>
      <w:pPr>
        <w:spacing w:after="0" w:line="198"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Contingent consideration was an expense of $0.8 million and $0.7 million for the three months ended June 30, 2023 and 2022, respectively. Contingent consideration was a gain of $0.9 million and an expense of $1.4 million for the six months ended June 30, 2023 and 2022, respectively. The contingent consideration gain was primarily driven by the change in estimated fair value of regulatory and development milestones associated with the USWM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85"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Other income (expense) was income of $0.5 million and expense of $22.0 thousand for the three months ended June 30, 2023 and 2022, respectively.</w:t>
      </w:r>
    </w:p>
    <w:p>
      <w:pPr>
        <w:spacing w:after="0" w:line="1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income (expense) was income of $4.3 million and $12.7 million for the six months ended June 30, 2023 and 2022, respectively. The $8.4 million decrease in other income was primarily due to the $12.9 million gain associated with the Navitor investment for the three months ended March 31, 2022.</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Income tax benefit of $16.3 million and $24.2 million for the three and six months ended June 30, 2023, as compared to $3.5 million expense and $7.4 million benefit for the three and six months ended June 30, 2022. The change was mainly due to an increased pre-tax loss in both periods in 2023.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requires an estimate of the annual effective income tax rate for the full year and apply it to pre-tax income (loss) for each interim period, taking into account year-to-date amounts and projected results for the full year. The effective tax rate decrease was mainly due to lower pre-tax earnings forecasted for 2023. The annual forecasted earnings represent the Company's best estimate as of June 30, 2023 and is subject to changes, which could have a material impact on the effective tax rate in subsequent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and the future commercial launch of SPN-830 (apomorphine infusion device), if approved by the FDA; continued market and payor pressures for our commercial products; and the unfavorable impact of the loss of patent exclusivity for Trokendi XR in January 2023.</w:t>
      </w:r>
    </w:p>
    <w:p>
      <w:pPr>
        <w:spacing w:after="0" w:line="15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believes its balances of cash, cash equivalents, marketable securities and long-term marketable securities, which totaled $189.1 million as of June 30, 2023, along with cash generated from ongoing operations and continued access to debt markets, will be sufficient to satisfy its cash requirements over the next 12 months and beyond.</w:t>
      </w:r>
    </w:p>
    <w:p>
      <w:pPr>
        <w:spacing w:after="0" w:line="14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Marketable Securities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marketable securities, and long-term marketable securities are comprised of the following (dollars in thousands):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4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(241,264)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189,134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555,230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(366,096)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decrease is primarily attributable to the repayment of the 2023 Notes on April 1, 2023, partially offset by cash generated from operations.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flows are comprised of the following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r>
      <w:tr>
        <w:trPr>
          <w:trHeight w:val="196"/>
        </w:trPr>
        <w:tc>
          <w:tcPr>
            <w:tcW w:w="7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r>
      <w:tr>
        <w:trPr>
          <w:trHeight w:val="229"/>
        </w:trPr>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71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30,252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75,421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(45,169)</w:t>
            </w:r>
          </w:p>
        </w:tc>
      </w:tr>
      <w:tr>
        <w:trPr>
          <w:trHeight w:val="229"/>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385,742</w:t>
            </w:r>
          </w:p>
        </w:tc>
      </w:tr>
      <w:tr>
        <w:trPr>
          <w:trHeight w:val="237"/>
        </w:trPr>
        <w:tc>
          <w:tcPr>
            <w:tcW w:w="7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(398,742)</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(378,981)</w:t>
            </w:r>
          </w:p>
        </w:tc>
      </w:tr>
      <w:tr>
        <w:trPr>
          <w:trHeight w:val="229"/>
        </w:trPr>
        <w:tc>
          <w:tcPr>
            <w:tcW w:w="7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 cash equivalents, and restricted cash</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(68,414)</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203,434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(110,314)</w:t>
            </w:r>
          </w:p>
        </w:tc>
      </w:tr>
      <w:tr>
        <w:trPr>
          <w:trHeight w:val="25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24,706</w:t>
            </w:r>
          </w:p>
        </w:tc>
        <w:tc>
          <w:tcPr>
            <w:tcW w:w="4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173,428</w:t>
            </w:r>
          </w:p>
        </w:tc>
        <w:tc>
          <w:tcPr>
            <w:tcW w:w="38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Net cash provided by operating activities was $30.3 million and $75.4 million for the six months ended June 30, 2023 and 2022, respectively. The decrease in cash flows provided by operating activities is primarily due to changes in working capital which reflects the timing impacts of changes in receivables, inventory, and payables.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Net cash provided by investing activities was $300.1 million for the six months ended June 30, 2023 compared to $85.7 million used during the same period in 2022, primarily due to the proceeds from the sale and maturities of investments in marketable securities which were used to pay off the 2023 Notes.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Net cash used by financing activities were $398.7 million and $19.8 million for the six months ended June 30, 2023 and 2022, respectively. The increase in cash flows used by financing activities is primarily due to the payment of the total principal amount due on the 2023 Notes. On March 30, 2023, the Company transferred funds totaling $403.8 million to the Trustee (Wilmington Trust) related to the repayment of the 2023 Notes which was reported as restricted cash in the first quarter of 2023. On April 1, 2023, the Company paid the total principal amount of $402.5 million under the 2023 Notes and the remaining outstanding interest due of $1.3 million with the restricted cash. This increase was slightly offset by the payment of $22.9 million for a contingent consideration milestone associated with the USWM Acquisition during the same period in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Refer to “Part II, Item 7 — Management’s Discussion and Analysis of Liquidity and Capital Resources”, of our Annual Report on Form 10-K for the year ended December 31, 2022, and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the Condensed Consolidated Financial Statements in Part I, Item 1, Unaudited Condensed Consolidated Financial Statements, of this Quarterly Report on Form 10-Q for the discussion of our contractual obligations.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a discussion of new accounting pronouncements, see Note 2 in the Notes to the Condensed Consolidated Financial Statements in Part I, Item 1, Unaudited Condensed Consolidated Financial Statements, of this Quarterly Report on Form 10-Q.</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June 30, 2023, we had cash and cash equivalents, marketable securities, and long-term marketable securities of $189.1 million.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fully repaid the outstanding principal and interest on the 2023 Notes in April 2023.</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borrowed funds pursuant to our Credit Line in connection with the payment of the 2023 Notes. We fully repaid the outstanding debt under the Credit Line in June 2023. In the future, we may borrow funds under the Credit Line. Variable rate borrowing exposes us to interest rate risk as increases in interest rates would increase our borrowing costs.</w:t>
      </w:r>
    </w:p>
    <w:p>
      <w:pPr>
        <w:spacing w:after="0" w:line="1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any borrowings thereunder are immediately due.</w:t>
      </w:r>
    </w:p>
    <w:p>
      <w:pPr>
        <w:spacing w:after="0" w:line="12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cash and cash equivalents consist primarily of cash held at banks and investments in highly liquid financial instruments with an original maturity of three months or less. Our marketable securities, which are reported at fair value, generally consist of money market funds; corporate and municipal debt securities; and other fixed income securities. We place all investments with governmental, industrial, or financial institutions whose debt is rated as investment grade. These securities have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w:t>
      </w:r>
    </w:p>
    <w:p>
      <w:pPr>
        <w:spacing w:after="0" w:line="1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do not have any currency or other derivative financial instruments other than the outstanding warrants to purchase common stock. The warrants expire in tranches, if unexercised, on or before November 22, 2023. The warrants entitle the holder to one share per warrant. The strike price of the warrants will initially be $80.91 per share of the Company’s common stock, and is subject to adjustment. The warrants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6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contract with clinical research organizations (CROs) and investigational sites globally. Currently, we have ongoing clinical trials being conducted outside the U.S. We do not hedge our foreign currency exchange rate risk. Transactions denominated in currencies other than the U.S. dollar are recorded based on exchange rates at the time such transactions arise. As of June 30, 2023 and December 31, 2022, substantially all of our liabilities were denominated in the U.S. dollar.</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Inflation generally affects us by increasing our cost of labor and the cost of services provided by our vendors.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June 30, 2023, the end of the period covered by this report. Based on that evaluation, under the supervision and with the participation of our management, including our CEO and CFO, we concluded that our disclosure controls and procedures are effective as of June 30, 2023.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quarter ended June 30,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 13a-15 that occurred during the quarter ended June 30, 2023 that have materially affected or are reasonably likely to materially affect, our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Oxtellar XR®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 Supernus Pharmaceuticals, Inc. v. Apotex Inc., et al., C.A. No. 20-cv-7870 (MAS)(TJB) (D.N.J.)</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22-cv-322 (D.N.J.), discussed in Section II, below. The Court issued a revised Scheduling Order on December 20, 2022 that further extends the 30</w:t>
      </w:r>
      <w:r>
        <w:rPr>
          <w:rFonts w:ascii="MS PGothic" w:cs="MS PGothic" w:eastAsia="MS PGothic" w:hAnsi="MS PGothic"/>
          <w:sz w:val="17"/>
          <w:szCs w:val="17"/>
          <w:color w:val="auto"/>
        </w:rPr>
        <w:t>‑</w:t>
      </w:r>
      <w:r>
        <w:rPr>
          <w:rFonts w:ascii="Arial" w:cs="Arial" w:eastAsia="Arial" w:hAnsi="Arial"/>
          <w:sz w:val="17"/>
          <w:szCs w:val="17"/>
          <w:color w:val="auto"/>
        </w:rPr>
        <w:t>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 Supernus Pharmaceuticals, Inc. v. Apotex Inc., et al., C.A. No. 22-cv-322 (FLW)(TJB) (D.N.J.)</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 —filed in the U.S. District Court for the District of New Jersey—alleges, inter alia, that Apotex infringed U.S. Patent No. 11,166,960 by submitting to the FDA an Abbreviated New Drug Application (“ANDA”) seeking to market a generic version of Oxtellar XR® prior to the expiration of U.S. Patent No. 11,166,960. On January 27, 2022, in related action, C.A. No. 20-cv-7870 (D.N.J.), the Court issued an Order staying all litigation proceedings and administratively terminated that related action. That Order further indicated that this action, i.e., C.A. No. 22-cv-322 (D.N.J.), will also be stayed. The Court lifted the stay of both actions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20-cv-7870 (D.N.J.), discussed in Section I, above, and administratively terminated C.A. No. 22-cv-322 (D.N.J.). In related action C.A. No. 20-cv-7870 (D.N.J.), the Court issued a revised Scheduling Order on December 20, 2022 that further extends the 30-month stay. The Company entered into a settlement agreement with Apotex, and on June 27, 2023, a stipulation of dismissal without prejudice was entered by the U.S. District Court for the District of New Jersey. The agreement has been submitted to the applicable governmental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III. Supernus Pharmaceuticals, Inc. v. RiconPharma LLC, et al., C.A. No. 21-cv-12133 (MEF)(MAH) (D.N.J.)</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7"/>
          <w:szCs w:val="17"/>
          <w:color w:val="auto"/>
        </w:rPr>
        <w:t>‑</w:t>
      </w:r>
      <w:r>
        <w:rPr>
          <w:rFonts w:ascii="Arial" w:cs="Arial" w:eastAsia="Arial" w:hAnsi="Arial"/>
          <w:sz w:val="17"/>
          <w:szCs w:val="17"/>
          <w:color w:val="auto"/>
        </w:rPr>
        <w:t>infringement for the nine Oxtellar XR® 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On November 22, 2022, the Court issued an Order consolidating for all purposes this lawsuit with another pending lawsuit against Ricon, C.A. No. 22-cv-6340 (D.N.J.), discussed in Section IV, below. The Court issued a revised Scheduling Order on June 27, 2023 that provides a Joint Final Pretrial Order deadline of July 12, 2024. Pretrial discovery is ongoing as of the date of this submission.</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IV. Supernus Pharmaceuticals, Inc. v. RiconPharma LLC, et al., C.A. No. 22-cv-6340 (KM)(MAH) (D.N.J.)</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received a Paragraph IV Notice Letter from generic drug maker RiconPharma, LLC (“Ricon”) dated October 7, 2022 directed to one of its Oxtellar XR® 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 prior to the expiration of U.S. Patent No. 11,166,960. On November 22, 2022, the Court issued an Order consolidating for all purposes this lawsuit with another pending lawsuit against Ricon, C.A. No. 21-cv-12133 (D.N.J.), discussed in Section III, above. The Court further ordered that this action—C.A. No. 22-cv-6340 (D.N.J.)—be administratively terminated.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 Supernus Pharmaceuticals, Inc. v. Ajanta Pharma Limited, C.A. No. 22-cv-1431 (GBW) (D. Del.)</w:t>
      </w:r>
    </w:p>
    <w:p>
      <w:pPr>
        <w:spacing w:after="0" w:line="18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Company received a Paragraph IV Notice Letter from generic drug maker Ajanta Pharma Limited (“Ajanta”) dated September 19, 2022 directed to ten of its Oxtellar XR® Orange Book patents. Supernus’s U.S. Patent Nos. 7,722,898; 7,910,131; 8,617,600; 8,821,930; 9,119,791; 9,351,975; 9,370,525; 9,855,278; 10,220,042; and 11,166,960 generally cover once-a-day oxcarbazepine formulations and methods of treating seizures using those formulations. The FDA Orange Book lists all ten of the Company’s Oxtellar XR®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The Court issued a Scheduling Order on July 13, 2023 that sets a trial date of February 10, 2025. Pretrial discovery is ongoing as of the date of this submission.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Trokendi XR®</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 Supernus Pharmaceuticals, Inc. v. Ajanta Pharma Limited, et al., C.A. No. 21-cv-6964 (GC)(DEA) (D.N.J.)</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received a Paragraph IV Notice Letter from generic drug maker Ajanta Pharma Limited dated February 10, 2021 directed to ten of its Trokendi XR® Orange Book patents. Supernus’s U.S. Patent Nos. 8,298,576; 8,298,580; 8,663,683;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VII, below. The consolidation order extended the 30</w:t>
      </w:r>
      <w:r>
        <w:rPr>
          <w:rFonts w:ascii="MS PGothic" w:cs="MS PGothic" w:eastAsia="MS PGothic" w:hAnsi="MS PGothic"/>
          <w:sz w:val="16"/>
          <w:szCs w:val="16"/>
          <w:color w:val="auto"/>
        </w:rPr>
        <w:t>‑</w:t>
      </w:r>
      <w:r>
        <w:rPr>
          <w:rFonts w:ascii="Arial" w:cs="Arial" w:eastAsia="Arial" w:hAnsi="Arial"/>
          <w:sz w:val="16"/>
          <w:szCs w:val="16"/>
          <w:color w:val="auto"/>
        </w:rPr>
        <w:t>month stay preventing the FDA from approving Ajanta’s ANDA to December 16, 2023. The Company entered into a settlement agreement with Ajanta, and on April 4, 2023, a stipulation of dismissal without prejudice was entered by the U.S. District Court for the District of New Jersey. The agreement has been submitted to the applicable governmental agencies.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 Supernus Pharmaceuticals, Inc. v. Torrent Pharmaceuticals Ltd., et al., C.A. No. 21-cv-14268 (GC)(DEA) (D.N.J.)</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VI, above. On June 16, 2023, the Court amended the scheduling order. The Final Pretrial Conference occurred on July 6, 2023. A Bench Trial has begun on July 31, 2023.</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VIII. Supernus Pharmaceuticals, Inc. v. Lupin Limited, et al., C.A. No. 21-cv-1293 (MN) (D. Del.)</w:t>
      </w:r>
    </w:p>
    <w:p>
      <w:pPr>
        <w:spacing w:after="0" w:line="202"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r>
      <w:r>
        <w:rPr>
          <w:rFonts w:ascii="MS PGothic" w:cs="MS PGothic" w:eastAsia="MS PGothic" w:hAnsi="MS PGothic"/>
          <w:sz w:val="18"/>
          <w:szCs w:val="18"/>
          <w:color w:val="auto"/>
        </w:rPr>
        <w:t>‑</w:t>
      </w:r>
      <w:r>
        <w:rPr>
          <w:rFonts w:ascii="Arial" w:cs="Arial" w:eastAsia="Arial" w:hAnsi="Arial"/>
          <w:sz w:val="18"/>
          <w:szCs w:val="18"/>
          <w:color w:val="auto"/>
        </w:rPr>
        <w:t>infringement and invalidity for the Trokendi XR® Orange Book patents. On January 10, 2022, the Company filed its reply, denying the substantive allegations of Lupin’s Counterclaims. On May 11, 2023, the Company and Lupin filed a Stipulation and [Proposed] Order to Amend Scheduling Order, that proposed an extension of the 30-month stay to March 30, 2024, but also stated that “the parties do not object to the Court exercising its discretion to further extend the expiration of the 30-month stay beyond the Proposed Date of March 30, 2024 as the Court deems appropriate.” On May 12, 2023, the Court issued a revised scheduling order that provides for a Final Pretrial Conference on March 12, 2024, and a five-day bench trial beginning on March 18, 2024. Pretrial discovery is ongoing as of the date of this submission.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IX. Supernus Pharmaceuticals, Inc. v. Zydus Pharmaceuticals (USA) Inc., et al., C.A. No. 21-cv-17104 (GC)(LHG) (D.N.J.)</w:t>
      </w:r>
    </w:p>
    <w:p>
      <w:pPr>
        <w:spacing w:after="0" w:line="189" w:lineRule="exact"/>
        <w:rPr>
          <w:sz w:val="20"/>
          <w:szCs w:val="20"/>
          <w:color w:val="auto"/>
        </w:rPr>
      </w:pPr>
    </w:p>
    <w:p>
      <w:pPr>
        <w:ind w:right="100" w:firstLine="648"/>
        <w:spacing w:after="0" w:line="281" w:lineRule="auto"/>
        <w:rPr>
          <w:sz w:val="20"/>
          <w:szCs w:val="20"/>
          <w:color w:val="auto"/>
        </w:rPr>
      </w:pPr>
      <w:r>
        <w:rPr>
          <w:rFonts w:ascii="Arial" w:cs="Arial" w:eastAsia="Arial" w:hAnsi="Arial"/>
          <w:sz w:val="16"/>
          <w:szCs w:val="16"/>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The Company entered into a settlement agreement with Zydus, and on January 6, 2023, a stipulation of dismissal without prejudice was entered by the U.S. District Court for the District of New Jersey. The agreement has been submitted to the applicable governmental agencies.</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 Supernus Pharmaceuticals, Inc. v. Alkem Laboratories Ltd., C.A. No. 22-cv-3511 (EEB)(SRH) (N.D. Ill.)</w:t>
      </w:r>
    </w:p>
    <w:p>
      <w:pPr>
        <w:spacing w:after="0" w:line="20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On October 3, 2022, Alkem answered the Complaint and denied the substantive allegations of the Complaint, asserting affirmative defenses that include non-infringement and invalidity. The Company entered into a settlement agreement with Alkem, and on March 20, 2023, a stipulation of dismissal without prejudice was entered by the U.S. District Court for the Northern District of Illinois. The agreement has been submitted to the applicable governmental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714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8" w:lineRule="exact"/>
        <w:rPr>
          <w:sz w:val="20"/>
          <w:szCs w:val="20"/>
          <w:color w:val="auto"/>
        </w:rPr>
      </w:pPr>
    </w:p>
    <w:p>
      <w:pPr>
        <w:ind w:right="80" w:firstLine="8"/>
        <w:spacing w:after="0" w:line="235" w:lineRule="auto"/>
        <w:tabs>
          <w:tab w:leader="none" w:pos="99"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Arial" w:cs="Arial" w:eastAsia="Arial" w:hAnsi="Arial"/>
          <w:sz w:val="17"/>
          <w:szCs w:val="17"/>
          <w:i w:val="1"/>
          <w:iCs w:val="1"/>
          <w:color w:val="auto"/>
        </w:rPr>
        <w:t xml:space="preserve">See </w:t>
      </w:r>
      <w:r>
        <w:rPr>
          <w:rFonts w:ascii="Arial" w:cs="Arial" w:eastAsia="Arial" w:hAnsi="Arial"/>
          <w:sz w:val="17"/>
          <w:szCs w:val="17"/>
          <w:color w:val="auto"/>
        </w:rPr>
        <w:t>https://www.sec.gov/Archives/edgar/data/1356576/000110465917031191/a17-10293_1ex10d1.htm.</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 Supernus Pharmaceuticals, Inc. v. Dr. Reddy’s Laboratories, Ltd., et al., C.A. No. 22-cv-4705 (GC)(JBD) (D.N.J.)</w:t>
      </w:r>
    </w:p>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makers Dr, Reddy’s Laboratories Ltd. and Dr. Reddy’s Laboratories, Inc. dated June 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 Orange Book patents. The Complaint—filed in the U.S. District Court for the District of New Jersey—alleges, inter alia, that DRL infringed the Company’s 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7, 2022, DRL answered the Complaint and denied the substantive allegations of the Complaint, asserting affirmative defenses that include non-infringement and invalidity. The Company entered into a settlement agreement with DRL, and on June 28, 2023, a stipulation of dismissal without prejudice was entered by the U.S. District Court for the District of New Jersey. The agreement has been submitted to the applicable governmental agencies.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 Supernus Pharmaceuticals, Inc. v. Ascent Pharmaceuticals Inc., et al., C.A. No. 23-cv-4015 (GC)(DEA) (D.N.J.)</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26, 2023, the Company filed a lawsuit against Ascent Pharmaceuticals Inc., Camber Pharmaceuticals, Inc., and Hetero Labs Ltd. (collectively, “Ascent”) alleging infringement of the Company’s Trokendi XR® Orange Book patents. The Complaint—filed in the U.S. District Court for the District of New Jersey—alleges, inter alia, that Ascent infringed the Company’s Trokendi XR® patents by submitting to the FDA an Abbreviated New Drug Application (“ANDA”) seeking to market a generic version of Trokendi XR® prior to the expiration of the Company’s patents. Filing its July 26, 2023 Complaint within 45 days of receiving Ascent’s Paragraph IV certification notice entitles Supernus to an automatic stay preventing the FDA from approving Ascent’s ANDA for 30 months from the date of the Company’s receipt of the Paragraph IV Notice Letter. As of this the date of this submission, Ascent has not yet responded to the Complaint and the Court has not issued a Scheduling Order.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XIII. Supernus Pharmaceuticals, Inc. v. Ascent Pharmaceuticals Inc., et al., C.A. No. 23-cv-5720 (E.D.N.Y.)</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received a Paragraph IV Notice Letter from generic drug maker Ascent Pharmaceuticals Inc. dated June 15, 2023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2023, the Company filed a lawsuit against Ascent Pharmaceuticals Inc., Camber Pharmaceuticals, Inc., and Hetero Labs Ltd. (collectively, “Ascent”) alleging infringement of the Company’s Trokendi XR® Orange Book patents. The Complaint—filed in the U.S. District Court for the Eastern District of New York—alleges, inter alia, that Ascent infringed the Company’s Trokendi XR® patents by submitting to the FDA an Abbreviated New Drug Application (“ANDA”) seeking to market a generic version of Trokendi XR® prior to the expiration of the Company’s patents. Filing its July 28, 2023 Complaint within 45 days of receiving Ascent’s Paragraph IV certification notice entitles Supernus to an automatic stay preventing the FDA from approving Ascent’s ANDA for 30 months from the date of the Company’s receipt of the Paragraph IV Notice Letter. As of this the date of this submission, Ascent has not yet responded to the Complaint and the Court has not issued a Scheduling Order.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APOKYN®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XIV. Sage Chemical, Inc., et al. v. Supernus Pharmaceuticals, Inc., et al., C.A. No. 22-cv-1302 (CJB) (D. Del.)</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October 3, 2022, Sage Chemical, Inc. and TruPharma, LLC filed a lawsuit in the United States District Court for the District of Delaware alleging that Supernus Pharmaceuticals, Inc., Britannia Pharmaceuticals Limited (“Britannia”), and US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WorldMeds Partners, LLC (“US WorldMeds”) violated state and federal antitrust law in connection with APOKYN® (apomorphine HCl). On October 16, 2022, Plaintiffs amended their complaint to add additional defendants MDD US Enterprises, LLC, MDD US Operations, LLC (each subsidiaries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As of April 12, 2023, briefing on those motions is now complete. Those motions remain pending. On April 10, 2023 the Court issued a scheduling order that provides for a Pretrial Conference on March 7, 2025 and a jury trial beginning on March 24, 2025. Pretrial discovery is ongoing as the date of this submission.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XADAGO®</w:t>
      </w:r>
    </w:p>
    <w:p>
      <w:pPr>
        <w:spacing w:after="0" w:line="18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201F1E"/>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 On March 22, 2022, defendant Optimus Pharma Pvt Ltd was dismissed from the case without prejudice. On January 5, 2023, Defendants Aurobindo Pharma Limited and Aurobindo Pharma USA Inc. were dismissed from the case without prejudice pursuant to a settlement agreement. On April 14, 2023, the Court issued a claim construction opinion and order construing terms of the asserted patent claims. Fact discovery and expert discovery are closed. A status conference is set for October 05,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Adamas Litigation</w:t>
      </w:r>
    </w:p>
    <w:p>
      <w:pPr>
        <w:spacing w:after="0" w:line="198" w:lineRule="exact"/>
        <w:rPr>
          <w:sz w:val="20"/>
          <w:szCs w:val="20"/>
          <w:color w:val="auto"/>
        </w:rPr>
      </w:pPr>
    </w:p>
    <w:p>
      <w:pPr>
        <w:ind w:firstLine="738"/>
        <w:spacing w:after="0" w:line="257" w:lineRule="auto"/>
        <w:rPr>
          <w:sz w:val="20"/>
          <w:szCs w:val="20"/>
          <w:color w:val="auto"/>
        </w:rPr>
      </w:pPr>
      <w:r>
        <w:rPr>
          <w:rFonts w:ascii="Arial" w:cs="Arial" w:eastAsia="Arial" w:hAnsi="Arial"/>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1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6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w:t>
      </w:r>
    </w:p>
    <w:p>
      <w:pPr>
        <w:spacing w:after="0" w:line="14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All claims against Adamas have been dismissed with prejudice, but claims against one of the individual defendants, who may have certain rights to indemnification, remain. On February 27, 2023, plaintiffs advised the Court that plaintiffs would proceed only on the remaining claim against one of the individual defendants. The individual defendant filed an answer denying the claim on April 28, 2023. No trial date has been set.</w:t>
      </w:r>
    </w:p>
    <w:p>
      <w:pPr>
        <w:spacing w:after="0" w:line="14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Securities Exchange Act of 1934. Adamas is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2022 and quarterly report on Form 10-Q for the period ended June 30, 2023. These risks may result in material harm to our business and our financial condition and results of operations. If a material, adverse event was to occur, the market price of our common stock may decline, and you could lose part or all of your investment.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six months ended June 30, 2023, all of the Company's grants of equity awards occurred pursuant to its 2021 Equity Incentive Plan (the "2021 Plan"). Securities issued under the 2021 Plan are registered on the Company's Form S-8 filed on June 25, 2021.</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5"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84" w:lineRule="exact"/>
        <w:rPr>
          <w:rFonts w:ascii="Arial" w:cs="Arial" w:eastAsia="Arial" w:hAnsi="Arial"/>
          <w:sz w:val="18"/>
          <w:szCs w:val="18"/>
          <w:b w:val="1"/>
          <w:bCs w:val="1"/>
          <w:color w:val="auto"/>
        </w:rPr>
      </w:pPr>
    </w:p>
    <w:p>
      <w:pPr>
        <w:ind w:left="400" w:hanging="392"/>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None.</w:t>
      </w:r>
    </w:p>
    <w:p>
      <w:pPr>
        <w:spacing w:after="0" w:line="198" w:lineRule="exact"/>
        <w:rPr>
          <w:rFonts w:ascii="Arial" w:cs="Arial" w:eastAsia="Arial" w:hAnsi="Arial"/>
          <w:sz w:val="18"/>
          <w:szCs w:val="18"/>
          <w:b w:val="1"/>
          <w:bCs w:val="1"/>
          <w:color w:val="auto"/>
        </w:rPr>
      </w:pPr>
    </w:p>
    <w:p>
      <w:pPr>
        <w:ind w:left="380" w:hanging="372"/>
        <w:spacing w:after="0"/>
        <w:tabs>
          <w:tab w:leader="none" w:pos="3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 and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quarter, the following trading arrangements were adopted or terminated as indicated below:</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600" w:type="dxa"/>
            <w:vAlign w:val="bottom"/>
            <w:tcBorders>
              <w:top w:val="single" w:sz="8" w:color="auto"/>
              <w:left w:val="single" w:sz="8" w:color="auto"/>
              <w:right w:val="single" w:sz="8" w:color="auto"/>
            </w:tcBorders>
          </w:tcPr>
          <w:p>
            <w:pPr>
              <w:ind w:left="40"/>
              <w:spacing w:after="0" w:line="198" w:lineRule="exact"/>
              <w:rPr>
                <w:sz w:val="20"/>
                <w:szCs w:val="20"/>
                <w:color w:val="auto"/>
              </w:rPr>
            </w:pPr>
            <w:r>
              <w:rPr>
                <w:rFonts w:ascii="Arial" w:cs="Arial" w:eastAsia="Arial" w:hAnsi="Arial"/>
                <w:sz w:val="18"/>
                <w:szCs w:val="18"/>
                <w:b w:val="1"/>
                <w:bCs w:val="1"/>
                <w:color w:val="auto"/>
              </w:rPr>
              <w:t>Name and Title of</w:t>
            </w:r>
          </w:p>
        </w:tc>
        <w:tc>
          <w:tcPr>
            <w:tcW w:w="162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Rule 10b5-1</w:t>
            </w:r>
          </w:p>
        </w:tc>
        <w:tc>
          <w:tcPr>
            <w:tcW w:w="158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Trading</w:t>
            </w:r>
          </w:p>
        </w:tc>
        <w:tc>
          <w:tcPr>
            <w:tcW w:w="16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w w:val="91"/>
              </w:rPr>
              <w:t>Date of Adoption or</w:t>
            </w:r>
          </w:p>
        </w:tc>
        <w:tc>
          <w:tcPr>
            <w:tcW w:w="16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rPr>
              <w:t>Duration of</w:t>
            </w:r>
          </w:p>
        </w:tc>
        <w:tc>
          <w:tcPr>
            <w:tcW w:w="1600" w:type="dxa"/>
            <w:vAlign w:val="bottom"/>
            <w:tcBorders>
              <w:top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b w:val="1"/>
                <w:bCs w:val="1"/>
                <w:color w:val="auto"/>
                <w:w w:val="95"/>
              </w:rPr>
              <w:t>Aggregate Number</w:t>
            </w:r>
          </w:p>
        </w:tc>
        <w:tc>
          <w:tcPr>
            <w:tcW w:w="1600" w:type="dxa"/>
            <w:vAlign w:val="bottom"/>
            <w:tcBorders>
              <w:top w:val="single" w:sz="8" w:color="auto"/>
              <w:right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96"/>
              </w:rPr>
              <w:t>Aggregate Number</w:t>
            </w:r>
          </w:p>
        </w:tc>
      </w:tr>
      <w:tr>
        <w:trPr>
          <w:trHeight w:val="180"/>
        </w:trPr>
        <w:tc>
          <w:tcPr>
            <w:tcW w:w="1600" w:type="dxa"/>
            <w:vAlign w:val="bottom"/>
            <w:tcBorders>
              <w:left w:val="single" w:sz="8" w:color="auto"/>
              <w:right w:val="single" w:sz="8" w:color="auto"/>
            </w:tcBorders>
          </w:tcPr>
          <w:p>
            <w:pPr>
              <w:ind w:left="40"/>
              <w:spacing w:after="0" w:line="181" w:lineRule="exact"/>
              <w:rPr>
                <w:sz w:val="20"/>
                <w:szCs w:val="20"/>
                <w:color w:val="auto"/>
              </w:rPr>
            </w:pPr>
            <w:r>
              <w:rPr>
                <w:rFonts w:ascii="Arial" w:cs="Arial" w:eastAsia="Arial" w:hAnsi="Arial"/>
                <w:sz w:val="18"/>
                <w:szCs w:val="18"/>
                <w:b w:val="1"/>
                <w:bCs w:val="1"/>
                <w:color w:val="auto"/>
                <w:w w:val="98"/>
              </w:rPr>
              <w:t>Director or Officer</w:t>
            </w:r>
          </w:p>
        </w:tc>
        <w:tc>
          <w:tcPr>
            <w:tcW w:w="16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Trading</w:t>
            </w:r>
          </w:p>
        </w:tc>
        <w:tc>
          <w:tcPr>
            <w:tcW w:w="158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rPr>
              <w:t>Arrangement</w:t>
            </w: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Termination</w:t>
            </w: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Trading</w:t>
            </w: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w w:val="98"/>
              </w:rPr>
              <w:t>of Securities to be</w:t>
            </w:r>
          </w:p>
        </w:tc>
        <w:tc>
          <w:tcPr>
            <w:tcW w:w="160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w w:val="99"/>
              </w:rPr>
              <w:t>of Securities to be</w:t>
            </w:r>
          </w:p>
        </w:tc>
      </w:tr>
      <w:tr>
        <w:trPr>
          <w:trHeight w:val="176"/>
        </w:trPr>
        <w:tc>
          <w:tcPr>
            <w:tcW w:w="16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Arrangement</w:t>
            </w:r>
            <w:r>
              <w:rPr>
                <w:rFonts w:ascii="Arial" w:cs="Arial" w:eastAsia="Arial" w:hAnsi="Arial"/>
                <w:sz w:val="20"/>
                <w:szCs w:val="20"/>
                <w:b w:val="1"/>
                <w:bCs w:val="1"/>
                <w:color w:val="auto"/>
                <w:vertAlign w:val="superscript"/>
              </w:rPr>
              <w:t>(1)</w:t>
            </w:r>
          </w:p>
        </w:tc>
        <w:tc>
          <w:tcPr>
            <w:tcW w:w="15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Adopted or</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Arrangement</w:t>
            </w: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b w:val="1"/>
                <w:bCs w:val="1"/>
                <w:color w:val="auto"/>
              </w:rPr>
              <w:t>Purchased</w:t>
            </w:r>
          </w:p>
        </w:tc>
        <w:tc>
          <w:tcPr>
            <w:tcW w:w="160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b w:val="1"/>
                <w:bCs w:val="1"/>
                <w:color w:val="auto"/>
              </w:rPr>
              <w:t>Sold Pursuant to</w:t>
            </w:r>
          </w:p>
        </w:tc>
      </w:tr>
      <w:tr>
        <w:trPr>
          <w:trHeight w:val="184"/>
        </w:trPr>
        <w:tc>
          <w:tcPr>
            <w:tcW w:w="160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Terminated</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20"/>
              <w:spacing w:after="0" w:line="184" w:lineRule="exact"/>
              <w:rPr>
                <w:sz w:val="20"/>
                <w:szCs w:val="20"/>
                <w:color w:val="auto"/>
              </w:rPr>
            </w:pPr>
            <w:r>
              <w:rPr>
                <w:rFonts w:ascii="Arial" w:cs="Arial" w:eastAsia="Arial" w:hAnsi="Arial"/>
                <w:sz w:val="18"/>
                <w:szCs w:val="18"/>
                <w:b w:val="1"/>
                <w:bCs w:val="1"/>
                <w:color w:val="auto"/>
              </w:rPr>
              <w:t>Pursuant to</w:t>
            </w:r>
          </w:p>
        </w:tc>
        <w:tc>
          <w:tcPr>
            <w:tcW w:w="1600" w:type="dxa"/>
            <w:vAlign w:val="bottom"/>
            <w:tcBorders>
              <w:right w:val="single" w:sz="8" w:color="auto"/>
            </w:tcBorders>
          </w:tcPr>
          <w:p>
            <w:pPr>
              <w:spacing w:after="0" w:line="184" w:lineRule="exact"/>
              <w:rPr>
                <w:sz w:val="20"/>
                <w:szCs w:val="20"/>
                <w:color w:val="auto"/>
              </w:rPr>
            </w:pPr>
            <w:r>
              <w:rPr>
                <w:rFonts w:ascii="Arial" w:cs="Arial" w:eastAsia="Arial" w:hAnsi="Arial"/>
                <w:sz w:val="18"/>
                <w:szCs w:val="18"/>
                <w:b w:val="1"/>
                <w:bCs w:val="1"/>
                <w:color w:val="auto"/>
              </w:rPr>
              <w:t>Trading</w:t>
            </w:r>
          </w:p>
        </w:tc>
      </w:tr>
      <w:tr>
        <w:trPr>
          <w:trHeight w:val="180"/>
        </w:trPr>
        <w:tc>
          <w:tcPr>
            <w:tcW w:w="16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b w:val="1"/>
                <w:bCs w:val="1"/>
                <w:color w:val="auto"/>
              </w:rPr>
              <w:t>Trading</w:t>
            </w:r>
          </w:p>
        </w:tc>
        <w:tc>
          <w:tcPr>
            <w:tcW w:w="1600" w:type="dxa"/>
            <w:vAlign w:val="bottom"/>
            <w:tcBorders>
              <w:right w:val="single" w:sz="8" w:color="auto"/>
            </w:tcBorders>
          </w:tcPr>
          <w:p>
            <w:pPr>
              <w:spacing w:after="0" w:line="181" w:lineRule="exact"/>
              <w:rPr>
                <w:sz w:val="20"/>
                <w:szCs w:val="20"/>
                <w:color w:val="auto"/>
              </w:rPr>
            </w:pPr>
            <w:r>
              <w:rPr>
                <w:rFonts w:ascii="Arial" w:cs="Arial" w:eastAsia="Arial" w:hAnsi="Arial"/>
                <w:sz w:val="18"/>
                <w:szCs w:val="18"/>
                <w:b w:val="1"/>
                <w:bCs w:val="1"/>
                <w:color w:val="auto"/>
              </w:rPr>
              <w:t>Arrangement</w:t>
            </w:r>
          </w:p>
        </w:tc>
      </w:tr>
      <w:tr>
        <w:trPr>
          <w:trHeight w:val="229"/>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Arrangement</w:t>
            </w:r>
          </w:p>
        </w:tc>
        <w:tc>
          <w:tcPr>
            <w:tcW w:w="1600" w:type="dxa"/>
            <w:vAlign w:val="bottom"/>
            <w:tcBorders>
              <w:bottom w:val="single" w:sz="8" w:color="auto"/>
              <w:right w:val="single" w:sz="8" w:color="auto"/>
            </w:tcBorders>
          </w:tcPr>
          <w:p>
            <w:pPr>
              <w:spacing w:after="0"/>
              <w:rPr>
                <w:sz w:val="19"/>
                <w:szCs w:val="19"/>
                <w:color w:val="auto"/>
              </w:rPr>
            </w:pPr>
          </w:p>
        </w:tc>
      </w:tr>
      <w:tr>
        <w:trPr>
          <w:trHeight w:val="182"/>
        </w:trPr>
        <w:tc>
          <w:tcPr>
            <w:tcW w:w="16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Jack Khattar,</w:t>
            </w:r>
          </w:p>
        </w:tc>
        <w:tc>
          <w:tcPr>
            <w:tcW w:w="162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21"/>
                <w:szCs w:val="21"/>
                <w:color w:val="auto"/>
                <w:vertAlign w:val="subscript"/>
              </w:rPr>
              <w:t>No</w:t>
            </w:r>
            <w:r>
              <w:rPr>
                <w:rFonts w:ascii="Arial" w:cs="Arial" w:eastAsia="Arial" w:hAnsi="Arial"/>
                <w:sz w:val="9"/>
                <w:szCs w:val="9"/>
                <w:color w:val="auto"/>
              </w:rPr>
              <w:t>(2)</w:t>
            </w:r>
          </w:p>
        </w:tc>
        <w:tc>
          <w:tcPr>
            <w:tcW w:w="15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Terminated</w:t>
            </w:r>
          </w:p>
        </w:tc>
        <w:tc>
          <w:tcPr>
            <w:tcW w:w="16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May 19, 2023</w:t>
            </w:r>
          </w:p>
        </w:tc>
        <w:tc>
          <w:tcPr>
            <w:tcW w:w="16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w w:val="94"/>
              </w:rPr>
              <w:t>September 15, 2022</w:t>
            </w:r>
          </w:p>
        </w:tc>
        <w:tc>
          <w:tcPr>
            <w:tcW w:w="160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150,000</w:t>
            </w:r>
          </w:p>
        </w:tc>
      </w:tr>
      <w:tr>
        <w:trPr>
          <w:trHeight w:val="176"/>
        </w:trPr>
        <w:tc>
          <w:tcPr>
            <w:tcW w:w="16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President, Chief</w:t>
            </w:r>
          </w:p>
        </w:tc>
        <w:tc>
          <w:tcPr>
            <w:tcW w:w="162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through January 23,</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r>
      <w:tr>
        <w:trPr>
          <w:trHeight w:val="176"/>
        </w:trPr>
        <w:tc>
          <w:tcPr>
            <w:tcW w:w="1600" w:type="dxa"/>
            <w:vAlign w:val="bottom"/>
            <w:tcBorders>
              <w:left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Executive Officer</w:t>
            </w:r>
          </w:p>
        </w:tc>
        <w:tc>
          <w:tcPr>
            <w:tcW w:w="162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2024</w:t>
            </w:r>
          </w:p>
        </w:tc>
        <w:tc>
          <w:tcPr>
            <w:tcW w:w="160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r>
      <w:tr>
        <w:trPr>
          <w:trHeight w:val="237"/>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Director</w:t>
            </w:r>
          </w:p>
        </w:tc>
        <w:tc>
          <w:tcPr>
            <w:tcW w:w="16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ind w:left="340" w:hanging="170"/>
        <w:spacing w:after="0" w:line="208" w:lineRule="auto"/>
        <w:tabs>
          <w:tab w:leader="none" w:pos="340"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Indicates whether the trading arrangement is intended to satisfy the affirmative defense conditions of Rule 10b5-1(c).</w:t>
      </w:r>
    </w:p>
    <w:p>
      <w:pPr>
        <w:ind w:left="320" w:hanging="150"/>
        <w:spacing w:after="0" w:line="223" w:lineRule="auto"/>
        <w:tabs>
          <w:tab w:leader="none" w:pos="3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This trading arrangement was intended to satisfy the affirmative defense conditions of Rule 10b5-1(c) in effect on the date the trading arrangement was adopted.</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19"/>
        </w:trPr>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38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gridSpan w:val="5"/>
          </w:tcPr>
          <w:p>
            <w:pPr>
              <w:ind w:left="300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1740" w:type="dxa"/>
            <w:vAlign w:val="bottom"/>
          </w:tcPr>
          <w:p>
            <w:pPr>
              <w:ind w:left="20"/>
              <w:spacing w:after="0" w:line="189"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FF"/>
            </w:tcBorders>
            <w:gridSpan w:val="3"/>
          </w:tcPr>
          <w:p>
            <w:pPr>
              <w:spacing w:after="0" w:line="189" w:lineRule="exact"/>
              <w:rPr>
                <w:sz w:val="20"/>
                <w:szCs w:val="20"/>
                <w:color w:val="auto"/>
              </w:rPr>
            </w:pPr>
            <w:r>
              <w:rPr>
                <w:rFonts w:ascii="Arial" w:cs="Arial" w:eastAsia="Arial" w:hAnsi="Arial"/>
                <w:sz w:val="18"/>
                <w:szCs w:val="18"/>
                <w:color w:val="0000FF"/>
                <w:w w:val="92"/>
              </w:rPr>
              <w:t>Certification of Chief Executive Officer pursuant to Rule 13a-14(a).</w:t>
            </w:r>
          </w:p>
        </w:tc>
        <w:tc>
          <w:tcPr>
            <w:tcW w:w="4600" w:type="dxa"/>
            <w:vAlign w:val="bottom"/>
            <w:gridSpan w:val="3"/>
          </w:tcPr>
          <w:p>
            <w:pPr>
              <w:spacing w:after="0"/>
              <w:rPr>
                <w:sz w:val="16"/>
                <w:szCs w:val="16"/>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18"/>
                <w:szCs w:val="18"/>
                <w:color w:val="auto"/>
              </w:rPr>
              <w:t>31.2</w:t>
            </w:r>
          </w:p>
        </w:tc>
        <w:tc>
          <w:tcPr>
            <w:tcW w:w="9500" w:type="dxa"/>
            <w:vAlign w:val="bottom"/>
            <w:gridSpan w:val="6"/>
          </w:tcPr>
          <w:p>
            <w:pPr>
              <w:spacing w:after="0"/>
              <w:rPr>
                <w:sz w:val="20"/>
                <w:szCs w:val="20"/>
                <w:color w:val="auto"/>
              </w:rPr>
            </w:pPr>
            <w:r>
              <w:rPr>
                <w:rFonts w:ascii="Arial" w:cs="Arial" w:eastAsia="Arial" w:hAnsi="Arial"/>
                <w:sz w:val="18"/>
                <w:szCs w:val="18"/>
                <w:color w:val="0000FF"/>
              </w:rPr>
              <w:t>Certification of Chief Financial Officer pursuant to Rule 13a-14(a).</w:t>
            </w:r>
          </w:p>
        </w:tc>
      </w:tr>
      <w:tr>
        <w:trPr>
          <w:trHeight w:val="20"/>
        </w:trPr>
        <w:tc>
          <w:tcPr>
            <w:tcW w:w="17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18"/>
                <w:szCs w:val="18"/>
                <w:color w:val="auto"/>
              </w:rPr>
              <w:t>32.1</w:t>
            </w:r>
          </w:p>
        </w:tc>
        <w:tc>
          <w:tcPr>
            <w:tcW w:w="9500" w:type="dxa"/>
            <w:vAlign w:val="bottom"/>
            <w:gridSpan w:val="6"/>
          </w:tcPr>
          <w:p>
            <w:pPr>
              <w:spacing w:after="0"/>
              <w:rPr>
                <w:sz w:val="20"/>
                <w:szCs w:val="20"/>
                <w:color w:val="auto"/>
              </w:rPr>
            </w:pPr>
            <w:r>
              <w:rPr>
                <w:rFonts w:ascii="Arial" w:cs="Arial" w:eastAsia="Arial" w:hAnsi="Arial"/>
                <w:sz w:val="18"/>
                <w:szCs w:val="18"/>
                <w:color w:val="0000FF"/>
                <w:w w:val="92"/>
              </w:rPr>
              <w:t>Certification of Chief Executive Officer pursuant to 18 U.S.C. Section 1350, as adopted pursuant to Section 906 of the Sarbanes-</w:t>
            </w:r>
          </w:p>
        </w:tc>
      </w:tr>
      <w:tr>
        <w:trPr>
          <w:trHeight w:val="169"/>
        </w:trPr>
        <w:tc>
          <w:tcPr>
            <w:tcW w:w="174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92"/>
              </w:rPr>
              <w:t>Oxley Act of 2002.</w:t>
            </w:r>
          </w:p>
        </w:tc>
        <w:tc>
          <w:tcPr>
            <w:tcW w:w="7900" w:type="dxa"/>
            <w:vAlign w:val="bottom"/>
            <w:tcBorders>
              <w:top w:val="single" w:sz="8" w:color="0000FF"/>
            </w:tcBorders>
            <w:gridSpan w:val="4"/>
          </w:tcPr>
          <w:p>
            <w:pPr>
              <w:spacing w:after="0"/>
              <w:rPr>
                <w:sz w:val="14"/>
                <w:szCs w:val="14"/>
                <w:color w:val="auto"/>
              </w:rPr>
            </w:pPr>
          </w:p>
        </w:tc>
        <w:tc>
          <w:tcPr>
            <w:tcW w:w="220" w:type="dxa"/>
            <w:vAlign w:val="bottom"/>
          </w:tcPr>
          <w:p>
            <w:pPr>
              <w:spacing w:after="0"/>
              <w:rPr>
                <w:sz w:val="14"/>
                <w:szCs w:val="14"/>
                <w:color w:val="auto"/>
              </w:rPr>
            </w:pPr>
          </w:p>
        </w:tc>
      </w:tr>
      <w:tr>
        <w:trPr>
          <w:trHeight w:val="466"/>
        </w:trPr>
        <w:tc>
          <w:tcPr>
            <w:tcW w:w="1740" w:type="dxa"/>
            <w:vAlign w:val="bottom"/>
          </w:tcPr>
          <w:p>
            <w:pPr>
              <w:ind w:left="20"/>
              <w:spacing w:after="0"/>
              <w:rPr>
                <w:sz w:val="20"/>
                <w:szCs w:val="20"/>
                <w:color w:val="auto"/>
              </w:rPr>
            </w:pPr>
            <w:r>
              <w:rPr>
                <w:rFonts w:ascii="Arial" w:cs="Arial" w:eastAsia="Arial" w:hAnsi="Arial"/>
                <w:sz w:val="18"/>
                <w:szCs w:val="18"/>
                <w:color w:val="auto"/>
              </w:rPr>
              <w:t>32.2</w:t>
            </w:r>
          </w:p>
        </w:tc>
        <w:tc>
          <w:tcPr>
            <w:tcW w:w="9500" w:type="dxa"/>
            <w:vAlign w:val="bottom"/>
            <w:gridSpan w:val="6"/>
          </w:tcPr>
          <w:p>
            <w:pPr>
              <w:spacing w:after="0"/>
              <w:rPr>
                <w:sz w:val="20"/>
                <w:szCs w:val="20"/>
                <w:color w:val="auto"/>
              </w:rPr>
            </w:pPr>
            <w:r>
              <w:rPr>
                <w:rFonts w:ascii="Arial" w:cs="Arial" w:eastAsia="Arial" w:hAnsi="Arial"/>
                <w:sz w:val="18"/>
                <w:szCs w:val="18"/>
                <w:color w:val="0000FF"/>
                <w:w w:val="93"/>
              </w:rPr>
              <w:t>Certification of Chief Financial Officer pursuant to 18 U.S.C. Section 1350, as adopted pursuant to Section 906 of the Sarbanes-</w:t>
            </w:r>
          </w:p>
        </w:tc>
      </w:tr>
      <w:tr>
        <w:trPr>
          <w:trHeight w:val="156"/>
        </w:trPr>
        <w:tc>
          <w:tcPr>
            <w:tcW w:w="1740" w:type="dxa"/>
            <w:vAlign w:val="bottom"/>
          </w:tcPr>
          <w:p>
            <w:pPr>
              <w:spacing w:after="0"/>
              <w:rPr>
                <w:sz w:val="13"/>
                <w:szCs w:val="13"/>
                <w:color w:val="auto"/>
              </w:rPr>
            </w:pPr>
          </w:p>
        </w:tc>
        <w:tc>
          <w:tcPr>
            <w:tcW w:w="13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Oxley Act of 2002.</w:t>
            </w:r>
          </w:p>
        </w:tc>
        <w:tc>
          <w:tcPr>
            <w:tcW w:w="7860" w:type="dxa"/>
            <w:vAlign w:val="bottom"/>
            <w:tcBorders>
              <w:top w:val="single" w:sz="8" w:color="0000FF"/>
            </w:tcBorders>
            <w:gridSpan w:val="3"/>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453"/>
        </w:trPr>
        <w:tc>
          <w:tcPr>
            <w:tcW w:w="1740" w:type="dxa"/>
            <w:vAlign w:val="bottom"/>
          </w:tcPr>
          <w:p>
            <w:pPr>
              <w:ind w:left="20"/>
              <w:spacing w:after="0"/>
              <w:rPr>
                <w:sz w:val="20"/>
                <w:szCs w:val="20"/>
                <w:color w:val="auto"/>
              </w:rPr>
            </w:pPr>
            <w:r>
              <w:rPr>
                <w:rFonts w:ascii="Arial" w:cs="Arial" w:eastAsia="Arial" w:hAnsi="Arial"/>
                <w:sz w:val="18"/>
                <w:szCs w:val="18"/>
                <w:color w:val="auto"/>
              </w:rPr>
              <w:t>101</w:t>
            </w:r>
          </w:p>
        </w:tc>
        <w:tc>
          <w:tcPr>
            <w:tcW w:w="9500" w:type="dxa"/>
            <w:vAlign w:val="bottom"/>
            <w:gridSpan w:val="6"/>
          </w:tcPr>
          <w:p>
            <w:pPr>
              <w:spacing w:after="0"/>
              <w:rPr>
                <w:sz w:val="20"/>
                <w:szCs w:val="20"/>
                <w:color w:val="auto"/>
              </w:rPr>
            </w:pPr>
            <w:r>
              <w:rPr>
                <w:rFonts w:ascii="Arial" w:cs="Arial" w:eastAsia="Arial" w:hAnsi="Arial"/>
                <w:sz w:val="18"/>
                <w:szCs w:val="18"/>
                <w:color w:val="auto"/>
                <w:w w:val="95"/>
              </w:rPr>
              <w:t>The following financial information from the Company’s Quarterly Report on Form 10-Q for the quarter ended June 30, 2023,</w:t>
            </w:r>
          </w:p>
        </w:tc>
      </w:tr>
      <w:tr>
        <w:trPr>
          <w:trHeight w:val="188"/>
        </w:trPr>
        <w:tc>
          <w:tcPr>
            <w:tcW w:w="1740" w:type="dxa"/>
            <w:vAlign w:val="bottom"/>
          </w:tcPr>
          <w:p>
            <w:pPr>
              <w:spacing w:after="0"/>
              <w:rPr>
                <w:sz w:val="16"/>
                <w:szCs w:val="16"/>
                <w:color w:val="auto"/>
              </w:rPr>
            </w:pPr>
          </w:p>
        </w:tc>
        <w:tc>
          <w:tcPr>
            <w:tcW w:w="9500" w:type="dxa"/>
            <w:vAlign w:val="bottom"/>
            <w:gridSpan w:val="6"/>
          </w:tcPr>
          <w:p>
            <w:pPr>
              <w:spacing w:after="0" w:line="189" w:lineRule="exact"/>
              <w:rPr>
                <w:sz w:val="20"/>
                <w:szCs w:val="20"/>
                <w:color w:val="auto"/>
              </w:rPr>
            </w:pPr>
            <w:r>
              <w:rPr>
                <w:rFonts w:ascii="Arial" w:cs="Arial" w:eastAsia="Arial" w:hAnsi="Arial"/>
                <w:sz w:val="18"/>
                <w:szCs w:val="18"/>
                <w:color w:val="auto"/>
              </w:rPr>
              <w:t>formatted in Inline XBRL: (i) Cover Page, (ii) Condensed Consolidated Statements of Earnings (Loss), (iii) Condensed</w:t>
            </w:r>
          </w:p>
        </w:tc>
      </w:tr>
      <w:tr>
        <w:trPr>
          <w:trHeight w:val="176"/>
        </w:trPr>
        <w:tc>
          <w:tcPr>
            <w:tcW w:w="17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1"/>
              </w:rPr>
              <w:t>Consolidated Statements of Comprehensive Earnings, (iv) Condensed Consolidated Balance Sheets, (v) Condensed Consolidated</w:t>
            </w:r>
          </w:p>
        </w:tc>
      </w:tr>
      <w:tr>
        <w:trPr>
          <w:trHeight w:val="176"/>
        </w:trPr>
        <w:tc>
          <w:tcPr>
            <w:tcW w:w="1740" w:type="dxa"/>
            <w:vAlign w:val="bottom"/>
          </w:tcPr>
          <w:p>
            <w:pPr>
              <w:spacing w:after="0"/>
              <w:rPr>
                <w:sz w:val="15"/>
                <w:szCs w:val="15"/>
                <w:color w:val="auto"/>
              </w:rPr>
            </w:pPr>
          </w:p>
        </w:tc>
        <w:tc>
          <w:tcPr>
            <w:tcW w:w="9500" w:type="dxa"/>
            <w:vAlign w:val="bottom"/>
            <w:gridSpan w:val="6"/>
          </w:tcPr>
          <w:p>
            <w:pPr>
              <w:spacing w:after="0" w:line="176" w:lineRule="exact"/>
              <w:rPr>
                <w:sz w:val="20"/>
                <w:szCs w:val="20"/>
                <w:color w:val="auto"/>
              </w:rPr>
            </w:pPr>
            <w:r>
              <w:rPr>
                <w:rFonts w:ascii="Arial" w:cs="Arial" w:eastAsia="Arial" w:hAnsi="Arial"/>
                <w:sz w:val="18"/>
                <w:szCs w:val="18"/>
                <w:color w:val="auto"/>
                <w:w w:val="94"/>
              </w:rPr>
              <w:t>Statements of Changes in Stockholders' Equity, (vi) Condensed Consolidated Statements of Cash Flows, and (vii) the Notes to</w:t>
            </w:r>
          </w:p>
        </w:tc>
      </w:tr>
      <w:tr>
        <w:trPr>
          <w:trHeight w:val="230"/>
        </w:trPr>
        <w:tc>
          <w:tcPr>
            <w:tcW w:w="174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Condensed Consolidated Financial Statements, tagged in summary and detail.</w:t>
            </w:r>
          </w:p>
        </w:tc>
      </w:tr>
      <w:tr>
        <w:trPr>
          <w:trHeight w:val="295"/>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9500" w:type="dxa"/>
            <w:vAlign w:val="bottom"/>
            <w:gridSpan w:val="6"/>
          </w:tcPr>
          <w:p>
            <w:pPr>
              <w:spacing w:after="0"/>
              <w:rPr>
                <w:sz w:val="20"/>
                <w:szCs w:val="20"/>
                <w:color w:val="auto"/>
              </w:rPr>
            </w:pPr>
            <w:r>
              <w:rPr>
                <w:rFonts w:ascii="Arial" w:cs="Arial" w:eastAsia="Arial" w:hAnsi="Arial"/>
                <w:sz w:val="18"/>
                <w:szCs w:val="18"/>
                <w:color w:val="auto"/>
                <w:w w:val="92"/>
              </w:rPr>
              <w:t>The cover page of the Company’s Quarterly Report on Form 10-Q for the quarter ended June 30, 2023, formatted in Inline XBRL</w:t>
            </w:r>
          </w:p>
        </w:tc>
      </w:tr>
      <w:tr>
        <w:trPr>
          <w:trHeight w:val="230"/>
        </w:trPr>
        <w:tc>
          <w:tcPr>
            <w:tcW w:w="1740" w:type="dxa"/>
            <w:vAlign w:val="bottom"/>
          </w:tcPr>
          <w:p>
            <w:pPr>
              <w:spacing w:after="0"/>
              <w:rPr>
                <w:sz w:val="20"/>
                <w:szCs w:val="20"/>
                <w:color w:val="auto"/>
              </w:rPr>
            </w:pPr>
          </w:p>
        </w:tc>
        <w:tc>
          <w:tcPr>
            <w:tcW w:w="9500" w:type="dxa"/>
            <w:vAlign w:val="bottom"/>
            <w:gridSpan w:val="6"/>
          </w:tcPr>
          <w:p>
            <w:pPr>
              <w:spacing w:after="0"/>
              <w:rPr>
                <w:sz w:val="20"/>
                <w:szCs w:val="20"/>
                <w:color w:val="auto"/>
              </w:rPr>
            </w:pPr>
            <w:r>
              <w:rPr>
                <w:rFonts w:ascii="Arial" w:cs="Arial" w:eastAsia="Arial" w:hAnsi="Arial"/>
                <w:sz w:val="18"/>
                <w:szCs w:val="18"/>
                <w:color w:val="auto"/>
              </w:rPr>
              <w:t>(included with the Exhibit 101 attachments).</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4" w:lineRule="exact"/>
        <w:rPr>
          <w:sz w:val="20"/>
          <w:szCs w:val="20"/>
          <w:color w:val="auto"/>
        </w:rPr>
      </w:pPr>
    </w:p>
    <w:p>
      <w:pPr>
        <w:ind w:left="660" w:right="320" w:hanging="652"/>
        <w:spacing w:after="0" w:line="277" w:lineRule="auto"/>
        <w:tabs>
          <w:tab w:leader="none" w:pos="417"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4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SUPERNUS PHARMACEUTICALS, INC.</w:t>
      </w:r>
    </w:p>
    <w:p>
      <w:pPr>
        <w:spacing w:after="0" w:line="279" w:lineRule="exact"/>
        <w:rPr>
          <w:sz w:val="20"/>
          <w:szCs w:val="20"/>
          <w:color w:val="auto"/>
        </w:rPr>
      </w:pPr>
    </w:p>
    <w:p>
      <w:pPr>
        <w:ind w:left="20"/>
        <w:spacing w:after="0"/>
        <w:tabs>
          <w:tab w:leader="none" w:pos="5600" w:val="left"/>
          <w:tab w:leader="none" w:pos="614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31032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Jack A. Khattar</w:t>
      </w: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63" w:lineRule="exact"/>
        <w:rPr>
          <w:sz w:val="20"/>
          <w:szCs w:val="20"/>
          <w:color w:val="auto"/>
        </w:rPr>
      </w:pPr>
    </w:p>
    <w:p>
      <w:pPr>
        <w:ind w:left="20"/>
        <w:spacing w:after="0"/>
        <w:tabs>
          <w:tab w:leader="none" w:pos="5600" w:val="left"/>
          <w:tab w:leader="none" w:pos="6140" w:val="left"/>
        </w:tabs>
        <w:rPr>
          <w:sz w:val="20"/>
          <w:szCs w:val="20"/>
          <w:color w:val="auto"/>
        </w:rPr>
      </w:pPr>
      <w:r>
        <w:rPr>
          <w:rFonts w:ascii="Arial" w:cs="Arial" w:eastAsia="Arial" w:hAnsi="Arial"/>
          <w:sz w:val="18"/>
          <w:szCs w:val="18"/>
          <w:color w:val="auto"/>
        </w:rPr>
        <w:t>DATED: August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23495</wp:posOffset>
            </wp:positionV>
            <wp:extent cx="31032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Timothy C. Dec</w:t>
      </w:r>
    </w:p>
    <w:p>
      <w:pPr>
        <w:ind w:left="6160"/>
        <w:spacing w:after="0"/>
        <w:rPr>
          <w:sz w:val="20"/>
          <w:szCs w:val="20"/>
          <w:color w:val="auto"/>
        </w:rPr>
      </w:pPr>
      <w:r>
        <w:rPr>
          <w:rFonts w:ascii="Arial" w:cs="Arial" w:eastAsia="Arial" w:hAnsi="Arial"/>
          <w:sz w:val="18"/>
          <w:szCs w:val="18"/>
          <w:color w:val="auto"/>
        </w:rPr>
        <w:t>Senior Vice-President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125" w:right="37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40" w:hanging="652"/>
        <w:spacing w:after="0" w:line="26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jc w:val="both"/>
        <w:ind w:left="1300" w:right="220" w:hanging="644"/>
        <w:spacing w:after="0" w:line="342" w:lineRule="auto"/>
        <w:tabs>
          <w:tab w:leader="none" w:pos="1300" w:val="left"/>
        </w:tabs>
        <w:numPr>
          <w:ilvl w:val="1"/>
          <w:numId w:val="23"/>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300" w:right="240" w:hanging="644"/>
        <w:spacing w:after="0" w:line="26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60" w:hanging="652"/>
        <w:spacing w:after="0" w:line="308" w:lineRule="auto"/>
        <w:tabs>
          <w:tab w:leader="none" w:pos="660" w:val="left"/>
        </w:tabs>
        <w:numPr>
          <w:ilvl w:val="0"/>
          <w:numId w:val="23"/>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360"/>
        <w:spacing w:after="0"/>
        <w:tabs>
          <w:tab w:leader="none" w:pos="5820" w:val="left"/>
          <w:tab w:leader="none" w:pos="628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17780</wp:posOffset>
            </wp:positionV>
            <wp:extent cx="29317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8"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Jack A. Khattar</w:t>
      </w:r>
    </w:p>
    <w:p>
      <w:pPr>
        <w:ind w:left="63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107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Timothy C. Dec, certify that:</w:t>
      </w:r>
    </w:p>
    <w:p>
      <w:pPr>
        <w:spacing w:after="0" w:line="17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98" w:lineRule="exact"/>
        <w:rPr>
          <w:rFonts w:ascii="Arial" w:cs="Arial" w:eastAsia="Arial" w:hAnsi="Arial"/>
          <w:sz w:val="16"/>
          <w:szCs w:val="16"/>
          <w:color w:val="auto"/>
        </w:rPr>
      </w:pPr>
    </w:p>
    <w:p>
      <w:pPr>
        <w:jc w:val="both"/>
        <w:ind w:left="660" w:right="120" w:hanging="652"/>
        <w:spacing w:after="0" w:line="26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6"/>
          <w:szCs w:val="16"/>
          <w:color w:val="auto"/>
        </w:rPr>
      </w:pPr>
    </w:p>
    <w:p>
      <w:pPr>
        <w:ind w:left="660" w:right="80" w:hanging="652"/>
        <w:spacing w:after="0" w:line="308"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5"/>
          <w:szCs w:val="15"/>
          <w:color w:val="auto"/>
        </w:rPr>
      </w:pPr>
    </w:p>
    <w:p>
      <w:pPr>
        <w:ind w:left="660" w:right="140" w:hanging="652"/>
        <w:spacing w:after="0" w:line="26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6"/>
          <w:szCs w:val="16"/>
          <w:color w:val="auto"/>
        </w:rPr>
      </w:pPr>
    </w:p>
    <w:p>
      <w:pPr>
        <w:ind w:left="1300" w:right="120" w:hanging="644"/>
        <w:spacing w:after="0" w:line="26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300" w:right="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240" w:hanging="644"/>
        <w:spacing w:after="0" w:line="26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4"/>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5"/>
          <w:szCs w:val="15"/>
          <w:color w:val="auto"/>
        </w:rPr>
      </w:pPr>
    </w:p>
    <w:p>
      <w:pPr>
        <w:ind w:left="1300" w:right="500" w:hanging="644"/>
        <w:spacing w:after="0" w:line="342"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200" w:hanging="644"/>
        <w:spacing w:after="0" w:line="277"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360"/>
        <w:spacing w:after="0"/>
        <w:tabs>
          <w:tab w:leader="none" w:pos="5580" w:val="left"/>
          <w:tab w:leader="none" w:pos="6020" w:val="left"/>
        </w:tabs>
        <w:rPr>
          <w:sz w:val="20"/>
          <w:szCs w:val="20"/>
          <w:color w:val="auto"/>
        </w:rPr>
      </w:pPr>
      <w:r>
        <w:rPr>
          <w:rFonts w:ascii="Arial" w:cs="Arial" w:eastAsia="Arial" w:hAnsi="Arial"/>
          <w:sz w:val="16"/>
          <w:szCs w:val="16"/>
          <w:color w:val="auto"/>
        </w:rPr>
        <w:t>Date: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103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Timothy C. Dec</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107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SUPERNUS PHARMACEUTICALS, INC.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 ADOPTED PURSUANT TO</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left="100" w:right="18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2023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760" w:hanging="652"/>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760" w:hanging="652"/>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6"/>
          <w:szCs w:val="16"/>
          <w:color w:val="auto"/>
        </w:rPr>
        <w:t>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17780</wp:posOffset>
            </wp:positionV>
            <wp:extent cx="32918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Jack A. Khattar</w:t>
      </w:r>
    </w:p>
    <w:p>
      <w:pPr>
        <w:ind w:left="584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340"/>
          </w:cols>
          <w:pgMar w:left="220" w:top="107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SUPERNUS PHARMACEUTICALS, INC.</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18 U.S.C. sec. 1350,</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 ADOPTED PURSUANT TO</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8" w:lineRule="exact"/>
        <w:rPr>
          <w:sz w:val="20"/>
          <w:szCs w:val="20"/>
          <w:color w:val="auto"/>
        </w:rPr>
      </w:pPr>
    </w:p>
    <w:p>
      <w:pPr>
        <w:jc w:val="both"/>
        <w:ind w:left="100" w:right="14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June 30, 2023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spacing w:after="0" w:line="156" w:lineRule="exact"/>
        <w:rPr>
          <w:sz w:val="20"/>
          <w:szCs w:val="20"/>
          <w:color w:val="auto"/>
        </w:rPr>
      </w:pPr>
    </w:p>
    <w:p>
      <w:pPr>
        <w:ind w:left="760" w:hanging="65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760" w:hanging="652"/>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6"/>
          <w:szCs w:val="16"/>
          <w:color w:val="auto"/>
        </w:rPr>
        <w:t>te: August 8,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17780</wp:posOffset>
            </wp:positionV>
            <wp:extent cx="3291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Timothy C. Dec</w:t>
      </w:r>
    </w:p>
    <w:p>
      <w:pPr>
        <w:ind w:left="584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340"/>
      </w:cols>
      <w:pgMar w:left="220" w:top="10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bullet"/>
      <w:start w:val="1"/>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2023-08-08T15:58:23Z</dcterms:created>
  <dcterms:modified xsi:type="dcterms:W3CDTF">2023-08-08T15:58:23Z</dcterms:modified>
</cp:coreProperties>
</file>