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60" w:right="440" w:hanging="328"/>
        <w:spacing w:after="0" w:line="237"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38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78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001-35518</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642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20-2590184</w:t>
            </w:r>
          </w:p>
        </w:tc>
      </w:tr>
      <w:tr>
        <w:trPr>
          <w:trHeight w:val="216"/>
        </w:trPr>
        <w:tc>
          <w:tcPr>
            <w:tcW w:w="6420" w:type="dxa"/>
            <w:vAlign w:val="bottom"/>
          </w:tcPr>
          <w:p>
            <w:pPr>
              <w:jc w:val="center"/>
              <w:ind w:right="34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20" w:type="dxa"/>
            <w:vAlign w:val="bottom"/>
          </w:tcPr>
          <w:p>
            <w:pPr>
              <w:jc w:val="center"/>
              <w:ind w:right="34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42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1550 East Gude Drive, Rockville, MD</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234"/>
        </w:trPr>
        <w:tc>
          <w:tcPr>
            <w:tcW w:w="6420" w:type="dxa"/>
            <w:vAlign w:val="bottom"/>
          </w:tcPr>
          <w:p>
            <w:pPr>
              <w:jc w:val="center"/>
              <w:ind w:right="34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42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(301) 838-2500</w:t>
            </w:r>
          </w:p>
        </w:tc>
        <w:tc>
          <w:tcPr>
            <w:tcW w:w="1520" w:type="dxa"/>
            <w:vAlign w:val="bottom"/>
          </w:tcPr>
          <w:p>
            <w:pPr>
              <w:spacing w:after="0"/>
              <w:rPr>
                <w:sz w:val="24"/>
                <w:szCs w:val="24"/>
                <w:color w:val="auto"/>
              </w:rPr>
            </w:pPr>
          </w:p>
        </w:tc>
      </w:tr>
      <w:tr>
        <w:trPr>
          <w:trHeight w:val="234"/>
        </w:trPr>
        <w:tc>
          <w:tcPr>
            <w:tcW w:w="642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6"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pursuant to Rule 405 of Regulation S-T (§232.405 of this chapter) during the preceding 12 months (or for such shorter period that the registrant was required to submit such files). x Yes No o</w:t>
      </w:r>
    </w:p>
    <w:p>
      <w:pPr>
        <w:spacing w:after="0" w:line="162" w:lineRule="exact"/>
        <w:rPr>
          <w:sz w:val="24"/>
          <w:szCs w:val="24"/>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40" w:top="229" w:right="199" w:bottom="721" w:gutter="0" w:footer="0" w:header="0"/>
        </w:sectPr>
      </w:pPr>
    </w:p>
    <w:p>
      <w:pPr>
        <w:spacing w:after="0" w:line="176"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240" w:space="720"/>
            <w:col w:w="3500"/>
          </w:cols>
          <w:pgMar w:left="240" w:top="229" w:right="199" w:bottom="721" w:gutter="0" w:footer="0" w:header="0"/>
          <w:type w:val="continuous"/>
        </w:sectPr>
      </w:pPr>
    </w:p>
    <w:p>
      <w:pPr>
        <w:spacing w:after="0" w:line="2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11" w:lineRule="exact"/>
        <w:rPr>
          <w:sz w:val="24"/>
          <w:szCs w:val="24"/>
          <w:color w:val="auto"/>
        </w:rPr>
      </w:pPr>
    </w:p>
    <w:p>
      <w:pPr>
        <w:sectPr>
          <w:pgSz w:w="11900" w:h="16838" w:orient="portrait"/>
          <w:cols w:equalWidth="0" w:num="2">
            <w:col w:w="6860" w:space="720"/>
            <w:col w:w="3880"/>
          </w:cols>
          <w:pgMar w:left="240" w:top="229" w:right="199" w:bottom="721" w:gutter="0" w:footer="0" w:header="0"/>
          <w:type w:val="continuous"/>
        </w:sectPr>
      </w:pPr>
    </w:p>
    <w:p>
      <w:pPr>
        <w:spacing w:after="0" w:line="25" w:lineRule="exact"/>
        <w:rPr>
          <w:sz w:val="24"/>
          <w:szCs w:val="24"/>
          <w:color w:val="auto"/>
        </w:rPr>
      </w:pPr>
    </w:p>
    <w:p>
      <w:pPr>
        <w:ind w:left="758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60"/>
          </w:cols>
          <w:pgMar w:left="240" w:top="229" w:right="199" w:bottom="721" w:gutter="0" w:footer="0" w:header="0"/>
          <w:type w:val="continuous"/>
        </w:sectPr>
      </w:pPr>
    </w:p>
    <w:p>
      <w:pPr>
        <w:spacing w:after="0" w:line="237" w:lineRule="exact"/>
        <w:rPr>
          <w:sz w:val="24"/>
          <w:szCs w:val="24"/>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 at May 1, 2019</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0" w:type="dxa"/>
            <w:vAlign w:val="bottom"/>
          </w:tcPr>
          <w:p>
            <w:pPr>
              <w:spacing w:after="0"/>
              <w:rPr>
                <w:sz w:val="15"/>
                <w:szCs w:val="15"/>
                <w:color w:val="auto"/>
              </w:rPr>
            </w:pPr>
          </w:p>
        </w:tc>
      </w:tr>
      <w:tr>
        <w:trPr>
          <w:trHeight w:val="191"/>
        </w:trPr>
        <w:tc>
          <w:tcPr>
            <w:tcW w:w="2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6"/>
                <w:szCs w:val="16"/>
                <w:color w:val="auto"/>
              </w:rPr>
            </w:pPr>
          </w:p>
        </w:tc>
        <w:tc>
          <w:tcPr>
            <w:tcW w:w="2660" w:type="dxa"/>
            <w:vAlign w:val="bottom"/>
            <w:tcBorders>
              <w:top w:val="single" w:sz="8" w:color="auto"/>
            </w:tcBorders>
          </w:tcPr>
          <w:p>
            <w:pPr>
              <w:jc w:val="right"/>
              <w:ind w:right="839"/>
              <w:spacing w:after="0" w:line="191" w:lineRule="exact"/>
              <w:rPr>
                <w:sz w:val="20"/>
                <w:szCs w:val="20"/>
                <w:color w:val="auto"/>
              </w:rPr>
            </w:pPr>
            <w:r>
              <w:rPr>
                <w:rFonts w:ascii="Times New Roman" w:cs="Times New Roman" w:eastAsia="Times New Roman" w:hAnsi="Times New Roman"/>
                <w:sz w:val="18"/>
                <w:szCs w:val="18"/>
                <w:color w:val="auto"/>
              </w:rPr>
              <w:t>52,384,248</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SUPN</w:t>
            </w:r>
          </w:p>
        </w:tc>
        <w:tc>
          <w:tcPr>
            <w:tcW w:w="180" w:type="dxa"/>
            <w:vAlign w:val="bottom"/>
          </w:tcPr>
          <w:p>
            <w:pPr>
              <w:spacing w:after="0"/>
              <w:rPr>
                <w:sz w:val="16"/>
                <w:szCs w:val="16"/>
                <w:color w:val="auto"/>
              </w:rPr>
            </w:pPr>
          </w:p>
        </w:tc>
        <w:tc>
          <w:tcPr>
            <w:tcW w:w="4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Market</w:t>
            </w:r>
          </w:p>
        </w:tc>
        <w:tc>
          <w:tcPr>
            <w:tcW w:w="40" w:type="dxa"/>
            <w:vAlign w:val="bottom"/>
          </w:tcPr>
          <w:p>
            <w:pPr>
              <w:spacing w:after="0"/>
              <w:rPr>
                <w:sz w:val="16"/>
                <w:szCs w:val="16"/>
                <w:color w:val="auto"/>
              </w:rPr>
            </w:pPr>
          </w:p>
        </w:tc>
      </w:tr>
      <w:tr>
        <w:trPr>
          <w:trHeight w:val="234"/>
        </w:trPr>
        <w:tc>
          <w:tcPr>
            <w:tcW w:w="2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per share</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25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25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29" w:right="199" w:bottom="721"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 — QUARTERLY REPORT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0" w:type="dxa"/>
            <w:vAlign w:val="bottom"/>
            <w:gridSpan w:val="21"/>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 FINANCIAL INFORMATION</w:t>
              </w:r>
            </w:hyperlink>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1040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0" w:type="dxa"/>
            <w:vAlign w:val="bottom"/>
          </w:tcPr>
          <w:p>
            <w:pPr>
              <w:spacing w:after="0"/>
              <w:rPr>
                <w:sz w:val="18"/>
                <w:szCs w:val="18"/>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80" w:type="dxa"/>
            <w:vAlign w:val="bottom"/>
            <w:gridSpan w:val="19"/>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2019 and December 31, 2018</w:t>
              </w:r>
            </w:hyperlink>
          </w:p>
        </w:tc>
        <w:tc>
          <w:tcPr>
            <w:tcW w:w="106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Earnings for the three month periods ended March 31, 2019 and 2018</w:t>
              </w:r>
            </w:hyperlink>
          </w:p>
        </w:tc>
        <w:tc>
          <w:tcPr>
            <w:tcW w:w="174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Earnings for the three month periods ended March 31, 2019 and 2018</w:t>
              </w:r>
            </w:hyperlink>
          </w:p>
        </w:tc>
        <w:tc>
          <w:tcPr>
            <w:tcW w:w="60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gridSpan w:val="1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in Stockholder’s Equity for the three month periods ended March 31, 2019 and 2018</w:t>
              </w:r>
            </w:hyperlink>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three month periods ended March 31, 2019 and 2018</w:t>
              </w:r>
            </w:hyperlink>
          </w:p>
        </w:tc>
        <w:tc>
          <w:tcPr>
            <w:tcW w:w="6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158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860" w:type="dxa"/>
            <w:vAlign w:val="bottom"/>
            <w:gridSpan w:val="20"/>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2840" w:type="dxa"/>
            <w:vAlign w:val="bottom"/>
            <w:gridSpan w:val="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4. Controls and Procedures</w:t>
              </w:r>
            </w:hyperlink>
          </w:p>
        </w:tc>
        <w:tc>
          <w:tcPr>
            <w:tcW w:w="7520" w:type="dxa"/>
            <w:vAlign w:val="bottom"/>
            <w:gridSpan w:val="1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PART II — OTHER INFORMATION</w:t>
              </w:r>
            </w:hyperlink>
          </w:p>
        </w:tc>
        <w:tc>
          <w:tcPr>
            <w:tcW w:w="764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1. Legal Proceedings</w:t>
              </w:r>
            </w:hyperlink>
          </w:p>
        </w:tc>
        <w:tc>
          <w:tcPr>
            <w:tcW w:w="796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1A. Risk Factors</w:t>
              </w:r>
            </w:hyperlink>
          </w:p>
        </w:tc>
        <w:tc>
          <w:tcPr>
            <w:tcW w:w="826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2. Unregistered Sales of Equity Securities and Use of Proceeds</w:t>
              </w:r>
            </w:hyperlink>
          </w:p>
        </w:tc>
        <w:tc>
          <w:tcPr>
            <w:tcW w:w="4940" w:type="dxa"/>
            <w:vAlign w:val="bottom"/>
            <w:gridSpan w:val="7"/>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9860" w:type="dxa"/>
            <w:vAlign w:val="bottom"/>
            <w:gridSpan w:val="20"/>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3. Defaults Upon Senior Securities</w:t>
              </w:r>
            </w:hyperlink>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gridSpan w:val="2"/>
          </w:tcPr>
          <w:p>
            <w:pPr>
              <w:spacing w:after="0"/>
              <w:rPr>
                <w:sz w:val="17"/>
                <w:szCs w:val="17"/>
                <w:color w:val="auto"/>
              </w:rPr>
            </w:pPr>
          </w:p>
        </w:tc>
        <w:tc>
          <w:tcPr>
            <w:tcW w:w="6980" w:type="dxa"/>
            <w:vAlign w:val="bottom"/>
            <w:gridSpan w:val="1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Item 5. Other Information</w:t>
              </w:r>
            </w:hyperlink>
          </w:p>
        </w:tc>
        <w:tc>
          <w:tcPr>
            <w:tcW w:w="7980" w:type="dxa"/>
            <w:vAlign w:val="bottom"/>
            <w:gridSpan w:val="1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9860" w:type="dxa"/>
            <w:vAlign w:val="bottom"/>
            <w:gridSpan w:val="20"/>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 Exhibits</w:t>
              </w:r>
            </w:hyperlink>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700" w:type="dxa"/>
            <w:vAlign w:val="bottom"/>
            <w:gridSpan w:val="1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21"/>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SIGNATURES</w:t>
              </w:r>
            </w:hyperlink>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53"/>
        </w:trPr>
        <w:tc>
          <w:tcPr>
            <w:tcW w:w="1100" w:type="dxa"/>
            <w:vAlign w:val="bottom"/>
            <w:tcBorders>
              <w:top w:val="single" w:sz="8" w:color="0000EE"/>
            </w:tcBorders>
            <w:gridSpan w:val="3"/>
          </w:tcPr>
          <w:p>
            <w:pPr>
              <w:spacing w:after="0"/>
              <w:rPr>
                <w:sz w:val="24"/>
                <w:szCs w:val="24"/>
                <w:color w:val="auto"/>
              </w:rPr>
            </w:pPr>
          </w:p>
        </w:tc>
        <w:tc>
          <w:tcPr>
            <w:tcW w:w="5900" w:type="dxa"/>
            <w:vAlign w:val="bottom"/>
            <w:gridSpan w:val="12"/>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170,165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79,950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419,967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522,551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20,049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1,025,448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977,811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88,200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 current portion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333,310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Non-recourse liability related to sale of future royalties, long term</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 long term</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545,430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130,000,000 shares authorized 52,374,248 and 52,316,583 shares issued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as of March 31, 2019 and December 31, 2018, respectively</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373,707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earnings (loss), net of tax</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104,832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480,018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1,025,448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bottom w:val="single" w:sz="8" w:color="CCEEFF"/>
            </w:tcBorders>
            <w:vMerge w:val="restart"/>
          </w:tcPr>
          <w:p>
            <w:pPr>
              <w:jc w:val="center"/>
              <w:ind w:left="323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3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83,099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Royalty revenues</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28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product sales</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15,394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40,968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60,046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earnings</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25,428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24,239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5,899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8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52,336,443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51,536,474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53,985,385</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53,788,346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58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18,340</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4,585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37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45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22,925</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580" w:type="dxa"/>
            <w:vAlign w:val="bottom"/>
            <w:gridSpan w:val="2"/>
          </w:tcPr>
          <w:p>
            <w:pPr>
              <w:jc w:val="center"/>
              <w:ind w:right="2248"/>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7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2019 and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300" w:type="dxa"/>
            <w:vAlign w:val="bottom"/>
            <w:gridSpan w:val="3"/>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52,316,583</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369,637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57,665</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on marketable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net of tax</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4,585</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52,374,248</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52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00" w:type="dxa"/>
            <w:vAlign w:val="bottom"/>
            <w:gridSpan w:val="3"/>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80" w:type="dxa"/>
            <w:vAlign w:val="bottom"/>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51,314,850</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294,999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267,480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Cumulative-effect of adoption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ASC 606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51,314,850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51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294,999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319,141</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component of</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net of tax</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Purchase of convertible note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 net of tax</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(70,137)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net of tax</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2018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51,633,991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52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18,340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Realized loss on sales of securities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royalty revenue</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23,013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4,856</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(150,167)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47,143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legal fees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Convertible notes issuance financing costs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convertible note hedges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192,248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 on convertible notes</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paid</w:t>
            </w:r>
          </w:p>
        </w:tc>
        <w:tc>
          <w:tcPr>
            <w:tcW w:w="1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legal fees included in accounts payable and accrued expenses</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assets and tenant receivable obtained for new operating leases</w:t>
            </w:r>
          </w:p>
        </w:tc>
        <w:tc>
          <w:tcPr>
            <w:tcW w:w="1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17,136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the CNS market.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launched Oxtellar XR and Trokendi XR for the treatment of epilepsy in 2013, launched Trokendi XR for the prophylaxis of migraine headache in adolescents and adults in April 2017 and launched Oxtellar XR with an expanded indication to include monotherapy for partial seizures in January 2019.</w:t>
      </w:r>
    </w:p>
    <w:p>
      <w:pPr>
        <w:spacing w:after="0" w:line="172" w:lineRule="exact"/>
        <w:rPr>
          <w:sz w:val="20"/>
          <w:szCs w:val="20"/>
          <w:color w:val="auto"/>
        </w:rPr>
      </w:pPr>
    </w:p>
    <w:p>
      <w:pPr>
        <w:ind w:right="7780" w:firstLine="8"/>
        <w:spacing w:after="0" w:line="503" w:lineRule="auto"/>
        <w:tabs>
          <w:tab w:leader="none" w:pos="2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Supernus Pharmaceuticals, Inc., Supernus Europe Ltd., Biscayne Neurotherapeutics, Inc. and its wholly-owned subsidiary, Biscayne Neurotherapeutics Australia Pty Ltd., collectively referred to herein as “Supernus” or “the Company.” All significant intercompany transactions and balances have been eliminated in consolidation.</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financial statements should be read in conjunction with the Company’s most recent annual report on Form 10-K for the year ended December 31, 2018, filed with the SEC.</w:t>
      </w:r>
    </w:p>
    <w:p>
      <w:pPr>
        <w:spacing w:after="0" w:line="18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United States (U.S.), operates in one operating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various forecasts; information received from its service providers; and other assumptions that the Company believes are reasonable under the circumstances. Actual results could differ materially from the Company’s estimates. The Company evaluates the methodology employed in its estimates on an ongoing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goods or provision of services are transferred to the Company’s customers, in an amount that reflects the consideration the Company expects to receive in exchange for those goods or services. The Company does not adjust revenue for any financing effects for transactions where the Company expects the period between the transfer of the goods or services and collection to be less than one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or liabilities recorded as of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Product Sales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Company’s products are distributed through a third party fulfillment center. The Company’s customers, who are primarily pharmaceutical wholesalers and distributors, purchase product to fulfill orders from retail pharmacy chains and independent pharmacies of varying size and buying power. The Company recognizes gross revenue when its products are shipped from its fulfillment center to its customers and the customers take control of the products. The Company’s customers take control of the products, including title and ownership, upon physical receipt of the products at their facilities.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Product sales are recorded net of various forms of variable consideration, including estimated rebates, discounts, allowances, and an estimated liability for future product returns (collectively, “sales deductions”).</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Variability in the net transaction price for the Company’s products primarily arises from sales deductions, as described below. Significant judgment is required in estimating sales deductions. In estimating sales deductions the Company considers: historical experience; current contract prices under applicable programs; unbilled claims; processing time lags; and inventory levels in the distribution channel. The Company adjusts its estimates of revenue either when the most likely amount of consideration it expects to receive changes, or when the consideration becomes fixed.</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actual results in the future vary from estimates, the Company adjusts these estimates. These adjustments could materially affect net product sales and earnings in the period that such adjustments become known.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Sales deductions are primarily comprised of rebates, product returns and sales discounts. The Company records product sales net of the following sales deductions:</w:t>
      </w:r>
    </w:p>
    <w:p>
      <w:pPr>
        <w:spacing w:after="0" w:line="160"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Rebates are discounts which the Company pays under either private sector or public sector health care programs. Public sector rebate</w:t>
      </w:r>
    </w:p>
    <w:p>
      <w:pPr>
        <w:spacing w:after="0" w:line="29" w:lineRule="exact"/>
        <w:rPr>
          <w:rFonts w:ascii="Times New Roman" w:cs="Times New Roman" w:eastAsia="Times New Roman" w:hAnsi="Times New Roman"/>
          <w:sz w:val="18"/>
          <w:szCs w:val="18"/>
          <w:color w:val="auto"/>
        </w:rPr>
      </w:pPr>
    </w:p>
    <w:p>
      <w:pPr>
        <w:ind w:left="66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encompass: various Medicaid Drug Rebate Programs; Medicare Coverage Gap Programs; and programs covering public health service institutions and government entities. All federal employees and agencies purchase drugs under the Federal Supply Schedule. Private sector rebate programs include: contractual agreements with managed care providers, under which the Company pays fees to gain access to that provider’s patient drug formulary; Company sponsored programs, under which the Company defrays or eliminates patient co-payment charges that the patient would otherwise pay to their managed care provider. Rebates paid under public sector programs are generally mandated under law, whereas private sector rebates are generally contractually negotiated by the Company with managed care providers.</w:t>
      </w:r>
    </w:p>
    <w:p>
      <w:pPr>
        <w:spacing w:after="0" w:line="190"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Rebates are owed upon dispensing product to a patient (i.e., filling a prescription. The accrual balance consists of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to cover prescriptions dispensed in past quarters. Third, the accrual balance includes an estimate for rebates that will be prospectively owed, for prescriptions filled in future quarters (i.e., for product which has been sold to wholesalers or distributors, and which resides either as wholesaler/distributor inventory, or is held as inventory at pharmacies).</w:t>
      </w:r>
    </w:p>
    <w:p>
      <w:pPr>
        <w:spacing w:after="0" w:line="188" w:lineRule="exact"/>
        <w:rPr>
          <w:sz w:val="20"/>
          <w:szCs w:val="20"/>
          <w:color w:val="auto"/>
        </w:rPr>
      </w:pPr>
    </w:p>
    <w:p>
      <w:pPr>
        <w:ind w:left="660" w:right="120" w:firstLine="648"/>
        <w:spacing w:after="0" w:line="258" w:lineRule="auto"/>
        <w:rPr>
          <w:sz w:val="20"/>
          <w:szCs w:val="20"/>
          <w:color w:val="auto"/>
        </w:rPr>
      </w:pPr>
      <w:r>
        <w:rPr>
          <w:rFonts w:ascii="Times New Roman" w:cs="Times New Roman" w:eastAsia="Times New Roman" w:hAnsi="Times New Roman"/>
          <w:sz w:val="18"/>
          <w:szCs w:val="18"/>
          <w:color w:val="auto"/>
        </w:rPr>
        <w:t>Because the period from the date on which the prescription is filled to the date the Company receives and pays the invoice varies, the Company’s estimates of expected rebate claims vary by program and by type of customer.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contractual agreements; prospective changes in co-pay assistance programs; and anticipated changes in program utilization rates (i.e., patient participation rates).</w:t>
      </w:r>
    </w:p>
    <w:p>
      <w:pPr>
        <w:spacing w:after="0" w:line="184" w:lineRule="exact"/>
        <w:rPr>
          <w:sz w:val="20"/>
          <w:szCs w:val="20"/>
          <w:color w:val="auto"/>
        </w:rPr>
      </w:pPr>
    </w:p>
    <w:p>
      <w:pPr>
        <w:ind w:left="660"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sensitivity of the Company’s estimates can vary by program and by type of customer. If actual rebates vary from estimated amounts, the Company may need to adjust the balances of such accrued rebates to reflect actual expenditures with respect to these programs. These changes could materially affect net product sales and earnings in the period of adjustment. The Company records an estimated liability for rebates at the time the customer takes title to the product (i.e., at the time of sale to wholesalers/distributors), and records this liability as a reduction to gross product sales and an increase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in current liabilities.</w:t>
      </w:r>
    </w:p>
    <w:p>
      <w:pPr>
        <w:spacing w:after="0" w:line="182" w:lineRule="exact"/>
        <w:rPr>
          <w:sz w:val="20"/>
          <w:szCs w:val="20"/>
          <w:color w:val="auto"/>
        </w:rPr>
      </w:pPr>
    </w:p>
    <w:p>
      <w:pPr>
        <w:ind w:left="660" w:right="420" w:hanging="328"/>
        <w:spacing w:after="0" w:line="261"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Sale of the Company’s products are not subject to a general right of return. Product that has been used to fill patient prescriptions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subject to any right of return. However, the Company will accept return of product that is damaged or defective when shipped from its warehouse. In addition, the Company will accept return of expired product six months prior to and up to 12 months subsequent to the product’s expiry date. Expired or defective returned product cannot be re-sold and is therefore destroyed.</w:t>
      </w:r>
    </w:p>
    <w:p>
      <w:pPr>
        <w:spacing w:after="0" w:line="182"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estimates the liability for returns based on the actual returns experience for its two commercial products, in conjunction with industry experience for return of similar products (i.e., ambient temperature storage for oral formulations). Because the Company’s products have not reached maturity, the return rate of its products has and is expected to continue to vary. The Company records an estimated liability for product returns at the time the customer takes title to the product (i.e., at time of sale) as a reduction to gross product sales and an increase in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 returns and rebates </w:t>
      </w:r>
      <w:r>
        <w:rPr>
          <w:rFonts w:ascii="Times New Roman" w:cs="Times New Roman" w:eastAsia="Times New Roman" w:hAnsi="Times New Roman"/>
          <w:sz w:val="18"/>
          <w:szCs w:val="18"/>
          <w:color w:val="auto"/>
        </w:rPr>
        <w:t>in current liabilities.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Company’s estimated liability for product returns is also affected by price increases taken subsequent to the date of sale. The Company’s products have a shelf life of 36 to 48 months from date of manufacture. Because of the extended shelf life coupled with its return policy, there typically is a significant time lag between the time at which the product is sold and when the Company issues credit on expired product. The Company’s policy generally permits product returns to be processed at current wholesaler price rather than historical price. Therefore, price increase(s) taken during the current period increase(s) the provision for product returns because it affects the estimated liability for product returns for both sales made in the current period as well as sales made in prior periods. When the Company adjusts its estimates for product returns, either favorably or unfavorably, this affects product sales and earnings in the period of adjustment.</w:t>
      </w:r>
    </w:p>
    <w:p>
      <w:pPr>
        <w:spacing w:after="0" w:line="187" w:lineRule="exact"/>
        <w:rPr>
          <w:sz w:val="20"/>
          <w:szCs w:val="20"/>
          <w:color w:val="auto"/>
        </w:rPr>
      </w:pPr>
    </w:p>
    <w:p>
      <w:pPr>
        <w:ind w:left="660" w:right="20" w:hanging="328"/>
        <w:spacing w:after="0" w:line="261"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discounts</w:t>
      </w:r>
      <w:r>
        <w:rPr>
          <w:rFonts w:ascii="Times New Roman" w:cs="Times New Roman" w:eastAsia="Times New Roman" w:hAnsi="Times New Roman"/>
          <w:sz w:val="18"/>
          <w:szCs w:val="18"/>
          <w:color w:val="auto"/>
        </w:rPr>
        <w:t>: Distributors and wholesalers of pharmaceutical products are generally offered various forms of consideration, including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fees and prompt payment discounts, for distributing products. Distributor and wholesaler allowances and service fees arise from contractual agreements and are estimated as a percentage of the price at which the Company sells product to them. In addition, they are offered a prompt pay discount for payment within a specified period.</w:t>
      </w:r>
    </w:p>
    <w:p>
      <w:pPr>
        <w:spacing w:after="0" w:line="182" w:lineRule="exact"/>
        <w:rPr>
          <w:sz w:val="20"/>
          <w:szCs w:val="20"/>
          <w:color w:val="auto"/>
        </w:rPr>
      </w:pPr>
    </w:p>
    <w:p>
      <w:pPr>
        <w:ind w:left="660" w:righ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accounts for these discounts at the time of sale as a reduction to gross product sales, and records these amounts as an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valuation allowance.</w:t>
      </w:r>
    </w:p>
    <w:p>
      <w:pPr>
        <w:spacing w:after="0" w:line="162"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auto"/>
        </w:rPr>
        <w:t>Customer orders are generally fulfilled within a few days of receipt, resulting in minimal order backlog. Open purchase orders for products from customers are expected to be fulfilled within the next 12 months. There are no minimum product purchase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Agreements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collaboration agreements to commercialize both Oxtellar XR and Trokendi XR outside of the U.S., which involve the right to use the Company’s intellectual property as a functional license. These agreements generally include an up-front license fee and ongoing milestone payments upon the achievement of specific events. These agreements may also require minimum royalty payments based on sales of products developed from the applicable intellectual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Up-front license fees are recognized once the license has been delivered to the customer.</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Milestones are a form of variable consideration that are recognized when either the underlying events have been achieved (i.e., event-based milestone) or the sales-based targets have been met by the collaborative partner (i.e., sales-based milestone). Both types of milestone payments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availability of third party information; and 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Event-based milestones are recognized in the period that the related event, such as regulatory approval, occurs. Milestone payments that are not within the control of the Company, such as approval from regulatory authorities, or where attainment of the specified event is dependent on the success of a third-party, are not considered probable of being achieved until the specified event occurs. Sales-based milestones are recognized as revenue when the sales-based target is achieved. Revenue is recognized from the satisfaction of performance obligations in the amount billable to the customer.</w:t>
      </w:r>
    </w:p>
    <w:p>
      <w:pPr>
        <w:spacing w:after="0" w:line="1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Revenue associated with future milestones will be recognized when the related event occurs or sales-based target is achieved. There are no guaranteed minimum amounts owed to the Company related to license and collaboration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Revenues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non-cash royalty revenue for amounts earned pursuant to a royalty agreement with United Therapeutics Corporation (United Therapeutics) that involves the right to use the Company’s intellectual property as a functional license. In 2014, the Company sold certain of these royalty rights to Healthcare Royalty Partners III, L.P. (HC Royalty)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Accordingly, the Company records non-cash royalty revenue based on estimated product sales by United Therapeutics, in which those product sales result in payments made from United Therapeutics to HC Royalty in connection with these agreements.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Royalty revenue also includes royalty amounts received from collaboration partners, including from Shire Plc (Shire) (now a subsidiary of Takeda Pharmaceutical Company Ltd), based on net product sales of Shire’s product, Mydayis, in the current period. Royalty revenue is only recognized when the underlying product sale by Shire occurs. The Shire arrangement also involves the right to use the Company’s intellectual property as a functional license.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guaranteed minimum amounts owed to the Company related to any royalty revenue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Study and Clinical Trial Accruals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the Company’s behalf. In recording service fees, the Company estimates the time period over which the related services are performed and compares the level of effort expended through the end of each period with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adjusts its accrued expenses or its deferred advance payments accordingly. If the Company later determines that it no longer expects the services associated with a nonrefundable advance payment to be rendered, the remaining portion of that advance payment is charged to expense in the period in which such determination is made.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service period using the straight-line method. Employee share-based compensation is measured based on estimated fair value as of the grant date. The Company uses the Black-Scholes option-pricing model in calculating the fair value of option grants as of the grant date. The Company uses the following assumptions for estimating fair value of option grants:</w:t>
      </w:r>
    </w:p>
    <w:p>
      <w:pPr>
        <w:spacing w:after="0" w:line="17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common stock underlying the option grants is determined based on observable market prices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common stock.</w:t>
      </w:r>
    </w:p>
    <w:p>
      <w:pPr>
        <w:spacing w:after="0" w:line="15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—Volatility is a measure of the amount by which the Company’s share price has fluctuated (historical volatility) or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(expected volatility) during a period. Beginning in the first quarter of 2019, the Company uses the historical volatility of its common stock to measure expected volatility for future option grants. Prior to 2019, the Company used the volatility of the common stock of several public entities of similar size, complexity, and stage of development. Prior to the first quarter of 2019, volatility was estimated using the volatility of the stock of these companies, as well as taking into consideration the Company’s actual volatility since the Company’s IPO in 2012.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never declared or paid dividends, and has no plans to do so in the foreseeable future.</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—This is the period of time during which options are expected to remain unexercised. Options have a maximum contractual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years. Beginning in the first quarter of 2019, the Company determines the average expected life of stock options using its historical experience. Prior to the first quarter of 2019, the Company determined the average expected life of stock options according to the “simplified method”, as described in Staff Accounting Bulletin 110, which is the mid-point between the vesting date and the end of the contractual term.</w:t>
      </w:r>
    </w:p>
    <w:p>
      <w:pPr>
        <w:spacing w:after="0" w:line="18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—This is the U.S. Treasury note rate as of the week each option grant is issued, with a term that most closely resembles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Forfeiture Rate</w:t>
      </w:r>
      <w:r>
        <w:rPr>
          <w:rFonts w:ascii="Times New Roman" w:cs="Times New Roman" w:eastAsia="Times New Roman" w:hAnsi="Times New Roman"/>
          <w:sz w:val="18"/>
          <w:szCs w:val="18"/>
          <w:color w:val="auto"/>
        </w:rPr>
        <w:t>—Forfeitures are accounted for as they occur.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 Liabilities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January 1, 2019, the Company self-insures its employee medical insurance liability. The self-insurance liability is undiscounted and determined actuarially. It is based on claims filed, historical and industry claims experience, and an estimate of claims incurred but not yet paid. The Company has established stop-loss amounts that limit the Company’s further exposure after a claim reaches the designated stop-loss threshold. The stop-loss limit for self-insured employee medical claims is $150,000 per employee per year.</w:t>
      </w:r>
    </w:p>
    <w:p>
      <w:pPr>
        <w:spacing w:after="0" w:line="17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recorded self-insurance liability of approximately $515,000 as of March 31, 2019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in the condensed consolidated balance sheets.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Advertising expense includes costs of promotional materials and activities, such as marketing materials, marketing programs and speaker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the Company’s advertising efforts are expensed as incurred.</w:t>
      </w:r>
    </w:p>
    <w:p>
      <w:pPr>
        <w:spacing w:after="0" w:line="20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incurred approximately $9.9 million and $7.9 million in advertising costs for the three month periods ended March 31, 2019 and 2018, respectively. These expenses are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and its related amendments (New Lease Standard). The New Lease Standard requires a lessee to recognize a right-of-use (ROU) lease asset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corresponding lease liability on the balance sheet. The Company adopted the New Lease Standard on January 1, 2019 using the modified retrospective method, which applies the provision of the New Lease Standard at the effective date without adjusting comparative periods presented. In addition, the Company elected the package of practical expedients permitted under the transition guidance within the New Lease Standard which, among other things, allowed the Company to carry forward the historical lease classification.</w:t>
      </w:r>
    </w:p>
    <w:p>
      <w:pPr>
        <w:spacing w:after="0" w:line="187"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adoption of the New Lease Standard resulted in the recognition of lease assets and lease liabilities for operating leases as of January 1, 2019 of approximately $4.0 million. Financial reporting for periods on or after January 1, 2019 are presented under the new guidance. Prior period amounts are not adjusted and continue to be reported in accordance with previous guidance. The standard did not materially impact the Company’s condensed consolidated net earnings and had no impact on cash flows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which requires credit losses on financial assets measured on an amortized cost basis to be presented at the net amount expected to be collected, rather than based on incurred losses. Further, credit losses on available-for-sale debt securities should be recorded through an allowance for credit losses, limited to the amount by which fair value is below amortized cost. The new standard also requires enhanced disclosure of credit risk associated with respective assets.</w:t>
      </w:r>
    </w:p>
    <w:p>
      <w:pPr>
        <w:spacing w:after="0" w:line="18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standard is effective for fiscal years beginning after December 15, 2019, for interim and annual periods within those years, with early adoption permitted. The Company is currently assessing the impact of this new standard. The Company does not expect it to have a material impact.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market participants.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assets and liabilities measured at fair value using a three level fair value hierarchy that prioritizes the inputs used to measure fair value. The three levels of inputs used to measure fair value are as follows:</w:t>
      </w:r>
    </w:p>
    <w:p>
      <w:pPr>
        <w:spacing w:after="0" w:line="162" w:lineRule="exact"/>
        <w:rPr>
          <w:sz w:val="20"/>
          <w:szCs w:val="20"/>
          <w:color w:val="auto"/>
        </w:rPr>
      </w:pPr>
    </w:p>
    <w:p>
      <w:pPr>
        <w:ind w:left="980" w:right="800" w:hanging="324"/>
        <w:spacing w:after="0" w:line="282" w:lineRule="auto"/>
        <w:tabs>
          <w:tab w:leader="none" w:pos="9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unadjusted quoted prices in active markets for identical assets that the Company has the ability to access as of the measurement date.</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(e.g., interest rates, yield curves, etc.); and inputs that are derived principally from or corroborated by observable market data by correlation or other means (i.e., market corroborated inputs).</w:t>
      </w:r>
    </w:p>
    <w:p>
      <w:pPr>
        <w:spacing w:after="0" w:line="180"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reflect the Company’s own assumptions, based on the best information available, including the Company’s own data.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that are required to be measured at fair value on a recurring basis are as follows, in thousands of dollars:</w:t>
      </w:r>
    </w:p>
    <w:p>
      <w:pPr>
        <w:spacing w:after="0" w:line="21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6040"/>
        <w:spacing w:after="0" w:line="229" w:lineRule="auto"/>
        <w:rPr>
          <w:sz w:val="20"/>
          <w:szCs w:val="20"/>
          <w:color w:val="auto"/>
        </w:rPr>
      </w:pPr>
      <w:r>
        <w:rPr>
          <w:rFonts w:ascii="Times New Roman" w:cs="Times New Roman" w:eastAsia="Times New Roman" w:hAnsi="Times New Roman"/>
          <w:sz w:val="14"/>
          <w:szCs w:val="14"/>
          <w:b w:val="1"/>
          <w:bCs w:val="1"/>
          <w:color w:val="auto"/>
        </w:rPr>
        <w:t>March 31, 2019</w:t>
      </w:r>
    </w:p>
    <w:p>
      <w:pPr>
        <w:jc w:val="center"/>
        <w:ind w:left="6040"/>
        <w:spacing w:after="0" w:line="232" w:lineRule="auto"/>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180" w:type="dxa"/>
        <w:tblCellMar>
          <w:top w:w="0" w:type="dxa"/>
          <w:left w:w="0" w:type="dxa"/>
          <w:bottom w:w="0" w:type="dxa"/>
          <w:right w:w="0" w:type="dxa"/>
        </w:tblCellMar>
      </w:tblPr>
      <w:tr>
        <w:trPr>
          <w:trHeight w:val="117"/>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38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Assests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122,778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122,778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170,165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169,919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521,398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520,948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815,869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123,475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692,394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77"/>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3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Assests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192,248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192,248</w:t>
            </w: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163,525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marketable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415,650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415,205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775,142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Level 1 assets include cash held at banks, certificates of deposit, money market funds, and investment grade corporate and government debt securities.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Level 2 assets include the SERP (Supplemental Executive Retirement Plan) assets, commercial paper and investment grade corporate and government debt securities and other fixed income securities. Level 2 securities are valued using third-party pricing sources that apply applicable inputs and other relevant data in their models to estimate fair value. The fair value of the restricted marketable securities is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and accrued expenses approximate fair value due to their short-term maturities.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financial liabilities that are not carried at fair value, in thousands of dollars: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left="78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gridSpan w:val="3"/>
          </w:tcPr>
          <w:p>
            <w:pPr>
              <w:jc w:val="center"/>
              <w:ind w:left="785"/>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333,310</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388,664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is estimated based on actual trade information as well as quoted prices provided by bond traders and is characterized within Level 2 of the fair value hierarchy.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in thousands of dollars:</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2"/>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government debt securities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690,853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586,726</w:t>
            </w: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unrealized gains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unrealized losses</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(4,213)</w:t>
            </w:r>
          </w:p>
        </w:tc>
      </w:tr>
      <w:tr>
        <w:trPr>
          <w:trHeight w:val="210"/>
        </w:trPr>
        <w:tc>
          <w:tcPr>
            <w:tcW w:w="5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the unrestricted available-for-sale marketable securities held by the Company are as follows, in thousands of dollars:</w:t>
      </w:r>
    </w:p>
    <w:p>
      <w:pPr>
        <w:spacing w:after="0" w:line="206"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1 year to 2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years to 3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3 years to 4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4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experienced any other-than-temporary losses on its marketable securities.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in thousands of dollars:</w:t>
      </w:r>
    </w:p>
    <w:p>
      <w:pPr>
        <w:spacing w:after="0" w:line="206"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1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5,377</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 of dollars:</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4"/>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8,995</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2,731</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(11,592)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(11,219)</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$0.4 million for both three month periods ended March 31, 2019 and 2018.</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assessment in the fourth quarter, or earlier if impairment indicators exist. As of March 31, 2019, there were no identified indicators of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consist of patent defense costs, which are legal fees incurred in conjunction with defending patents for Oxtellar XR and Trokendi XR. The Company amortizes those costs over the useful life of the respective patents.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forth the gross carrying amount and related accumulated amortization of the intangible assets, in thousands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Life</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80" w:type="dxa"/>
            <w:vAlign w:val="bottom"/>
            <w:vMerge w:val="restart"/>
          </w:tcPr>
          <w:p>
            <w:pPr>
              <w:spacing w:after="0"/>
              <w:rPr>
                <w:sz w:val="15"/>
                <w:szCs w:val="15"/>
                <w:color w:val="auto"/>
              </w:rPr>
            </w:pPr>
          </w:p>
        </w:tc>
        <w:tc>
          <w:tcPr>
            <w:tcW w:w="4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3.75 - 8.00 years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44,725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40" w:type="dxa"/>
            <w:vAlign w:val="bottom"/>
            <w:vMerge w:val="restart"/>
          </w:tcPr>
          <w:p>
            <w:pPr>
              <w:jc w:val="right"/>
              <w:ind w:right="1219"/>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on intangible assets was approximately $1.3 million for both three month periods ended March 31, 2019 and 2018.</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assessment in the fourth quarter, or earlier, if impairment indicators exist. As of March 31, 2019, there were no identified indicators of impairment.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 of dollars: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and clinical supply costs</w:t>
            </w:r>
          </w:p>
        </w:tc>
        <w:tc>
          <w:tcPr>
            <w:tcW w:w="19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costs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36,607</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Product Returns and Rebates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product returns and rebates consist of the following, in thousands of dollars:</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r>
      <w:tr>
        <w:trPr>
          <w:trHeight w:val="184"/>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returns</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22,060</w:t>
            </w:r>
          </w:p>
        </w:tc>
      </w:tr>
      <w:tr>
        <w:trPr>
          <w:trHeight w:val="21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Notes Due 2023</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restrictions on the payment of dividends, the issuance of other indebtedness or the issuance or repurchase of securities by the Company.</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noteholders may require the Company to repurchase their 2023 Notes at a cash repurchase price equal to the principal amount of the 2023 Notes to be repurchased, plus accrued and unpaid interest, if any.</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pay cash to the Company in a similar amount as the value that the Company delivers to the holders of the 2023 Notes based on a conversion price of $59.33 per share.</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at the strike price through 2023. The strike price of the Warrant Transactions will initially be $80.9063 per share of the Company’s common stock (subject to adjustment).</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Convertible Note Hedge Transactions are expected to generally reduce the potential dilution with respect to the Company’s common stock upon conversion of the 2023 Notes and/or offset any potential cash payments the Company is required to make in excess of the principal amount of converted 2023 Notes, as the case may be.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liability component of the 2023 Notes consists of the following, in thousands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 of the 2023 Notes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402,500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discount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(76,434)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 of debt discount and deferred financing costs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carrying value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No 2023 Notes were converted as of March 31, 2019.</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Other Expenses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Other expenses consist of the following, in thousands of dollars: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4,681</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expense-nonrecourse liability related to</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future royalties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includes non-cash interest expense relates to amortization of deferred financing costs and debt discount in the amount of $3.8 million and $0.6 million for the three month periods ended March 31, 2019 and 2018,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Payments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in thousands of dollars: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9"/>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options and SAR activities:</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4"/>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5"/>
            <w:vMerge w:val="continue"/>
          </w:tcPr>
          <w:p>
            <w:pPr>
              <w:spacing w:after="0"/>
              <w:rPr>
                <w:sz w:val="12"/>
                <w:szCs w:val="12"/>
                <w:color w:val="auto"/>
              </w:rPr>
            </w:pPr>
          </w:p>
        </w:tc>
        <w:tc>
          <w:tcPr>
            <w:tcW w:w="14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40" w:type="dxa"/>
            <w:vAlign w:val="bottom"/>
            <w:gridSpan w:val="2"/>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3,916,963</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19.98</w:t>
            </w: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Granted (unaudited)</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831,835</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36.75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(unaudited)</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(57,665)</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13.57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Forfeited (unaudited)</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(10,437)</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30.69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2019 (unaudited)</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4,680,696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23.01</w:t>
            </w:r>
          </w:p>
        </w:tc>
        <w:tc>
          <w:tcPr>
            <w:tcW w:w="1460" w:type="dxa"/>
            <w:vAlign w:val="bottom"/>
            <w:tcBorders>
              <w:top w:val="single" w:sz="8" w:color="CCEEFF"/>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2018:</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3,916,963</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19.98</w:t>
            </w: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1,889,947</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12.47</w:t>
            </w: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43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2019:</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Vested and expected to vest (unaudited)</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4,680,696</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8"/>
              </w:rPr>
              <w:t>23.01</w:t>
            </w: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 (unaudited)</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2,605,591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15.33</w:t>
            </w: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common shares outstanding. Diluted earnings per share is calculated using the weighted-average number of common shares outstanding including the dilutive effect of the Company’s stock option grants, stock appreciation rights (SAR), warrants, employee stock purchase plan (ESPP) awards and the 2023 Notes, as determined per the treasury stock method.</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common stock equivalents are excluded in the calculation of diluted earnings per share because their inclusion would be anti-dilutive, as applied to the earnings from continuing operations, and as applicable to common stockholders, for the three month periods ended March 31, 2019 and 2018:</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3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240" w:type="dxa"/>
            <w:vAlign w:val="bottom"/>
          </w:tcPr>
          <w:p>
            <w:pPr>
              <w:spacing w:after="0"/>
              <w:rPr>
                <w:sz w:val="12"/>
                <w:szCs w:val="12"/>
                <w:color w:val="auto"/>
              </w:rPr>
            </w:pPr>
          </w:p>
        </w:tc>
        <w:tc>
          <w:tcPr>
            <w:tcW w:w="2000" w:type="dxa"/>
            <w:vAlign w:val="bottom"/>
            <w:tcBorders>
              <w:top w:val="single" w:sz="8" w:color="auto"/>
              <w:bottom w:val="single" w:sz="8" w:color="auto"/>
            </w:tcBorders>
          </w:tcPr>
          <w:p>
            <w:pPr>
              <w:jc w:val="right"/>
              <w:ind w:right="109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r>
      <w:tr>
        <w:trPr>
          <w:trHeight w:val="184"/>
        </w:trPr>
        <w:tc>
          <w:tcPr>
            <w:tcW w:w="5240" w:type="dxa"/>
            <w:vAlign w:val="bottom"/>
          </w:tcPr>
          <w:p>
            <w:pPr>
              <w:spacing w:after="0"/>
              <w:rPr>
                <w:sz w:val="15"/>
                <w:szCs w:val="15"/>
                <w:color w:val="auto"/>
              </w:rPr>
            </w:pPr>
          </w:p>
        </w:tc>
        <w:tc>
          <w:tcPr>
            <w:tcW w:w="20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5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00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7,966,488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1,752,793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00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239,272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hedges</w:t>
            </w:r>
          </w:p>
        </w:tc>
        <w:tc>
          <w:tcPr>
            <w:tcW w:w="200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240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SAR and ESPP awards</w:t>
            </w:r>
          </w:p>
        </w:tc>
        <w:tc>
          <w:tcPr>
            <w:tcW w:w="200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608,948</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208,661</w:t>
            </w:r>
          </w:p>
        </w:tc>
      </w:tr>
    </w:tbl>
    <w:p>
      <w:pPr>
        <w:spacing w:after="0" w:line="1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 periods ended March 31, 2019 and 2018, in thousands of dollars, except share and per share amounts:</w:t>
      </w:r>
    </w:p>
    <w:p>
      <w:pPr>
        <w:spacing w:after="0" w:line="155"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in thousands:</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 used for calculation of basic and diluted EPS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52,336,443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51,536,474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options and SAR</w:t>
            </w:r>
          </w:p>
        </w:tc>
        <w:tc>
          <w:tcPr>
            <w:tcW w:w="10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1,648,942</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2,251,872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dilutive potential common shares</w:t>
            </w:r>
          </w:p>
        </w:tc>
        <w:tc>
          <w:tcPr>
            <w:tcW w:w="1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1,648,942</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0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53,985,385</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53,788,346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Company’s income tax expense and effective tax rate for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 in thousands of dollars:</w:t>
      </w:r>
    </w:p>
    <w:p>
      <w:pPr>
        <w:spacing w:after="0" w:line="200" w:lineRule="exact"/>
        <w:rPr>
          <w:sz w:val="20"/>
          <w:szCs w:val="20"/>
          <w:color w:val="auto"/>
        </w:rPr>
      </w:pPr>
    </w:p>
    <w:tbl>
      <w:tblPr>
        <w:tblLayout w:type="fixed"/>
        <w:tblInd w:w="16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00" w:type="dxa"/>
            <w:vAlign w:val="bottom"/>
            <w:tcBorders>
              <w:bottom w:val="single" w:sz="8" w:color="auto"/>
            </w:tcBorders>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6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5,899</w:t>
            </w:r>
          </w:p>
        </w:tc>
        <w:tc>
          <w:tcPr>
            <w:tcW w:w="9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rPr>
              <w:t>4,830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24.34%</w:t>
            </w:r>
          </w:p>
        </w:tc>
        <w:tc>
          <w:tcPr>
            <w:tcW w:w="94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expense for the three month period ended March 31, 2019 was attributable to U.S. federal and state income taxes.</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 period ended March 31, 2019, the Company recorded $5.9 million of income tax expense, an increase from $4.8 million as compared to the same period of 2018. The increase in income tax expense and in the effective tax rate for the three month period ended March 31, 2019, as compared to the same period in 2018, was primarily attributable to the larger excess tax benefits realized in 2018 related to exercises of employee stock options.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income tax benefits related to exercises of employee stock options of approximately $0.3 million and $2.0 million for the three month periods ended March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determines if an arrangement is a lease at inception. Some leases include options to terminate or to extend for one or more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options are included in the lease term when it is reasonably certain that the option will be exercised.</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has lease arrangements that contain lease components (e.g., minimum rent payments) and non-lease components (e.g., maintenance, labor charges, etc.) and accounts for these components as a single lease component. The Company’s lease agreements do not contain any material residual value guarantees or material restrictive covenants.</w:t>
      </w:r>
    </w:p>
    <w:p>
      <w:pPr>
        <w:spacing w:after="0" w:line="17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Operating leases are included in </w:t>
      </w:r>
      <w:r>
        <w:rPr>
          <w:rFonts w:ascii="Times New Roman" w:cs="Times New Roman" w:eastAsia="Times New Roman" w:hAnsi="Times New Roman"/>
          <w:sz w:val="18"/>
          <w:szCs w:val="18"/>
          <w:i w:val="1"/>
          <w:iCs w:val="1"/>
          <w:color w:val="auto"/>
        </w:rPr>
        <w:t>Lease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Lease liabilities, long term</w:t>
      </w:r>
      <w:r>
        <w:rPr>
          <w:rFonts w:ascii="Times New Roman" w:cs="Times New Roman" w:eastAsia="Times New Roman" w:hAnsi="Times New Roman"/>
          <w:sz w:val="18"/>
          <w:szCs w:val="18"/>
          <w:color w:val="auto"/>
        </w:rPr>
        <w:t xml:space="preserve"> on the condensed consolidated balance sheets. Operating lease assets and lease liabilities are recognized at the commencement date, based on the present value of the future minimum lease payments over the lease term. Lease expense for operating leases is recognized as an operating cost. Leases with an initial term of 12 months or less are not recorded on the balance sheet. The Company recognizes lease expense for these leases on a straight-line basis over the lease term. The Company uses its incremental borrowing rate based on the information available at commencement date of the lease in determining the present value of future payments.</w:t>
      </w:r>
    </w:p>
    <w:p>
      <w:pPr>
        <w:spacing w:after="0" w:line="18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current headquarters office and lab space and for the fleet vehicles. The Company’s existing leases for its current headquarters office and lab space run through April 2020. The Company applies a portfolio approach for the fleet vehicle leases to effectively account for the operating lease assets and liabilities, given the volume of individual leases involved in the overall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Headquarters Lease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entered into a new lease agreement, effective January 31, 2019, with Advent Key West, LLC (Landlord), for its new headquarters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MD (Premises). The term of the new headquarters lease commenced on February 1, 2019 (the Commencement Date) and will continue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2034, unless earlier terminated in accordance with the terms of the lease. The lease includes options to extend the lease for up to 10 years. Fixed 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Premises begins on the Commencement Date; however, the Landlord agreed to a rent abatement from the Commencement Date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2020. The initial fixed rental rate is approximately $195,000 per month for the first 12 months. The rate will automatically increase by 2%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Commencement Date. Under the terms of the Lease, the Company provided a security deposit of approximately $195,000 and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all utility charges for the Premises and its pro rata share of any operating expenses and real estate taxes.</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lease also provides for a tenant improvement allowance of approximately $10.2 million in aggregate. Any unspent tenant improvement allowance as of January 31, 2020 will be forfeited. The full amount of tenant improvement allowance was initially recorded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in the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assets, lease-related assets and lease liabilities are as follows, in thousands of dollars: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9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42"/>
        </w:trPr>
        <w:tc>
          <w:tcPr>
            <w:tcW w:w="29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4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20,049</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Tenant receivable</w:t>
            </w:r>
          </w:p>
        </w:tc>
        <w:tc>
          <w:tcPr>
            <w:tcW w:w="4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10,151</w:t>
            </w:r>
          </w:p>
        </w:tc>
      </w:tr>
      <w:tr>
        <w:trPr>
          <w:trHeight w:val="250"/>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and lease-related assets</w:t>
            </w:r>
          </w:p>
        </w:tc>
        <w:tc>
          <w:tcPr>
            <w:tcW w:w="47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80" w:type="dxa"/>
            <w:vAlign w:val="bottom"/>
            <w:tcBorders>
              <w:bottom w:val="single" w:sz="8" w:color="CCEEFF"/>
            </w:tcBorders>
          </w:tcPr>
          <w:p>
            <w:pPr>
              <w:spacing w:after="0"/>
              <w:rPr>
                <w:sz w:val="21"/>
                <w:szCs w:val="21"/>
                <w:color w:val="auto"/>
              </w:rPr>
            </w:pPr>
          </w:p>
        </w:tc>
      </w:tr>
      <w:tr>
        <w:trPr>
          <w:trHeight w:val="197"/>
        </w:trPr>
        <w:tc>
          <w:tcPr>
            <w:tcW w:w="29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4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4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4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4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 liabilities, long term</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27,824</w:t>
            </w:r>
          </w:p>
        </w:tc>
      </w:tr>
      <w:tr>
        <w:trPr>
          <w:trHeight w:val="210"/>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costs for the three month period ended March 31, 2019 is as follows, in thousands of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80" w:type="dxa"/>
            <w:vAlign w:val="bottom"/>
          </w:tcPr>
          <w:p>
            <w:pPr>
              <w:spacing w:after="0"/>
              <w:rPr>
                <w:sz w:val="13"/>
                <w:szCs w:val="13"/>
                <w:color w:val="auto"/>
              </w:rPr>
            </w:pPr>
          </w:p>
        </w:tc>
      </w:tr>
      <w:tr>
        <w:trPr>
          <w:trHeight w:val="173"/>
        </w:trPr>
        <w:tc>
          <w:tcPr>
            <w:tcW w:w="19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480" w:type="dxa"/>
            <w:vAlign w:val="bottom"/>
          </w:tcPr>
          <w:p>
            <w:pPr>
              <w:spacing w:after="0"/>
              <w:rPr>
                <w:sz w:val="15"/>
                <w:szCs w:val="15"/>
                <w:color w:val="auto"/>
              </w:rPr>
            </w:pPr>
          </w:p>
        </w:tc>
      </w:tr>
      <w:tr>
        <w:trPr>
          <w:trHeight w:val="184"/>
        </w:trPr>
        <w:tc>
          <w:tcPr>
            <w:tcW w:w="19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80" w:type="dxa"/>
            <w:vAlign w:val="bottom"/>
          </w:tcPr>
          <w:p>
            <w:pPr>
              <w:spacing w:after="0"/>
              <w:rPr>
                <w:sz w:val="15"/>
                <w:szCs w:val="15"/>
                <w:color w:val="auto"/>
              </w:rPr>
            </w:pPr>
          </w:p>
        </w:tc>
      </w:tr>
      <w:tr>
        <w:trPr>
          <w:trHeight w:val="174"/>
        </w:trPr>
        <w:tc>
          <w:tcPr>
            <w:tcW w:w="19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216"/>
        </w:trPr>
        <w:tc>
          <w:tcPr>
            <w:tcW w:w="19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tcBorders>
              <w:right w:val="single" w:sz="8" w:color="CCEEFF"/>
            </w:tcBorders>
            <w:shd w:val="clear" w:color="auto" w:fill="CCEEFF"/>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lease cost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48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48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leases cost</w:t>
            </w:r>
          </w:p>
        </w:tc>
        <w:tc>
          <w:tcPr>
            <w:tcW w:w="8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348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jc w:val="right"/>
              <w:ind w:right="2098"/>
              <w:spacing w:after="0"/>
              <w:rPr>
                <w:sz w:val="20"/>
                <w:szCs w:val="20"/>
                <w:color w:val="auto"/>
              </w:rPr>
            </w:pPr>
            <w:r>
              <w:rPr>
                <w:rFonts w:ascii="Times New Roman" w:cs="Times New Roman" w:eastAsia="Times New Roman" w:hAnsi="Times New Roman"/>
                <w:sz w:val="18"/>
                <w:szCs w:val="18"/>
                <w:color w:val="auto"/>
                <w:w w:val="88"/>
              </w:rPr>
              <w:t>21</w:t>
            </w:r>
          </w:p>
        </w:tc>
        <w:tc>
          <w:tcPr>
            <w:tcW w:w="348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34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 average lease term and discount rate for the three month period ended March 31, 2019 are as follows:</w:t>
      </w:r>
    </w:p>
    <w:p>
      <w:pPr>
        <w:spacing w:after="0" w:line="20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280" w:type="dxa"/>
            <w:vAlign w:val="bottom"/>
          </w:tcPr>
          <w:p>
            <w:pPr>
              <w:spacing w:after="0"/>
              <w:rPr>
                <w:sz w:val="15"/>
                <w:szCs w:val="15"/>
                <w:color w:val="auto"/>
              </w:rPr>
            </w:pPr>
          </w:p>
        </w:tc>
        <w:tc>
          <w:tcPr>
            <w:tcW w:w="2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142"/>
        </w:trPr>
        <w:tc>
          <w:tcPr>
            <w:tcW w:w="4280" w:type="dxa"/>
            <w:vAlign w:val="bottom"/>
          </w:tcPr>
          <w:p>
            <w:pPr>
              <w:spacing w:after="0"/>
              <w:rPr>
                <w:sz w:val="12"/>
                <w:szCs w:val="12"/>
                <w:color w:val="auto"/>
              </w:rPr>
            </w:pPr>
          </w:p>
        </w:tc>
        <w:tc>
          <w:tcPr>
            <w:tcW w:w="24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13.53</w:t>
            </w:r>
          </w:p>
        </w:tc>
      </w:tr>
      <w:tr>
        <w:trPr>
          <w:trHeight w:val="216"/>
        </w:trPr>
        <w:tc>
          <w:tcPr>
            <w:tcW w:w="42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2019 are as follows, in thousands of dollars:</w:t>
      </w:r>
    </w:p>
    <w:p>
      <w:pPr>
        <w:spacing w:after="0" w:line="219" w:lineRule="exact"/>
        <w:rPr>
          <w:sz w:val="20"/>
          <w:szCs w:val="20"/>
          <w:color w:val="auto"/>
        </w:rPr>
      </w:pPr>
    </w:p>
    <w:tbl>
      <w:tblPr>
        <w:tblLayout w:type="fixed"/>
        <w:tblInd w:w="196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2019 (remaining)</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29,371</w:t>
            </w:r>
          </w:p>
        </w:tc>
        <w:tc>
          <w:tcPr>
            <w:tcW w:w="80" w:type="dxa"/>
            <w:vAlign w:val="bottom"/>
            <w:shd w:val="clear" w:color="auto" w:fill="CCEEFF"/>
          </w:tcPr>
          <w:p>
            <w:pPr>
              <w:spacing w:after="0"/>
              <w:rPr>
                <w:sz w:val="18"/>
                <w:szCs w:val="18"/>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Imputed interest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11,296</w:t>
            </w:r>
          </w:p>
        </w:tc>
        <w:tc>
          <w:tcPr>
            <w:tcW w:w="80" w:type="dxa"/>
            <w:vAlign w:val="bottom"/>
            <w:shd w:val="clear" w:color="auto" w:fill="CCEEFF"/>
          </w:tcPr>
          <w:p>
            <w:pPr>
              <w:spacing w:after="0"/>
              <w:rPr>
                <w:sz w:val="18"/>
                <w:szCs w:val="18"/>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Calculated using the interest rate for each 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Dislcosure Related to Periods Prior to Adoption of the New Lease Standard</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Rent expense for the leased facilities and leased vehicles for the years ended December 31, 2018, 2017 and 2016 was approximately $3.6 million, $2.7 million and $2.7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2018 are as follows, in thousands of dollars:</w:t>
      </w:r>
    </w:p>
    <w:p>
      <w:pPr>
        <w:spacing w:after="0" w:line="244"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tcPr>
          <w:p>
            <w:pPr>
              <w:spacing w:after="0"/>
              <w:rPr>
                <w:sz w:val="18"/>
                <w:szCs w:val="18"/>
                <w:color w:val="auto"/>
              </w:rPr>
            </w:pPr>
          </w:p>
        </w:tc>
      </w:tr>
      <w:tr>
        <w:trPr>
          <w:trHeight w:val="210"/>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Accounts Receivable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an allowance of approximately $7.8 million and $11.5 million for expected sales discounts and allowances related to prompt pay discounts and contractual fees for service arrangements with the Company’s customers, who are primarily pharmaceutical wholesalers and distributors, as of March 31, 2019 and December 31, 2018,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Disaggregated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revenues by nature, in thousands of dollars:</w:t>
      </w:r>
    </w:p>
    <w:p>
      <w:pPr>
        <w:spacing w:after="0" w:line="219" w:lineRule="exact"/>
        <w:rPr>
          <w:sz w:val="20"/>
          <w:szCs w:val="20"/>
          <w:color w:val="auto"/>
        </w:rPr>
      </w:pPr>
    </w:p>
    <w:tbl>
      <w:tblPr>
        <w:tblLayout w:type="fixed"/>
        <w:tblInd w:w="19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Trokendi XR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63,693</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70,555</w:t>
            </w:r>
          </w:p>
        </w:tc>
        <w:tc>
          <w:tcPr>
            <w:tcW w:w="4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Oxtellar XR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19,406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18,565</w:t>
            </w:r>
          </w:p>
        </w:tc>
        <w:tc>
          <w:tcPr>
            <w:tcW w:w="40" w:type="dxa"/>
            <w:vAlign w:val="bottom"/>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83,099</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2,375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85,474</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Company’s product sales are with pharmaceutical wholesalers and distributors who, in turn, sell the products to chain and independent pharmacies, hospitals and other customers. Three pharmaceutical wholesalers/distributors collectively accounted for more than 90% of the Company’s total net product sales and accounts receivables as of and for the three month periods ended March 31, 2019 and 2018.</w:t>
      </w:r>
    </w:p>
    <w:p>
      <w:pPr>
        <w:spacing w:after="0" w:line="176"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non-cash royalty revenue of $1.6 million and $1.3 for the three month periods ended March 31, 2019 and 2018,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milestone revenue was recorded for the three month periods ended March 31, 2019 and 2018, respectively.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 period ended March 31, 2019, revenues recognized from performance obligations related to prior periods (e.g., due to changes in transaction price) were not material in the aggregate to Net Product Sales and Royalty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certain milestones. The Company is also obligated to pay royalties to third parties, as percentage of net product sales, for each respective product under license agreement, if these products are ultimately commercialized.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third quarter of 2014, the Company received a $30.0 million payment pursuant to a Royalty Interest Acquisition Agreement related to the purchase by HC Royalty of certain of the Company’s rights under the Company’s agreement with United Therapeutics related to the commercialization of Orenitram (treprostinil) Extended-Release Tablets. The Company will retain full ownership of the royalty rights if and when a certain cumulative payment threshold is reached per the terms of the agreement. The Company recorded a non-recourse liability related to this transaction, and amortizes this amount as non-cash royalty revenue. The Company also recognizes non-cash interest expense related to this liability and accrues at an effective interest rate. That rate is determined based on projections of HC Royalty’s rate of return (see Notes 10 and 16).</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2018 and the related Management’s Discussion and Analysis of Financial Condition and Results of Operations, both of which are contained in our Annual Report on Form 10-K filed with the Securities and Exchange Commission on March 1, 2019.</w:t>
      </w:r>
    </w:p>
    <w:p>
      <w:pPr>
        <w:spacing w:after="0" w:line="18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74"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focused on developing and commercializing products for the treatment of central nervous system (CNS) diseases in neurology and psychiatry.</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market two products, Oxtellar XR and Trokendi XR, in the United States (U.S.). We market our products through our own sales force and seek strategic collaborations with other pharmaceutical companies to commercialize our products outside of the U.S. via license agreements.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developing multiple proprietary product candidates in the CNS market to address significant unmet medical needs and market opportunities.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165850" cy="2889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65850" cy="288988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Prophylaxis of migraine headache in adults and adolescents.</w:t>
      </w:r>
    </w:p>
    <w:p>
      <w:pPr>
        <w:spacing w:after="0" w:line="225" w:lineRule="exact"/>
        <w:rPr>
          <w:sz w:val="20"/>
          <w:szCs w:val="20"/>
          <w:color w:val="auto"/>
        </w:rPr>
      </w:pPr>
    </w:p>
    <w:p>
      <w:pPr>
        <w:ind w:left="660" w:right="380" w:hanging="652"/>
        <w:spacing w:after="0" w:line="282" w:lineRule="auto"/>
        <w:tabs>
          <w:tab w:leader="none" w:pos="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program is for Impulsive Aggression (IA) in patients with ADHD, with plans to add other indications, such as IA in patients with autism, PTSD, bipolar disorder, Alzheimer’s and other forms of dementia.</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expect to incur significant expenses as we: invest in research and development related to the continued development of each of our product candidates through FDA approval or until the program terminates; expand product indications for approved products; invest in sales and marketing resources for existing and new products; enter into agreements to purchase products or other companies and invest in support for our business, technology, regulatory and legal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Neurology Portfolio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neurology portfolio includes the following two commercial products and one product candidate for the treatment of neurological diseases.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Trokendi XR is a once-daily extended release topiramate product for the prophylaxis of migraine headache and for the treatment of epilepsy.</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Oxtellar XR is a once-daily extended release oxcarbazepine product that was initially approved for the adjunctive treatment of partial onset seizures of epilepsy. During the first quarter of 2019, we launched Oxtellar XR for the recently approved monotherapy treatment of partial onset seizures of epilepsy in adults and in children 6 to 17 years of age.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These two commercial products differ from immediate release formulations by offering once-daily dosing and unique pharmacokinetic profiles, which we believe can have very positive clinical effects for many patients. We believe a once-daily dosing regimen improves adherence, making it more probable that patients maintain sufficient levels of medication in their bloodstreams to protect against seizures and migraines. In addition, we believe that the unique smooth and steady pharmacokinetic profiles of our once-daily formulations reduce the peak to trough blood level fluctuations, which are typically associated with immediate release products and which may result in increased adverse events (AEs), more side effects and decreased efficacy.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Prescriptions</w:t>
      </w:r>
    </w:p>
    <w:p>
      <w:pPr>
        <w:spacing w:after="0" w:line="22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expect the number of prescriptions filled for Oxtellar XR and Trokendi XR to continue to increase through 2019 and in subsequent years. Data from IQVIA shows that 199,520 total prescriptions were filled for both of these drugs during the three month periods ended March 31, 2019, which is 11% higher than the 179,711 prescriptions reported for the same period in 2018.</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Total prescriptions for Trokendi XR increased by 15,945 or 11% in the first quarter of 2019 as compared to the same quarter period in 2018. Total prescriptions for Oxtellar XR increased by 3,864 or 11% in the first quarter of 2019 as compared to the same quarter in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Candidate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SPN-817 will utilize a novel synthetic form of huperzine A, whose mechanism of action (MOA) includes potent acetyl cholinesterase inhibition with pharmacological activities in CNS conditions such as epilepsy.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Development Program</w:t>
      </w:r>
    </w:p>
    <w:p>
      <w:pPr>
        <w:spacing w:after="0" w:line="227"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We plan on studying SPN-817 initially in severe pediatric epilepsy disorders. A Phase I proof-of-concept trial is currently underway outside of the U.S in adult patients with refractory complex partial seizures to study the efficacy, safety, and pharmacokinetic profile of a new extended release formulation of non-synthetic huperzine A. We will focus on completing and optimizing the synthesis process of the synthetic drug and developing a novel dosage form prior to conducting additional clinical trials. Given the potency of huperzine A, a novel extended release oral dosage form is critical to the success of this program because initial studies with immediate release formulations of nonsynthetic huperzine A have shown dose-limiting serious side effects.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Psychiatry Portfolio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psychiatry portfolio includes the following four product candidates for the treatment of psychiatric disorders.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SPN-812 (extended release viloxazine hydrochloride)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SPN-812 is a structurally distinct, bicyclic, serotonin norepinephrine modulating agent with New Chemical Entity (NCE) status in the U.S. We are developing SPN-812 as a novel non-stimulant treatment for ADHD in pediatric and adolescent patients. We believe that SPN-812 could be a better alternative than other non-stimulant and stimulant therapies due to its unique pharmacological and pharmacokinetic profile. The active ingredient in SPN-812, viloxazine hydrochloride, has an extensive safety record in Europe, where it was previously marketed for many years as an antidepressant.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SPN-812 Development Program</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Phase III program consists of four three-arm, placebo-controlled trials: P301 and P303 trials in patients 6 to 11 years old and P302 and P304 trials in patients 12-17 years old. The Phase III program for SPN-812 is complete. In December 2018, we announced positive topline results from the pediatric trials (P301 and P303) and the first adolescent trial (P302). In March 2019, we announced topline results from the second adolescent trial (P304), confirming the positive results seen in the previous three Phase III trials.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P304 study is a randomized, double-blind, placebo controlled, multicenter, parallel group clinical trial in adolescents 12 to 17 years of age diagnosed with ADHD. Each treatment was administered orally once a day over seven weeks, including one week of titration for 400 mg dosing and two weeks of titration for 600 mg dosing. SPN-812 400 mg dose reached statistical significance compared to placebo, consistent with our previous Phase III studies. While SPN-812 600 mg dose narrowly missed statistical significance, it is not needed for the submission of the NDA for children and adolescents. The 600 mg dose was included to check for a potentially higher level of efficacy, to help in identifying the maximum effective dose, and to help in designing our trials for the adult population.</w:t>
      </w:r>
    </w:p>
    <w:p>
      <w:pPr>
        <w:spacing w:after="0" w:line="18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continues to be focused on compiling the New Drug Application (NDA) for submission to the U.S. Food and Drug Administration (FDA) in the second half of this year. We expect to launch SPN-812, assuming FDA approval, in the second half of 2020.</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Patients completing the Phase III trials were permitted to continue treatment under our open label extension trial. That trial is expected to continue through 2020.</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Further, we are continuing to develop and expand our intellectual property (IP) portfolio covering the novel synthesis process for the active ingredient in SPN-812, its novel use in treatment of ADHD and its novel extended release delivery.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SPN-810 (molindone hydrochloride)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developing SPN-810 as a novel treatment for IA in patients who have ADHD, with the potential to be the first product available to address this serious, unmet medical need. Molindone hydrochloride was previously marketed in the United States for the treatment of schizophrenia under the trade name Moban at much higher strengths and different dosage forms than we are using in our development program. If we are successful in developing SPN-810 as a novel treatment for IA in patients who have ADHD, we may then develop the product as a candidate for treating other indications, e.g., patients with IA in autism, PTSD, bipolar disorder, Alzheimer’s and other forms of dementia.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SPN-810 Development Program</w:t>
      </w:r>
    </w:p>
    <w:p>
      <w:pPr>
        <w:spacing w:after="0" w:line="22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Phase III program consists of two clinical studies in patients 6 to 11 years old (P301 and P302) and one in patients 12 to 17 years old (P503). Data from the first Phase III trial (P301) and second trial (P302) are expected in second half of 2019. We expect patient enrollment in the adolescent trial (P503) to continue through 2020.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expect to submit the NDA for SPN-810 in the second half of 2020, and to launch it, assuming FDA approval, in the second half of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Patients completing the Phase III trials can continue treatment under our open label extension trial. Enrollment from the P301 and P302 trials into the open label extension trial continues at 90% or higher. On average, a patient in the open label extension study stays on SPN-810 for approximately 10 months, which we believe is an encouraging sign of both tolerability and efficacy.</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continue to develop and expand our IP portfolio covering the novel synthesis process for the active ingredient in SPN-810, its novel use in IA and its novel extended release delivery.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SPN-809 (viloxazine hydrochloride)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SPN-809 is a novel once-daily product candidate for the treatment of depression. SPN-809 incorporates the same active ingredient as SPN-812.</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Because SPN-809 contains the same active ingredient as SPN-812, we expect that many of our activities related to the development of SPN-812 will also benefit the development of SPN-809.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SPN-604 (extended release oxcarbazepine for treatment of bipolar disorder)</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continue to progress our plans to initiate pivotal Phase III studies for the treatment of bipolar disorder in the second half of 2019. If approved, this would represent the first approval for treatment of bipolar patients with oxcarbazepine in the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extended release oxcarbazepine patent portfolio currently includes twelve U.S. patents, nine of which cover Oxtellar XR. We own all of the issued patents and the pending patent applications. We have also obtained two patents each for extended release oxcarbazepine in Europe and Australia, and one patent each in Canada, Japan, China and Mexico. In addition, we have a pending U.S. patent application that covers various extended release formulations containing oxcarbazepine. The nine issued U.S. patents covering Oxtellar XR will expire no earlier than 2027.</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currently have nine U.S. patents that cover Trokendi XR. We own all of the issued patents and pending patent applications. We have one patent issued each in Mexico, Australia, Japan and Canada for extended release topiramate. We also have two patents issued in Europe for extended release topiramate. The nine issued U.S. patents covering Trokendi XR will expire no earlier than 2027. The Company has entered into settlement agreements with third parties permitting sale of a generic version of Trokendi XR on January 1, 2023 or earlier under certain circumstances.</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patent portfolio also contains patent applications relating to our pipeline products. We continue to build our intellectual property portfolio to provide additional protection for our technologies, measurement scales, products and product candidates.</w:t>
      </w:r>
    </w:p>
    <w:p>
      <w:pPr>
        <w:spacing w:after="0" w:line="162"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To protect our competitive position, it may be necessary to enforce our patent rights through litigation against infringing third parties. See Part II, Item 1—</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227"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significant accounting policies and bases of presentation for our condensed consolidated financial statements are described in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w:t>
      </w:r>
      <w:r>
        <w:rPr>
          <w:rFonts w:ascii="Times New Roman" w:cs="Times New Roman" w:eastAsia="Times New Roman" w:hAnsi="Times New Roman"/>
          <w:sz w:val="18"/>
          <w:szCs w:val="18"/>
          <w:color w:val="auto"/>
        </w:rPr>
        <w:t>in the Notes to the Condensed Consolidated Financial Statements. Our condensed consolidated financial statements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in accordance with U.S. generally accepted accounting principles (GAAP), requiring us to make estimates and assumptions that affect the reported amounts of assets, liabilities, revenues, and expenses, and to disclose contingent assets and liabilities. Actual results could differ materially from those estimates.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accounting policies and estimates to be critical: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Revenue from product sales is recognized when control of our products is transferred to our customers, who are pharmaceutical wholesalers and distributors. Product sales are recorded net of various forms of variable consideration, including estimated rebates, discounts, and allowances, and an estimated liability for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Times New Roman" w:cs="Times New Roman" w:eastAsia="Times New Roman" w:hAnsi="Times New Roman"/>
          <w:sz w:val="18"/>
          <w:szCs w:val="18"/>
          <w:i w:val="1"/>
          <w:iCs w:val="1"/>
          <w:color w:val="auto"/>
        </w:rPr>
        <w:t>Revenue from Product Sales</w:t>
      </w:r>
      <w:r>
        <w:rPr>
          <w:rFonts w:ascii="Times New Roman" w:cs="Times New Roman" w:eastAsia="Times New Roman" w:hAnsi="Times New Roman"/>
          <w:sz w:val="18"/>
          <w:szCs w:val="18"/>
          <w:color w:val="auto"/>
        </w:rPr>
        <w:t xml:space="preserve"> in the Notes to Condensed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Related Accrued Clinical Expenses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Research and development costs primarily consist of: employee-related expenses, including salaries and benefits; share-based compensation expense; expenses incurred under agreements with clinical research organizations (CROs); fees paid to investigators who are participating in our clinical trials; consultants and other vendors that assist in the conduct of the Company’s clinical trials; the cost of acquiring and manufacturing clinical trial materials, including materials used in process validation (i.e.,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 Assets acquired that are used for research and development and that have no future alternative use are expensed as in-process research and development.</w:t>
      </w:r>
    </w:p>
    <w:p>
      <w:pPr>
        <w:spacing w:after="0" w:line="18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Clinical trials are inherently complex and often involve multiple service providers. Because billing for services often lags by a substantial period of time, we often are required to estimate and accrue a significant portion of our clinical expenses. This process involves reviewing open contracts and communicating with our subject matter expert personnel as well as the appropriate service provider personnel to identify services that have been performed on our behalf but for which no invoice has been received. We accrue for unbilled services performed, both partially and fully completed, and the associated cost incurred.</w:t>
      </w:r>
    </w:p>
    <w:p>
      <w:pPr>
        <w:spacing w:after="0" w:line="18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Payments to service providers can either be based on hourly rates for service or based on achievement of performance driven milestones. When accruing clinical expenses, we estimate the time period over which services will be performed during the life of the entire clinical program, the total cost of the program, and the level of effort to be expended in each intervening period. We work with each service provider to obtain an estimate for incurred but unbilled services as of the end of the calendar quarter, including estimates for payments to site investigators.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the following periods. Historically, our estimated accrued clinical expenses have closely approximated the actual expenses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 periods ended March 31, 2019 and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Revenues consist of net product sales of Trokendi XR and Oxtellar XR in the U.S., and royalty and licensing revenues from our collaborative licensing arrangements.</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revenues during the periods indicated, including percent changes (dollar amount in thousands):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5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Trokendi XR</w:t>
            </w:r>
          </w:p>
        </w:tc>
        <w:tc>
          <w:tcPr>
            <w:tcW w:w="172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63,693</w:t>
            </w:r>
          </w:p>
        </w:tc>
        <w:tc>
          <w:tcPr>
            <w:tcW w:w="98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70,555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(6,862)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Oxtellar XR</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19,406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8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83,099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280" w:type="dxa"/>
            <w:vAlign w:val="bottom"/>
            <w:gridSpan w:val="2"/>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revenues</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Pr>
          <w:p>
            <w:pPr>
              <w:spacing w:after="0"/>
              <w:rPr>
                <w:sz w:val="19"/>
                <w:szCs w:val="19"/>
                <w:color w:val="auto"/>
              </w:rPr>
            </w:pPr>
          </w:p>
        </w:tc>
        <w:tc>
          <w:tcPr>
            <w:tcW w:w="860" w:type="dxa"/>
            <w:vAlign w:val="bottom"/>
            <w:tcBorders>
              <w:top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85,474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2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Net product sales are based on gross revenue from product shipments to pharmaceutical wholesalers and distributors, less estimates for rebates, product returns and sales discounts.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of 2018 wholesalers, distributors, and pharmacies increased their inventory holdings, as compared to the prevailing inventory levels in the third quarter of 2018. We estimate that this caused net product sales to be approximately $10 million higher in the fourth quarter of 2018 than it would have been otherwise, had channel inventory levels remained consistent, quarter to quarter.</w:t>
      </w:r>
    </w:p>
    <w:p>
      <w:pPr>
        <w:spacing w:after="0" w:line="176" w:lineRule="exact"/>
        <w:rPr>
          <w:sz w:val="20"/>
          <w:szCs w:val="20"/>
          <w:color w:val="auto"/>
        </w:rPr>
      </w:pPr>
    </w:p>
    <w:p>
      <w:pPr>
        <w:jc w:val="both"/>
        <w:ind w:right="480" w:firstLine="648"/>
        <w:spacing w:after="0" w:line="261" w:lineRule="auto"/>
        <w:rPr>
          <w:sz w:val="20"/>
          <w:szCs w:val="20"/>
          <w:color w:val="auto"/>
        </w:rPr>
      </w:pPr>
      <w:r>
        <w:rPr>
          <w:rFonts w:ascii="Times New Roman" w:cs="Times New Roman" w:eastAsia="Times New Roman" w:hAnsi="Times New Roman"/>
          <w:sz w:val="18"/>
          <w:szCs w:val="18"/>
          <w:color w:val="auto"/>
        </w:rPr>
        <w:t>This process was effectively reversed in the first quarter of 2019. Specifically, based on analysis of sales and inventory data, inventory levels at wholesalers, distributors, and pharmacies declined to the prevailing levels of the third quarter of 2018. As a result, both gross sales and net product sales decreased in the first quarter of 2019, as compared both to the prior year as well as the prior quarter. The adverse impact on net product sales due to the reduction in channel inventory is estimated at approximately $10 million.</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Partially offsetting the reduction in channel inventory was year over year growth in prescriptions of 11%, coupled with price increases. For the three month period ended March 31, net product sales decreased by $6.0 million, from 2018 to 2019.</w:t>
      </w:r>
    </w:p>
    <w:p>
      <w:pPr>
        <w:spacing w:after="0" w:line="16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Trokendi XR net product sales decreased $6.9 million, or 10% for the three month period ended March 31, 2019 versus 2018. The primary driver was the aforementioned channel inventory reduction, which was partially offset by growth in prescriptions and the net impact of an 8% price increase. Oxtellar XR net product sales grew by $0.8 million, or 5%, for the three month period ended March 31, 2019 as compared to 2018. Growth in prescription volumes and the net impact of an 8% price increase were modestly offset by the channel inventory reduction.</w:t>
      </w:r>
    </w:p>
    <w:p>
      <w:pPr>
        <w:spacing w:after="0" w:line="17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records accrued rebates and accrued product returns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as current liabilities and records sales discounts as an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valuation allowance.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activities with respect to sales deductions and related accruals for the three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and 2018, in thousands of dollars: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Accrued Liabilities</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right"/>
              <w:ind w:right="395"/>
              <w:spacing w:after="0" w:line="118"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8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85,003</w:t>
            </w:r>
          </w:p>
        </w:tc>
        <w:tc>
          <w:tcPr>
            <w:tcW w:w="4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22,060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118,611</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sales in current year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63,941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76,879</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75,950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(82,010)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(98,551)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96,010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Accrued Liabilities</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49,460</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sales in current year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68,399</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relating to prior year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66,744</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(49,086)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82,392</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total provision for sales deductions from gross product sales was $76.0 million and $66.7 million for the three month periods ended March 31, 2019 and 2018, respectively. The overall increase in the provision was directly related to growth in prescriptions, the growth in Medicaid rebates consequent to taking price increases, and higher levels of patient co-pay assistance in response to the growth in high deductible health care plans. Adjustments related to prior year sales due to changes in estimate had a de minimis impact on product sales for the periods ended March 31, 2019 and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Royalty revenues includes royalty revenue from net product sales of Mydayis, a product of Shire Plc (now a subsidiary of Takeda Pharmaceuticals Company Ltd.), and non-cash royalty revenue consequent to the Healthcare Royalty Partners III, L.P. (HC Royalty) arrangement. HC Royalty receives royalty payments from United Therapeutics Corporation, (United Therapeutics), based on net product sales of Orenitram.</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Royalty revenues grew 81% in the three month period ended March 31, 2019, compared to the same period in 2018, primarily due to increased sales of Mydayis and Orenitram. Non-cash royalty revenue for the three month period ended March 31, 2019 was $1.6 million, compared to $1.3 million for same period in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cost of product sales during the periods indicated, including percent changes (dollar amounts in thousands):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50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74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3,684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Cost of product sales during the three month period ended March 31, 2019 was $3.7 million, slightly higher than $3.3 million for the same period in 2018. The increase is primarily attributable to higher unit volume, partially offset by manufacturing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research and development expenses (R&amp;D) during the periods indicated, including percent changes (dollar amounts in thousands):</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R&amp;D expenses decreased by $3.5 million, or 19%, in the three month period ended March 31, 2019 as compared to the same period in 2018. This decrease is primarily driven by the completion of the four Phase III clinical trials for SPN-812 in late 2018/early 2019, partially offset by the manufacture of validation and registration lots for SPN-812 to support our upcoming NDA filing.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selling, general and administrative expenses (SG&amp;A) during the periods indicated, including percent changes (dollar amounts in thousands):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42"/>
        </w:trPr>
        <w:tc>
          <w:tcPr>
            <w:tcW w:w="4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r>
      <w:tr>
        <w:trPr>
          <w:trHeight w:val="210"/>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30,749</w:t>
            </w:r>
          </w:p>
        </w:tc>
        <w:tc>
          <w:tcPr>
            <w:tcW w:w="4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26,676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by $4.1 million, or 15%, in the three month period ended March 31,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2018. Approximately $3.8 million of the total increase is due to increased expenses for promotional and marketing programs, speaker programs and consulting services to support our commercial products, particularly the migraine indication for Trokendi XR and the launch of monotherapy for partial seizures, in January 2019, for Oxtellar XR.</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slightly by $46,000, in the three month period ended March 31,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2018, primarily due to increased cost of facilities and insurance offset by a decrease in patent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other expenses during the periods indicated, including percent changes (dollar amounts in thousands):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9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42"/>
        </w:trPr>
        <w:tc>
          <w:tcPr>
            <w:tcW w:w="44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r>
      <w:tr>
        <w:trPr>
          <w:trHeight w:val="210"/>
        </w:trPr>
        <w:tc>
          <w:tcPr>
            <w:tcW w:w="44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4,681</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(4,710)</w:t>
            </w:r>
          </w:p>
        </w:tc>
        <w:tc>
          <w:tcPr>
            <w:tcW w:w="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198"/>
        </w:trPr>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expense-nonrecourse liability related to sale of</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royalties</w:t>
            </w:r>
          </w:p>
        </w:tc>
        <w:tc>
          <w:tcPr>
            <w:tcW w:w="7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(1,160)</w:t>
            </w:r>
          </w:p>
        </w:tc>
        <w:tc>
          <w:tcPr>
            <w:tcW w:w="8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(1,189)</w:t>
            </w: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Interest income increased by $3.5 million in the three month period ended March 31, 2019 as compared to the same period in 2018. This increase was primarily attributable to an increase in cash, cash equivalents and marketable security holdings resultant from the issuance of $402.5 million of 0.625% Convertible Senior Notes, due 2023 (2023 Notes) in March 2018.</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by approximately $4.0 million in the three month period ended March 31, 2019 as compared to the same period in 2018. The increase was primarily due to non-cash interest expense of $3.8 million related to the amortization of deferred financing costs and debt discount on the 2023 Notes recorded in the first quarter of 2019.</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Non-cash interest expense related to our non-recourse royalty liability increased by $0.5 million in the three month period ended March 31, 2019 as compared to the same period in 2018, primarily due to changes in the projection of future royalties on sales of Orenitram, coupled with an increase in the liability amortization term as a result of a favorable settlement of patent litigation for United Therapeutics.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income tax expense during the periods indicated, including percent changes (dollar amounts in thousands):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42"/>
        </w:trPr>
        <w:tc>
          <w:tcPr>
            <w:tcW w:w="46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r>
      <w:tr>
        <w:trPr>
          <w:trHeight w:val="210"/>
        </w:trPr>
        <w:tc>
          <w:tcPr>
            <w:tcW w:w="46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5,899</w:t>
            </w:r>
          </w:p>
        </w:tc>
        <w:tc>
          <w:tcPr>
            <w:tcW w:w="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4,830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24.34%</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15.49%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income tax expense and in the effective tax rate for the three month period ended March 31, 2019 as compared to the same periods in 2018 is primarily attributable to larger excess tax benefits consequent to exercises of employee stock options in 2018. The Company recorded income tax benefits related to exercise of employee stock options of approximately $0.3 million and $2.0 million for the three month periods ended March 31, 2019 and 2018,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2005, we have devoted most of our cash resources to manufacturing, research and development, and selling, general and administrative activities related to the development and commercialization of our commercial products, Trokendi XR and Oxtellar XR, and our product candidates. We are highly dependent on the commercial success of our two commercial products, which we launched in 2013. We have financed our operations primarily with cash generated from product sales, supplemented by proceeds from the sale of equity and debt securities, borrowings under debt facilities, royalty and licensing arrangements.</w:t>
      </w:r>
    </w:p>
    <w:p>
      <w:pPr>
        <w:spacing w:after="0" w:line="184"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believe our net product sales will be sufficient to finance operations in the current year and subsequent years, including R&amp;D expenses for our clinical trials, increased expenses to support our commercial products and pre-launch activities in anticipation of launching our product candidates. We also expect to incur increased R&amp;D expenses for 2019 to support the development of SPN-810, SPN-812, SPN-817, and SPN-604.</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expect our SG&amp;A expenses to continue to increase for the foreseeable future, as we continue to invest in the commercialization of Trokendi XR and Oxtellar XR, and in supportive functions such as compliance, finance, management of our intellectual property portfolio, and information technology systems and personnel. In each case, spending is commensurate with the growth of our business. We are actively looking for business development opportunities.</w:t>
      </w:r>
    </w:p>
    <w:p>
      <w:pPr>
        <w:spacing w:after="0" w:line="180"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Our working capital at March 31, 2019 was $268.3 million, a decrease of $63.8 million compared to $332.1 million at December 31, 2018. The decrease was primarily due to timing of receivable collections and increased investment in long term marketable securities. In addition, our long term marketable securities at March 31, 2019 were $522.6 million, an increase of $103.8 million, as compared to $418.8 million at December 31, 2018. This increase was primarily attributable to the net cash proceeds generated from operations.</w:t>
      </w:r>
    </w:p>
    <w:p>
      <w:pPr>
        <w:spacing w:after="0" w:line="1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stockholders’ equity increased by $27.0 million during the three month period ended March 31, 2019, primarily as a result of net earnings of $18.3 million, coupled with option exercises, share-based compensation and unrealized gains on marketable securities of $4.6 million. These changes were partially offset by the purchase of convertible note hedges, as described below.</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achieved positive cash flow and achieved profitability from operations in the three month periods ended March 31, 2019 and 2018. While we expect continued profitability in the current year and in subsequent years as we continue to increase sales, we anticipate there may be significant variability from quarter to quarter in our level of profitability.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the periods set forth below (summarized, in thousands):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4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27,071</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(2,605)</w:t>
            </w: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60" w:type="dxa"/>
            <w:vAlign w:val="bottom"/>
            <w:shd w:val="clear" w:color="auto" w:fill="CCEEFF"/>
          </w:tcPr>
          <w:p>
            <w:pPr>
              <w:spacing w:after="0"/>
              <w:rPr>
                <w:sz w:val="18"/>
                <w:szCs w:val="18"/>
                <w:color w:val="auto"/>
              </w:rPr>
            </w:pPr>
          </w:p>
        </w:tc>
      </w:tr>
      <w:tr>
        <w:trPr>
          <w:trHeight w:val="21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(51,010)</w:t>
            </w:r>
          </w:p>
        </w:tc>
        <w:tc>
          <w:tcPr>
            <w:tcW w:w="1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(52,236)</w:t>
            </w:r>
          </w:p>
        </w:tc>
      </w:tr>
      <w:tr>
        <w:trPr>
          <w:trHeight w:val="216"/>
        </w:trPr>
        <w:tc>
          <w:tcPr>
            <w:tcW w:w="4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(366,930)</w:t>
            </w:r>
          </w:p>
        </w:tc>
      </w:tr>
      <w:tr>
        <w:trPr>
          <w:trHeight w:val="216"/>
        </w:trPr>
        <w:tc>
          <w:tcPr>
            <w:tcW w:w="4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(413,306</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is comprised of two components: cash provided by operating earnings and cash provided by changes in working capital. The decrease in net cash provided by operating activities is primarily driven by a period over period decrease in revenue generated from sales of our two commercial products, Trokendi XR and Oxtellar XR.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certain operating assets and liabilities are as follows, in thousands: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Explanation of 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jc w:val="center"/>
              <w:ind w:right="2710"/>
              <w:spacing w:after="0"/>
              <w:rPr>
                <w:sz w:val="20"/>
                <w:szCs w:val="20"/>
                <w:color w:val="auto"/>
              </w:rPr>
            </w:pPr>
            <w:r>
              <w:rPr>
                <w:rFonts w:ascii="Times New Roman" w:cs="Times New Roman" w:eastAsia="Times New Roman" w:hAnsi="Times New Roman"/>
                <w:sz w:val="18"/>
                <w:szCs w:val="18"/>
                <w:color w:val="auto"/>
              </w:rPr>
              <w:t>(Increase) Decrease 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23,013</w:t>
            </w:r>
          </w:p>
        </w:tc>
        <w:tc>
          <w:tcPr>
            <w:tcW w:w="280" w:type="dxa"/>
            <w:vAlign w:val="bottom"/>
            <w:gridSpan w:val="2"/>
          </w:tcPr>
          <w:p>
            <w:pPr>
              <w:jc w:val="right"/>
              <w:ind w:right="95"/>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(798)</w:t>
            </w:r>
          </w:p>
        </w:tc>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Timing of cash collections; decreased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due to higher fourth quarter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2018 sales as a result of higher fourth</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of 2018 channel inventory levels.</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(859)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(2,771)</w:t>
            </w:r>
          </w:p>
        </w:tc>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 inventory volume to support</w:t>
            </w: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 product demand.</w:t>
            </w:r>
          </w:p>
        </w:tc>
        <w:tc>
          <w:tcPr>
            <w:tcW w:w="0" w:type="dxa"/>
            <w:vAlign w:val="bottom"/>
          </w:tcPr>
          <w:p>
            <w:pPr>
              <w:spacing w:after="0"/>
              <w:rPr>
                <w:sz w:val="1"/>
                <w:szCs w:val="1"/>
                <w:color w:val="auto"/>
              </w:rPr>
            </w:pPr>
          </w:p>
        </w:tc>
      </w:tr>
      <w:tr>
        <w:trPr>
          <w:trHeight w:val="198"/>
        </w:trPr>
        <w:tc>
          <w:tcPr>
            <w:tcW w:w="4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expenses, other current assets and other non-</w:t>
            </w:r>
          </w:p>
        </w:tc>
        <w:tc>
          <w:tcPr>
            <w:tcW w:w="220" w:type="dxa"/>
            <w:vAlign w:val="bottom"/>
          </w:tcPr>
          <w:p>
            <w:pPr>
              <w:spacing w:after="0"/>
              <w:rPr>
                <w:sz w:val="17"/>
                <w:szCs w:val="17"/>
                <w:color w:val="auto"/>
              </w:rPr>
            </w:pPr>
          </w:p>
        </w:tc>
        <w:tc>
          <w:tcPr>
            <w:tcW w:w="12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(1,995)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(404)</w:t>
            </w:r>
          </w:p>
        </w:tc>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Timing differences related to deposit for</w:t>
            </w:r>
          </w:p>
        </w:tc>
        <w:tc>
          <w:tcPr>
            <w:tcW w:w="0" w:type="dxa"/>
            <w:vAlign w:val="bottom"/>
          </w:tcPr>
          <w:p>
            <w:pPr>
              <w:spacing w:after="0"/>
              <w:rPr>
                <w:sz w:val="1"/>
                <w:szCs w:val="1"/>
                <w:color w:val="auto"/>
              </w:rPr>
            </w:pPr>
          </w:p>
        </w:tc>
      </w:tr>
      <w:tr>
        <w:trPr>
          <w:trHeight w:val="216"/>
        </w:trPr>
        <w:tc>
          <w:tcPr>
            <w:tcW w:w="446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8"/>
              </w:rPr>
              <w:t>current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purchase; progress of clinical</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trials.</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jc w:val="center"/>
              <w:ind w:right="2710"/>
              <w:spacing w:after="0"/>
              <w:rPr>
                <w:sz w:val="20"/>
                <w:szCs w:val="20"/>
                <w:color w:val="auto"/>
              </w:rPr>
            </w:pPr>
            <w:r>
              <w:rPr>
                <w:rFonts w:ascii="Times New Roman" w:cs="Times New Roman" w:eastAsia="Times New Roman" w:hAnsi="Times New Roman"/>
                <w:sz w:val="18"/>
                <w:szCs w:val="18"/>
                <w:color w:val="auto"/>
              </w:rPr>
              <w:t>Increase (Decrease) 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and  accrued  other  non-current</w:t>
            </w:r>
          </w:p>
        </w:tc>
        <w:tc>
          <w:tcPr>
            <w:tcW w:w="220" w:type="dxa"/>
            <w:vAlign w:val="bottom"/>
          </w:tcPr>
          <w:p>
            <w:pPr>
              <w:spacing w:after="0"/>
              <w:rPr>
                <w:sz w:val="17"/>
                <w:szCs w:val="17"/>
                <w:color w:val="auto"/>
              </w:rPr>
            </w:pPr>
          </w:p>
        </w:tc>
        <w:tc>
          <w:tcPr>
            <w:tcW w:w="12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(4,572)</w:t>
            </w:r>
          </w:p>
        </w:tc>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Timing of vendor payments.</w:t>
            </w: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product returns and rebates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(18,863)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4,691</w:t>
            </w:r>
          </w:p>
        </w:tc>
        <w:tc>
          <w:tcPr>
            <w:tcW w:w="24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 provision directly related to</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in prescriptions, the growth in</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 rebates consequent taking price</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and higher levels of patient co-</w:t>
            </w: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 assistance.</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Timing of income tax payments.</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Timing of compensation payments.</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$52.2 million for the three month period ended March 31, 2019, as compared to the same period 2018. The increase was primarily due to net purchases of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to $0.8 million for the three month periods ended March 31, 2019 versus $367.7 million provided in the same period in 2018. The decrease was primarily related to issuance of the 2023 Notes and the related convertible note hedges and warrants, in March 2018.</w:t>
      </w:r>
    </w:p>
    <w:p>
      <w:pPr>
        <w:sectPr>
          <w:pgSz w:w="11900" w:h="16838" w:orient="portrait"/>
          <w:cols w:equalWidth="0" w:num="1">
            <w:col w:w="11420"/>
          </w:cols>
          <w:pgMar w:left="240" w:top="121"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Refer to the “Contractual Obligations and Commitments” section within “Part II, Item 7 — Management’s Discussion and Analysis of Liquidity and Capital Resources” of our Annual Report on Form 10-K for the year ended December 31, 2018 for a discussion of our contractual obligations.</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addition, during the first quarter of 2019, we entered into a new lease agreement with Advent Key West, LLC for our new headquarters in Rockville, MD. Refer to Note 14 in the Notes to Condensed Consolidated Financial Statements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do not engage in trading activities involving non-exchange traded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On January 1, 2019, we adopted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For a discussion of new accounting pronouncements, see Note 2 in the Notes to Condensed Consolidated Financial Statements in Part I, Item 1 of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or liquidity risk. Our exposure to market risk is confined to investments in cash, cash equivalents, marketable securities and long term marketable securities. As of March 31, 2019, we had unrestricted cash, cash equivalents, marketable securities and long term marketable securities of $815.5 million. 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 We do not engage in any hedging activities against changes in interest rates. Because of the short-term maturities of our cash, cash equivalents, marketable securities and long term marketable securities, and because we generally hold these securities to maturity, we do not believe that an increase in interest rates would have any significant impact on the realizable value of our investments. We do not have any currency or other derivative financial instruments other than the outstanding warrants to purchase common stock and the convertible note hedges.</w:t>
      </w:r>
    </w:p>
    <w:p>
      <w:pPr>
        <w:spacing w:after="0" w:line="186"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We may contract with CROs and investigational sites globally. Currently, we have one ongoing trial, for SPN-817, outside the United States. We do not hedge our foreign currency exchange rate risk. Transactions denominated in currencies other than the U.S. dollar are recorded based on exchange rates at the time such transactions arise. As of March 31, 2019 and December 31, 2018, substantially all of our liabilities were denominated in the U.S. dollar.</w:t>
      </w:r>
    </w:p>
    <w:p>
      <w:pPr>
        <w:spacing w:after="0" w:line="15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over the three month periods ended March 31, 2019 and 2018 had a significant impact on our condensed consolidated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March 31, 2019, the end of the period covered by this report. Based on that evaluation, under the supervision and with the participation of our management, including our CEO and CFO, we concluded that our disclosure controls and procedures were effective as of March 31, 2019.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2019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and in the ordinary course of business, we may be subject to various claims, charges and litigation. We may be required to file infringement claims against third parties for the infringement of our patents. As of March 31, 2019, the Company has no outstanding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and the additional information in the other reports we file with the Securities and Exchange Commission, along with the risks described in our Annual Report on Form 10-K for the year ended December 31, 2018. These risks may result in material harm to our business and our financial condition and results of operations. In such an eventuality, the market price of our common stock may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March 31, 2019, the Company granted options to employees and directors to purchase an aggregate of 831,835 shares of common stock at a weighted-average exercise price of $36.75 per share. Once vested, the options are exercisable for a period of ten years from the grant date. These issuances were exempt from registration in reliance on Section 4(a)(2) of the Securities Act as transactions not involving a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w:t>
            </w:r>
          </w:p>
        </w:tc>
      </w:tr>
      <w:tr>
        <w:trPr>
          <w:trHeight w:val="234"/>
        </w:trPr>
        <w:tc>
          <w:tcPr>
            <w:tcW w:w="96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2002.</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w:t>
            </w:r>
          </w:p>
        </w:tc>
      </w:tr>
      <w:tr>
        <w:trPr>
          <w:trHeight w:val="234"/>
        </w:trPr>
        <w:tc>
          <w:tcPr>
            <w:tcW w:w="96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2002.</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96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35</w:t>
            </w:r>
          </w:p>
        </w:tc>
      </w:tr>
      <w:tr>
        <w:trPr>
          <w:trHeight w:val="132"/>
        </w:trPr>
        <w:tc>
          <w:tcPr>
            <w:tcW w:w="960" w:type="dxa"/>
            <w:vAlign w:val="bottom"/>
            <w:tcBorders>
              <w:bottom w:val="single" w:sz="8" w:color="808080"/>
            </w:tcBorders>
          </w:tcPr>
          <w:p>
            <w:pPr>
              <w:spacing w:after="0"/>
              <w:rPr>
                <w:sz w:val="11"/>
                <w:szCs w:val="11"/>
                <w:color w:val="auto"/>
              </w:rPr>
            </w:pPr>
          </w:p>
        </w:tc>
        <w:tc>
          <w:tcPr>
            <w:tcW w:w="10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Label/Linkbase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96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36</w:t>
            </w:r>
          </w:p>
        </w:tc>
      </w:tr>
      <w:tr>
        <w:trPr>
          <w:trHeight w:val="132"/>
        </w:trPr>
        <w:tc>
          <w:tcPr>
            <w:tcW w:w="960" w:type="dxa"/>
            <w:vAlign w:val="bottom"/>
            <w:tcBorders>
              <w:bottom w:val="single" w:sz="8" w:color="808080"/>
            </w:tcBorders>
          </w:tcPr>
          <w:p>
            <w:pPr>
              <w:spacing w:after="0"/>
              <w:rPr>
                <w:sz w:val="11"/>
                <w:szCs w:val="11"/>
                <w:color w:val="auto"/>
              </w:rPr>
            </w:pPr>
          </w:p>
        </w:tc>
        <w:tc>
          <w:tcPr>
            <w:tcW w:w="10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gridSpan w:val="7"/>
          </w:tcPr>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40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320" w:type="dxa"/>
            <w:vAlign w:val="bottom"/>
            <w:tcBorders>
              <w:top w:val="single" w:sz="8" w:color="auto"/>
              <w:bottom w:val="single" w:sz="8" w:color="0000EE"/>
            </w:tcBorders>
          </w:tcPr>
          <w:p>
            <w:pPr>
              <w:spacing w:after="0"/>
              <w:rPr>
                <w:rFonts w:ascii="Times New Roman" w:cs="Times New Roman" w:eastAsia="Times New Roman" w:hAnsi="Times New Roman"/>
                <w:sz w:val="18"/>
                <w:szCs w:val="18"/>
                <w:color w:val="0000EE"/>
                <w:w w:val="95"/>
              </w:rPr>
            </w:pPr>
            <w:hyperlink w:anchor="page38">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900" w:type="dxa"/>
            <w:vAlign w:val="bottom"/>
            <w:tcBorders>
              <w:top w:val="single" w:sz="8" w:color="auto"/>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Certification of Chief Executive Officer pursuant to Rule 13a-14(a).</w:t>
              </w:r>
            </w:hyperlink>
          </w:p>
        </w:tc>
        <w:tc>
          <w:tcPr>
            <w:tcW w:w="5260" w:type="dxa"/>
            <w:vAlign w:val="bottom"/>
            <w:tcBorders>
              <w:top w:val="single" w:sz="8" w:color="auto"/>
            </w:tcBorders>
            <w:gridSpan w:val="4"/>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95"/>
              </w:rPr>
            </w:pPr>
            <w:hyperlink w:anchor="page39">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8"/>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Certification of Chief Financial Officer pursuant to Rule 13a-14(a).</w:t>
              </w:r>
            </w:hyperlink>
          </w:p>
        </w:tc>
        <w:tc>
          <w:tcPr>
            <w:tcW w:w="4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20" w:type="dxa"/>
            <w:vAlign w:val="bottom"/>
          </w:tcPr>
          <w:p>
            <w:pPr>
              <w:spacing w:after="0"/>
              <w:rPr>
                <w:rFonts w:ascii="Times New Roman" w:cs="Times New Roman" w:eastAsia="Times New Roman" w:hAnsi="Times New Roman"/>
                <w:sz w:val="18"/>
                <w:szCs w:val="18"/>
                <w:color w:val="0000EE"/>
                <w:w w:val="95"/>
              </w:rPr>
            </w:pPr>
            <w:hyperlink w:anchor="page40">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8"/>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hyperlink>
          </w:p>
        </w:tc>
        <w:tc>
          <w:tcPr>
            <w:tcW w:w="40" w:type="dxa"/>
            <w:vAlign w:val="bottom"/>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of 2002.</w:t>
              </w:r>
            </w:hyperlink>
          </w:p>
        </w:tc>
        <w:tc>
          <w:tcPr>
            <w:tcW w:w="942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41">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Certification of Chief Financial Officer pursuant to 18 U.S.C. Section 1350, as adopted pursuant to Section 906 of the Sarbanes-Oxley Act</w:t>
              </w:r>
            </w:hyperlink>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of 2002.</w:t>
              </w:r>
            </w:hyperlink>
          </w:p>
        </w:tc>
        <w:tc>
          <w:tcPr>
            <w:tcW w:w="956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 w:type="dxa"/>
            <w:vAlign w:val="bottom"/>
          </w:tcPr>
          <w:p>
            <w:pPr>
              <w:spacing w:after="0"/>
              <w:rPr>
                <w:sz w:val="24"/>
                <w:szCs w:val="24"/>
                <w:color w:val="auto"/>
              </w:rPr>
            </w:pPr>
          </w:p>
        </w:tc>
      </w:tr>
      <w:tr>
        <w:trPr>
          <w:trHeight w:val="43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 w:type="dxa"/>
            <w:vAlign w:val="bottom"/>
          </w:tcPr>
          <w:p>
            <w:pPr>
              <w:spacing w:after="0"/>
              <w:rPr>
                <w:sz w:val="24"/>
                <w:szCs w:val="24"/>
                <w:color w:val="auto"/>
              </w:rPr>
            </w:pPr>
          </w:p>
        </w:tc>
      </w:tr>
      <w:tr>
        <w:trPr>
          <w:trHeight w:val="43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 w:type="dxa"/>
            <w:vAlign w:val="bottom"/>
          </w:tcPr>
          <w:p>
            <w:pPr>
              <w:spacing w:after="0"/>
              <w:rPr>
                <w:sz w:val="24"/>
                <w:szCs w:val="24"/>
                <w:color w:val="auto"/>
              </w:rPr>
            </w:pPr>
          </w:p>
        </w:tc>
      </w:tr>
      <w:tr>
        <w:trPr>
          <w:trHeight w:val="43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Label/Linkbase Document.</w:t>
            </w:r>
          </w:p>
        </w:tc>
        <w:tc>
          <w:tcPr>
            <w:tcW w:w="40" w:type="dxa"/>
            <w:vAlign w:val="bottom"/>
          </w:tcPr>
          <w:p>
            <w:pPr>
              <w:spacing w:after="0"/>
              <w:rPr>
                <w:sz w:val="24"/>
                <w:szCs w:val="24"/>
                <w:color w:val="auto"/>
              </w:rPr>
            </w:pPr>
          </w:p>
        </w:tc>
      </w:tr>
      <w:tr>
        <w:trPr>
          <w:trHeight w:val="432"/>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SUPERNUS PHARMACEUTICALS, INC.</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May 10, 2019</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Khattar</w:t>
            </w:r>
          </w:p>
        </w:tc>
        <w:tc>
          <w:tcPr>
            <w:tcW w:w="4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Jack A. Khattar</w:t>
            </w:r>
          </w:p>
        </w:tc>
        <w:tc>
          <w:tcPr>
            <w:tcW w:w="4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Secretary and Chief Executive Officer</w:t>
            </w:r>
          </w:p>
        </w:tc>
        <w:tc>
          <w:tcPr>
            <w:tcW w:w="40" w:type="dxa"/>
            <w:vAlign w:val="bottom"/>
          </w:tcPr>
          <w:p>
            <w:pPr>
              <w:spacing w:after="0"/>
              <w:rPr>
                <w:sz w:val="20"/>
                <w:szCs w:val="20"/>
                <w:color w:val="auto"/>
              </w:rPr>
            </w:pP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May 10, 2019</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 Patrick</w:t>
            </w:r>
          </w:p>
        </w:tc>
        <w:tc>
          <w:tcPr>
            <w:tcW w:w="4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S. Patrick</w:t>
            </w:r>
          </w:p>
        </w:tc>
        <w:tc>
          <w:tcPr>
            <w:tcW w:w="4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38</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A. Khattar,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225" w:lineRule="exact"/>
        <w:rPr>
          <w:rFonts w:ascii="Times New Roman" w:cs="Times New Roman" w:eastAsia="Times New Roman" w:hAnsi="Times New Roman"/>
          <w:sz w:val="18"/>
          <w:szCs w:val="18"/>
          <w:color w:val="auto"/>
        </w:rPr>
      </w:pPr>
    </w:p>
    <w:p>
      <w:pPr>
        <w:ind w:right="340" w:firstLine="8"/>
        <w:spacing w:after="0" w:line="313" w:lineRule="auto"/>
        <w:tabs>
          <w:tab w:leader="none" w:pos="64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300" w:firstLine="8"/>
        <w:spacing w:after="0" w:line="28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00" w:firstLine="8"/>
        <w:spacing w:after="0" w:line="266"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180" w:firstLine="656"/>
        <w:spacing w:after="0" w:line="266"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656"/>
        <w:spacing w:after="0" w:line="266"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80" w:firstLine="656"/>
        <w:spacing w:after="0" w:line="282" w:lineRule="auto"/>
        <w:tabs>
          <w:tab w:leader="none" w:pos="130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60" w:firstLine="656"/>
        <w:spacing w:after="0" w:line="266"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20" w:firstLine="8"/>
        <w:spacing w:after="0" w:line="28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20" w:firstLine="656"/>
        <w:spacing w:after="0" w:line="282" w:lineRule="auto"/>
        <w:tabs>
          <w:tab w:leader="none" w:pos="129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2019</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Khattar</w:t>
            </w:r>
          </w:p>
        </w:tc>
        <w:tc>
          <w:tcPr>
            <w:tcW w:w="40" w:type="dxa"/>
            <w:vAlign w:val="bottom"/>
          </w:tcPr>
          <w:p>
            <w:pPr>
              <w:spacing w:after="0"/>
              <w:rPr>
                <w:sz w:val="20"/>
                <w:szCs w:val="20"/>
                <w:color w:val="auto"/>
              </w:rPr>
            </w:pPr>
          </w:p>
        </w:tc>
      </w:tr>
      <w:tr>
        <w:trPr>
          <w:trHeight w:val="191"/>
        </w:trPr>
        <w:tc>
          <w:tcPr>
            <w:tcW w:w="36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Jack A. Khattar</w:t>
            </w:r>
          </w:p>
        </w:tc>
        <w:tc>
          <w:tcPr>
            <w:tcW w:w="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39" w:name="page40"/>
    <w:bookmarkEnd w:id="3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Patrick,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Supernus Pharmaceuticals, Inc.;</w:t>
      </w:r>
    </w:p>
    <w:p>
      <w:pPr>
        <w:spacing w:after="0" w:line="225" w:lineRule="exact"/>
        <w:rPr>
          <w:rFonts w:ascii="Times New Roman" w:cs="Times New Roman" w:eastAsia="Times New Roman" w:hAnsi="Times New Roman"/>
          <w:sz w:val="18"/>
          <w:szCs w:val="18"/>
          <w:color w:val="auto"/>
        </w:rPr>
      </w:pPr>
    </w:p>
    <w:p>
      <w:pPr>
        <w:ind w:right="340" w:firstLine="8"/>
        <w:spacing w:after="0" w:line="313" w:lineRule="auto"/>
        <w:tabs>
          <w:tab w:leader="none" w:pos="64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30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00" w:firstLine="8"/>
        <w:spacing w:after="0" w:line="266"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180" w:firstLine="656"/>
        <w:spacing w:after="0" w:line="266"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656"/>
        <w:spacing w:after="0" w:line="266"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80" w:firstLine="656"/>
        <w:spacing w:after="0" w:line="282" w:lineRule="auto"/>
        <w:tabs>
          <w:tab w:leader="none" w:pos="13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60" w:firstLine="656"/>
        <w:spacing w:after="0" w:line="266"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2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20" w:firstLine="656"/>
        <w:spacing w:after="0" w:line="282" w:lineRule="auto"/>
        <w:tabs>
          <w:tab w:leader="none" w:pos="129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2019</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Gregory S. Patrick</w:t>
            </w:r>
          </w:p>
        </w:tc>
        <w:tc>
          <w:tcPr>
            <w:tcW w:w="40" w:type="dxa"/>
            <w:vAlign w:val="bottom"/>
          </w:tcPr>
          <w:p>
            <w:pPr>
              <w:spacing w:after="0"/>
              <w:rPr>
                <w:sz w:val="20"/>
                <w:szCs w:val="20"/>
                <w:color w:val="auto"/>
              </w:rPr>
            </w:pP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Gregory S. Patrick</w:t>
            </w:r>
          </w:p>
        </w:tc>
        <w:tc>
          <w:tcPr>
            <w:tcW w:w="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0" w:name="page41"/>
    <w:bookmarkEnd w:id="4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 1350,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Supernus Pharmaceuticals, Inc. (the “Company”) on Form 10-Q for the period ended March 31, 2019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76" w:lineRule="exact"/>
        <w:rPr>
          <w:sz w:val="20"/>
          <w:szCs w:val="20"/>
          <w:color w:val="auto"/>
        </w:rPr>
      </w:pPr>
    </w:p>
    <w:p>
      <w:pPr>
        <w:ind w:left="720" w:hanging="71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2019</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Jack A. Khattar</w:t>
            </w:r>
          </w:p>
        </w:tc>
        <w:tc>
          <w:tcPr>
            <w:tcW w:w="40" w:type="dxa"/>
            <w:vAlign w:val="bottom"/>
          </w:tcPr>
          <w:p>
            <w:pPr>
              <w:spacing w:after="0"/>
              <w:rPr>
                <w:sz w:val="20"/>
                <w:szCs w:val="20"/>
                <w:color w:val="auto"/>
              </w:rPr>
            </w:pP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Jack A. Khattar</w:t>
            </w:r>
          </w:p>
        </w:tc>
        <w:tc>
          <w:tcPr>
            <w:tcW w:w="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41" w:name="page42"/>
    <w:bookmarkEnd w:id="4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 1350,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Supernus Pharmaceuticals, Inc. (the “Company”) on Form 10-Q for the period ended March 31, 2019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76"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2019</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Gregory S. Patrick</w:t>
            </w:r>
          </w:p>
        </w:tc>
        <w:tc>
          <w:tcPr>
            <w:tcW w:w="40" w:type="dxa"/>
            <w:vAlign w:val="bottom"/>
          </w:tcPr>
          <w:p>
            <w:pPr>
              <w:spacing w:after="0"/>
              <w:rPr>
                <w:sz w:val="20"/>
                <w:szCs w:val="20"/>
                <w:color w:val="auto"/>
              </w:rPr>
            </w:pP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Gregory S. Patrick</w:t>
            </w:r>
          </w:p>
        </w:tc>
        <w:tc>
          <w:tcPr>
            <w:tcW w:w="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2019-12-28T12:15:09Z</dcterms:created>
  <dcterms:modified xsi:type="dcterms:W3CDTF">2019-12-28T12:15:09Z</dcterms:modified>
</cp:coreProperties>
</file>