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001-35518 </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 xml:space="preserve">SUPERNUS PHARMACEUTICALS,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439" w:type="dxa"/>
        <w:jc w:val="center"/>
        <w:tblInd w:w="0" w:type="dxa"/>
        <w:tblLayout w:type="fixed"/>
        <w:tblCellMar>
          <w:top w:w="28" w:type="dxa"/>
          <w:left w:w="28" w:type="dxa"/>
          <w:bottom w:w="28" w:type="dxa"/>
          <w:right w:w="28" w:type="dxa"/>
        </w:tblCellMar>
      </w:tblPr>
      <w:tblGrid>
        <w:gridCol w:w="1193"/>
        <w:gridCol w:w="1047"/>
        <w:gridCol w:w="1059"/>
        <w:gridCol w:w="320"/>
        <w:gridCol w:w="320"/>
        <w:gridCol w:w="321"/>
        <w:gridCol w:w="140"/>
        <w:gridCol w:w="140"/>
        <w:gridCol w:w="141"/>
        <w:gridCol w:w="109"/>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Delaware</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20-2590184</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(State or other jurisdiction of</w:t>
              <w:br/>
              <w:t>incorporation or organization)</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(I.R.S. Employer</w:t>
              <w:br/>
              <w:t>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xml:space="preserve">9715 Key West Avenue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Rockville </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MD</w:t>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20850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(Address of principal executive offices)</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(301) 838-2500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60" w:after="283"/>
        <w:ind w:left="0" w:right="0" w:firstLine="36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100" w:after="283"/>
        <w:ind w:left="0" w:right="0" w:firstLine="36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20"/>
        </w:rPr>
        <w:t xml:space="preserve">Yes No </w:t>
      </w:r>
      <w:r>
        <w:rPr>
          <w:color w:val="000000"/>
        </w:rPr>
        <w:t>☐</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2"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ind w:left="0" w:right="0" w:firstLine="3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00" w:after="283"/>
        <w:ind w:left="0" w:right="0" w:firstLine="360"/>
        <w:jc w:val="left"/>
        <w:rPr/>
      </w:pPr>
      <w:r>
        <w:rPr>
          <w:rFonts w:ascii="Times New Roman;serif" w:hAnsi="Times New Roman;serif"/>
          <w:b w:val="false"/>
          <w:color w:val="000000"/>
          <w:sz w:val="20"/>
        </w:rPr>
        <w:t>Indicate by check mark whether the registrant is a shell company (as defined in Rule 12b-2 of the Exchange Act).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10205" w:type="dxa"/>
        <w:jc w:val="left"/>
        <w:tblInd w:w="0" w:type="dxa"/>
        <w:tblLayout w:type="fixed"/>
        <w:tblCellMar>
          <w:top w:w="28" w:type="dxa"/>
          <w:left w:w="28" w:type="dxa"/>
          <w:bottom w:w="28" w:type="dxa"/>
          <w:right w:w="28" w:type="dxa"/>
        </w:tblCellMar>
      </w:tblPr>
      <w:tblGrid>
        <w:gridCol w:w="982"/>
        <w:gridCol w:w="862"/>
        <w:gridCol w:w="865"/>
        <w:gridCol w:w="109"/>
        <w:gridCol w:w="109"/>
        <w:gridCol w:w="109"/>
        <w:gridCol w:w="647"/>
        <w:gridCol w:w="635"/>
        <w:gridCol w:w="637"/>
        <w:gridCol w:w="109"/>
        <w:gridCol w:w="109"/>
        <w:gridCol w:w="109"/>
        <w:gridCol w:w="425"/>
        <w:gridCol w:w="425"/>
        <w:gridCol w:w="426"/>
        <w:gridCol w:w="109"/>
        <w:gridCol w:w="109"/>
        <w:gridCol w:w="109"/>
        <w:gridCol w:w="971"/>
        <w:gridCol w:w="971"/>
        <w:gridCol w:w="1378"/>
      </w:tblGrid>
      <w:tr>
        <w:trP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2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at October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57,339,350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SUPN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 — QUARTERLY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tbl>
      <w:tblPr>
        <w:tblW w:w="8761" w:type="dxa"/>
        <w:jc w:val="center"/>
        <w:tblInd w:w="0" w:type="dxa"/>
        <w:tblLayout w:type="fixed"/>
        <w:tblCellMar>
          <w:top w:w="28" w:type="dxa"/>
          <w:left w:w="28" w:type="dxa"/>
          <w:bottom w:w="28" w:type="dxa"/>
          <w:right w:w="28" w:type="dxa"/>
        </w:tblCellMar>
      </w:tblPr>
      <w:tblGrid>
        <w:gridCol w:w="2878"/>
        <w:gridCol w:w="2534"/>
        <w:gridCol w:w="2538"/>
        <w:gridCol w:w="237"/>
        <w:gridCol w:w="237"/>
        <w:gridCol w:w="337"/>
      </w:tblGrid>
      <w:tr>
        <w:trPr/>
        <w:tc>
          <w:tcPr>
            <w:tcW w:w="2878"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0">
              <w:r>
                <w:rPr>
                  <w:rStyle w:val="InternetLink"/>
                  <w:rFonts w:ascii="Times New Roman;serif" w:hAnsi="Times New Roman;serif"/>
                  <w:b w:val="false"/>
                  <w:color w:val="0000FF"/>
                  <w:sz w:val="20"/>
                  <w:u w:val="single"/>
                </w:rPr>
                <w:t>PART I — FINANCIAL INFORMATION</w:t>
              </w:r>
            </w:hyperlink>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
              <w:r>
                <w:rPr>
                  <w:rStyle w:val="InternetLink"/>
                  <w:rFonts w:ascii="Times New Roman;serif" w:hAnsi="Times New Roman;serif"/>
                  <w:b w:val="false"/>
                  <w:color w:val="0000FF"/>
                  <w:sz w:val="20"/>
                  <w:u w:val="single"/>
                </w:rPr>
                <w:t>Item 1. Unaudited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6">
              <w:r>
                <w:rPr>
                  <w:rStyle w:val="InternetLink"/>
                  <w:rFonts w:ascii="Times New Roman;serif" w:hAnsi="Times New Roman;serif"/>
                  <w:b w:val="false"/>
                  <w:color w:val="0000FF"/>
                  <w:sz w:val="20"/>
                  <w:u w:val="single"/>
                </w:rPr>
                <w:t>Condensed Consolidated Balance Sheets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6">
              <w:r>
                <w:rPr>
                  <w:rStyle w:val="InternetLink"/>
                  <w:rFonts w:ascii="Times New Roman;serif" w:hAnsi="Times New Roman;serif"/>
                  <w:b w:val="false"/>
                  <w:strike w:val="false"/>
                  <w:dstrike w:val="false"/>
                  <w:color w:val="1E39C6"/>
                  <w:sz w:val="20"/>
                  <w:u w:val="none"/>
                  <w:effect w:val="none"/>
                </w:rPr>
                <w:t>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9">
              <w:r>
                <w:rPr>
                  <w:rStyle w:val="InternetLink"/>
                  <w:rFonts w:ascii="Times New Roman;serif" w:hAnsi="Times New Roman;serif"/>
                  <w:b w:val="false"/>
                  <w:color w:val="0000FF"/>
                  <w:sz w:val="20"/>
                  <w:u w:val="single"/>
                </w:rPr>
                <w:t>Condensed Consolidated Statements of Earnings (Loss)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9">
              <w:r>
                <w:rPr>
                  <w:rStyle w:val="InternetLink"/>
                  <w:rFonts w:ascii="Times New Roman;serif" w:hAnsi="Times New Roman;serif"/>
                  <w:b w:val="false"/>
                  <w:strike w:val="false"/>
                  <w:dstrike w:val="false"/>
                  <w:color w:val="0000FF"/>
                  <w:sz w:val="20"/>
                  <w:u w:val="none"/>
                  <w:effect w:val="none"/>
                </w:rPr>
                <w:t>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22">
              <w:r>
                <w:rPr>
                  <w:rStyle w:val="InternetLink"/>
                  <w:rFonts w:ascii="Times New Roman;serif" w:hAnsi="Times New Roman;serif"/>
                  <w:b w:val="false"/>
                  <w:color w:val="0000FF"/>
                  <w:sz w:val="20"/>
                  <w:u w:val="single"/>
                </w:rPr>
                <w:t>Condensed Consolidated Statements of Comprehensive Earnings (Loss)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22">
              <w:r>
                <w:rPr>
                  <w:rStyle w:val="InternetLink"/>
                  <w:rFonts w:ascii="Times New Roman;serif" w:hAnsi="Times New Roman;serif"/>
                  <w:b w:val="false"/>
                  <w:strike w:val="false"/>
                  <w:dstrike w:val="false"/>
                  <w:color w:val="0000FF"/>
                  <w:sz w:val="20"/>
                  <w:u w:val="none"/>
                  <w:effect w:val="none"/>
                </w:rPr>
                <w:t>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25">
              <w:r>
                <w:rPr>
                  <w:rStyle w:val="InternetLink"/>
                  <w:rFonts w:ascii="Times New Roman;serif" w:hAnsi="Times New Roman;serif"/>
                  <w:b w:val="false"/>
                  <w:color w:val="000080"/>
                  <w:sz w:val="20"/>
                  <w:u w:val="single"/>
                </w:rPr>
                <w:t>Condensed Consolidated Statements of Changes in Stockholders</w:t>
              </w:r>
            </w:hyperlink>
            <w:hyperlink w:anchor="i4aaf8d9fa3224d8a8fc5e962159434e3_25">
              <w:r>
                <w:rPr>
                  <w:rStyle w:val="InternetLink"/>
                  <w:rFonts w:ascii="Times New Roman;serif" w:hAnsi="Times New Roman;serif"/>
                  <w:b w:val="false"/>
                  <w:color w:val="000080"/>
                  <w:sz w:val="20"/>
                  <w:u w:val="single"/>
                </w:rPr>
                <w:t>'</w:t>
              </w:r>
            </w:hyperlink>
            <w:hyperlink w:anchor="i4aaf8d9fa3224d8a8fc5e962159434e3_25">
              <w:r>
                <w:rPr>
                  <w:rStyle w:val="InternetLink"/>
                  <w:rFonts w:ascii="Times New Roman;serif" w:hAnsi="Times New Roman;serif"/>
                  <w:b w:val="false"/>
                  <w:color w:val="000080"/>
                  <w:sz w:val="20"/>
                  <w:u w:val="single"/>
                </w:rPr>
                <w:t xml:space="preserve"> Equity</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25">
              <w:r>
                <w:rPr>
                  <w:rStyle w:val="InternetLink"/>
                  <w:rFonts w:ascii="Times New Roman;serif" w:hAnsi="Times New Roman;serif"/>
                  <w:b w:val="false"/>
                  <w:strike w:val="false"/>
                  <w:dstrike w:val="false"/>
                  <w:color w:val="0000FF"/>
                  <w:sz w:val="20"/>
                  <w:u w:val="none"/>
                  <w:effect w:val="none"/>
                </w:rPr>
                <w:t>6</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28">
              <w:r>
                <w:rPr>
                  <w:rStyle w:val="InternetLink"/>
                  <w:rFonts w:ascii="Times New Roman;serif" w:hAnsi="Times New Roman;serif"/>
                  <w:b w:val="false"/>
                  <w:color w:val="0000FF"/>
                  <w:sz w:val="20"/>
                  <w:u w:val="single"/>
                </w:rPr>
                <w:t>Condensed Consolidated Statements of Cash Flows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28">
              <w:r>
                <w:rPr>
                  <w:rStyle w:val="InternetLink"/>
                  <w:rFonts w:ascii="Times New Roman;serif" w:hAnsi="Times New Roman;serif"/>
                  <w:b w:val="false"/>
                  <w:strike w:val="false"/>
                  <w:dstrike w:val="false"/>
                  <w:color w:val="0000FF"/>
                  <w:sz w:val="20"/>
                  <w:u w:val="none"/>
                  <w:effect w:val="none"/>
                </w:rPr>
                <w:t>8</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31">
              <w:r>
                <w:rPr>
                  <w:rStyle w:val="InternetLink"/>
                  <w:rFonts w:ascii="Times New Roman;serif" w:hAnsi="Times New Roman;serif"/>
                  <w:b w:val="false"/>
                  <w:color w:val="0000FF"/>
                  <w:sz w:val="20"/>
                  <w:u w:val="single"/>
                </w:rPr>
                <w:t>Notes to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31">
              <w:r>
                <w:rPr>
                  <w:rStyle w:val="InternetLink"/>
                  <w:rFonts w:ascii="Times New Roman;serif" w:hAnsi="Times New Roman;serif"/>
                  <w:b w:val="false"/>
                  <w:strike w:val="false"/>
                  <w:dstrike w:val="false"/>
                  <w:color w:val="0000FF"/>
                  <w:sz w:val="20"/>
                  <w:u w:val="none"/>
                  <w:effect w:val="none"/>
                </w:rPr>
                <w:t>9</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94">
              <w:r>
                <w:rPr>
                  <w:rStyle w:val="InternetLink"/>
                  <w:rFonts w:ascii="Times New Roman;serif" w:hAnsi="Times New Roman;serif"/>
                  <w:b w:val="false"/>
                  <w:color w:val="000080"/>
                  <w:sz w:val="20"/>
                  <w:u w:val="single"/>
                </w:rPr>
                <w:t>Item 2. Management</w:t>
              </w:r>
            </w:hyperlink>
            <w:hyperlink w:anchor="i4aaf8d9fa3224d8a8fc5e962159434e3_94">
              <w:r>
                <w:rPr>
                  <w:rStyle w:val="InternetLink"/>
                  <w:rFonts w:ascii="Times New Roman;serif" w:hAnsi="Times New Roman;serif"/>
                  <w:b w:val="false"/>
                  <w:color w:val="000080"/>
                  <w:sz w:val="20"/>
                  <w:u w:val="single"/>
                </w:rPr>
                <w:t>'</w:t>
              </w:r>
            </w:hyperlink>
            <w:hyperlink w:anchor="i4aaf8d9fa3224d8a8fc5e962159434e3_94">
              <w:r>
                <w:rPr>
                  <w:rStyle w:val="InternetLink"/>
                  <w:rFonts w:ascii="Times New Roman;serif" w:hAnsi="Times New Roman;serif"/>
                  <w:b w:val="false"/>
                  <w:color w:val="000080"/>
                  <w:sz w:val="20"/>
                  <w:u w:val="single"/>
                </w:rPr>
                <w:t>s Discussion and Analysis of Financial Condition and Results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94">
              <w:r>
                <w:rPr>
                  <w:rStyle w:val="InternetLink"/>
                  <w:rFonts w:ascii="Times New Roman;serif" w:hAnsi="Times New Roman;serif"/>
                  <w:b w:val="false"/>
                  <w:strike w:val="false"/>
                  <w:dstrike w:val="false"/>
                  <w:color w:val="0000FF"/>
                  <w:sz w:val="20"/>
                  <w:u w:val="none"/>
                  <w:effect w:val="none"/>
                </w:rPr>
                <w:t>39</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12">
              <w:r>
                <w:rPr>
                  <w:rStyle w:val="InternetLink"/>
                  <w:rFonts w:ascii="Times New Roman;serif" w:hAnsi="Times New Roman;serif"/>
                  <w:b w:val="false"/>
                  <w:color w:val="0000FF"/>
                  <w:sz w:val="20"/>
                  <w:u w:val="single"/>
                </w:rPr>
                <w:t>Item 3. Quantitative and Qualitative Disclosures about Market Risk</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12">
              <w:r>
                <w:rPr>
                  <w:rStyle w:val="InternetLink"/>
                  <w:rFonts w:ascii="Times New Roman;serif" w:hAnsi="Times New Roman;serif"/>
                  <w:b w:val="false"/>
                  <w:strike w:val="false"/>
                  <w:dstrike w:val="false"/>
                  <w:color w:val="0000FF"/>
                  <w:sz w:val="20"/>
                  <w:u w:val="none"/>
                  <w:effect w:val="none"/>
                </w:rPr>
                <w:t>52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15">
              <w:r>
                <w:rPr>
                  <w:rStyle w:val="InternetLink"/>
                  <w:rFonts w:ascii="Times New Roman;serif" w:hAnsi="Times New Roman;serif"/>
                  <w:b w:val="false"/>
                  <w:color w:val="0000FF"/>
                  <w:sz w:val="20"/>
                  <w:u w:val="single"/>
                </w:rPr>
                <w:t>Item 4. Controls and Procedures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15">
              <w:r>
                <w:rPr>
                  <w:rStyle w:val="InternetLink"/>
                  <w:rFonts w:ascii="Times New Roman;serif" w:hAnsi="Times New Roman;serif"/>
                  <w:b w:val="false"/>
                  <w:strike w:val="false"/>
                  <w:dstrike w:val="false"/>
                  <w:color w:val="0000FF"/>
                  <w:sz w:val="20"/>
                  <w:u w:val="none"/>
                  <w:effect w:val="none"/>
                </w:rPr>
                <w:t>52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18">
              <w:r>
                <w:rPr>
                  <w:rStyle w:val="InternetLink"/>
                  <w:rFonts w:ascii="Times New Roman;serif" w:hAnsi="Times New Roman;serif"/>
                  <w:b w:val="false"/>
                  <w:color w:val="0000FF"/>
                  <w:sz w:val="20"/>
                  <w:u w:val="single"/>
                </w:rPr>
                <w:t>PART II — OTHER INFORMATION</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21">
              <w:r>
                <w:rPr>
                  <w:rStyle w:val="InternetLink"/>
                  <w:rFonts w:ascii="Times New Roman;serif" w:hAnsi="Times New Roman;serif"/>
                  <w:b w:val="false"/>
                  <w:color w:val="0000FF"/>
                  <w:sz w:val="20"/>
                  <w:u w:val="single"/>
                </w:rPr>
                <w:t>Item 1. Legal Proceedings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21">
              <w:r>
                <w:rPr>
                  <w:rStyle w:val="InternetLink"/>
                  <w:rFonts w:ascii="Times New Roman;serif" w:hAnsi="Times New Roman;serif"/>
                  <w:b w:val="false"/>
                  <w:strike w:val="false"/>
                  <w:dstrike w:val="false"/>
                  <w:color w:val="0000FF"/>
                  <w:sz w:val="20"/>
                  <w:u w:val="none"/>
                  <w:effect w:val="none"/>
                </w:rPr>
                <w:t>53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24">
              <w:r>
                <w:rPr>
                  <w:rStyle w:val="InternetLink"/>
                  <w:rFonts w:ascii="Times New Roman;serif" w:hAnsi="Times New Roman;serif"/>
                  <w:b w:val="false"/>
                  <w:color w:val="0000FF"/>
                  <w:sz w:val="20"/>
                  <w:u w:val="single"/>
                </w:rPr>
                <w:t>Item 1A. Risk Factors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24">
              <w:r>
                <w:rPr>
                  <w:rStyle w:val="InternetLink"/>
                  <w:rFonts w:ascii="Times New Roman;serif" w:hAnsi="Times New Roman;serif"/>
                  <w:b w:val="false"/>
                  <w:strike w:val="false"/>
                  <w:dstrike w:val="false"/>
                  <w:color w:val="0000FF"/>
                  <w:sz w:val="20"/>
                  <w:u w:val="none"/>
                  <w:effect w:val="none"/>
                </w:rPr>
                <w:t>61</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27">
              <w:r>
                <w:rPr>
                  <w:rStyle w:val="InternetLink"/>
                  <w:rFonts w:ascii="Times New Roman;serif" w:hAnsi="Times New Roman;serif"/>
                  <w:b w:val="false"/>
                  <w:color w:val="0000FF"/>
                  <w:sz w:val="20"/>
                  <w:u w:val="single"/>
                </w:rPr>
                <w:t>Item 2. Unregistered Sales of Equity Securities and Use of Proceeds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27">
              <w:r>
                <w:rPr>
                  <w:rStyle w:val="InternetLink"/>
                  <w:rFonts w:ascii="Times New Roman;serif" w:hAnsi="Times New Roman;serif"/>
                  <w:b w:val="false"/>
                  <w:strike w:val="false"/>
                  <w:dstrike w:val="false"/>
                  <w:color w:val="0000FF"/>
                  <w:sz w:val="20"/>
                  <w:u w:val="none"/>
                  <w:effect w:val="none"/>
                </w:rPr>
                <w:t>63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0">
              <w:r>
                <w:rPr>
                  <w:rStyle w:val="InternetLink"/>
                  <w:rFonts w:ascii="Times New Roman;serif" w:hAnsi="Times New Roman;serif"/>
                  <w:b w:val="false"/>
                  <w:color w:val="0000FF"/>
                  <w:sz w:val="20"/>
                  <w:u w:val="single"/>
                </w:rPr>
                <w:t>Item 3. Defaults Upon Senior Securities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30">
              <w:r>
                <w:rPr>
                  <w:rStyle w:val="InternetLink"/>
                  <w:rFonts w:ascii="Times New Roman;serif" w:hAnsi="Times New Roman;serif"/>
                  <w:b w:val="false"/>
                  <w:strike w:val="false"/>
                  <w:dstrike w:val="false"/>
                  <w:color w:val="0000FF"/>
                  <w:sz w:val="20"/>
                  <w:u w:val="none"/>
                  <w:effect w:val="none"/>
                </w:rPr>
                <w:t>63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3">
              <w:r>
                <w:rPr>
                  <w:rStyle w:val="InternetLink"/>
                  <w:rFonts w:ascii="Times New Roman;serif" w:hAnsi="Times New Roman;serif"/>
                  <w:b w:val="false"/>
                  <w:color w:val="0000FF"/>
                  <w:sz w:val="20"/>
                  <w:u w:val="single"/>
                </w:rPr>
                <w:t>Item 4. Mine Safety Disclosures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33">
              <w:r>
                <w:rPr>
                  <w:rStyle w:val="InternetLink"/>
                  <w:rFonts w:ascii="Times New Roman;serif" w:hAnsi="Times New Roman;serif"/>
                  <w:b w:val="false"/>
                  <w:strike w:val="false"/>
                  <w:dstrike w:val="false"/>
                  <w:color w:val="0000FF"/>
                  <w:sz w:val="20"/>
                  <w:u w:val="none"/>
                  <w:effect w:val="none"/>
                </w:rPr>
                <w:t>63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6">
              <w:r>
                <w:rPr>
                  <w:rStyle w:val="InternetLink"/>
                  <w:rFonts w:ascii="Times New Roman;serif" w:hAnsi="Times New Roman;serif"/>
                  <w:b w:val="false"/>
                  <w:color w:val="0000FF"/>
                  <w:sz w:val="20"/>
                  <w:u w:val="single"/>
                </w:rPr>
                <w:t>Item 5. 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36">
              <w:r>
                <w:rPr>
                  <w:rStyle w:val="InternetLink"/>
                  <w:rFonts w:ascii="Times New Roman;serif" w:hAnsi="Times New Roman;serif"/>
                  <w:b w:val="false"/>
                  <w:strike w:val="false"/>
                  <w:dstrike w:val="false"/>
                  <w:color w:val="0000FF"/>
                  <w:sz w:val="20"/>
                  <w:u w:val="none"/>
                  <w:effect w:val="none"/>
                </w:rPr>
                <w:t>63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42">
              <w:r>
                <w:rPr>
                  <w:rStyle w:val="InternetLink"/>
                  <w:rFonts w:ascii="Times New Roman;serif" w:hAnsi="Times New Roman;serif"/>
                  <w:b w:val="false"/>
                  <w:color w:val="0000FF"/>
                  <w:sz w:val="20"/>
                  <w:u w:val="single"/>
                </w:rPr>
                <w:t>Item 6. Exhibits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42">
              <w:r>
                <w:rPr>
                  <w:rStyle w:val="InternetLink"/>
                  <w:rFonts w:ascii="Times New Roman;serif" w:hAnsi="Times New Roman;serif"/>
                  <w:b w:val="false"/>
                  <w:strike w:val="false"/>
                  <w:dstrike w:val="false"/>
                  <w:color w:val="0000FF"/>
                  <w:sz w:val="20"/>
                  <w:u w:val="none"/>
                  <w:effect w:val="none"/>
                </w:rPr>
                <w:t>64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45">
              <w:r>
                <w:rPr>
                  <w:rStyle w:val="InternetLink"/>
                  <w:rFonts w:ascii="Times New Roman;serif" w:hAnsi="Times New Roman;serif"/>
                  <w:b w:val="false"/>
                  <w:color w:val="0000FF"/>
                  <w:sz w:val="20"/>
                  <w:u w:val="single"/>
                </w:rPr>
                <w:t>SIGNATURES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45">
              <w:r>
                <w:rPr>
                  <w:rStyle w:val="InternetLink"/>
                  <w:rFonts w:ascii="Times New Roman;serif" w:hAnsi="Times New Roman;serif"/>
                  <w:b w:val="false"/>
                  <w:strike w:val="false"/>
                  <w:dstrike w:val="false"/>
                  <w:color w:val="0000FF"/>
                  <w:sz w:val="20"/>
                  <w:u w:val="none"/>
                  <w:effect w:val="none"/>
                </w:rPr>
                <w:t>66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45"/>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2749"/>
        <w:gridCol w:w="2275"/>
        <w:gridCol w:w="2216"/>
        <w:gridCol w:w="211"/>
        <w:gridCol w:w="976"/>
        <w:gridCol w:w="109"/>
        <w:gridCol w:w="109"/>
        <w:gridCol w:w="109"/>
        <w:gridCol w:w="109"/>
        <w:gridCol w:w="211"/>
        <w:gridCol w:w="976"/>
        <w:gridCol w:w="155"/>
      </w:tblGrid>
      <w:tr>
        <w:trPr/>
        <w:tc>
          <w:tcPr>
            <w:tcW w:w="274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1,368,073 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returns and rebates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long-term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 17)</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130,000,000 shares authorized; 57,119,153 and 55,743,095 shares issued and outstanding as of September 30, 2025 and December 31, 2024,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1,368,073 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45"/>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aaf8d9fa3224d8a8fc5e962159434e3_2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Statements of Earnings (Loss)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ind w:left="0" w:right="0" w:firstLine="45"/>
        <w:jc w:val="center"/>
        <w:rPr/>
      </w:pPr>
      <w:r>
        <w:rPr/>
      </w:r>
    </w:p>
    <w:tbl>
      <w:tblPr>
        <w:tblW w:w="8980" w:type="dxa"/>
        <w:jc w:val="left"/>
        <w:tblInd w:w="0" w:type="dxa"/>
        <w:tblLayout w:type="fixed"/>
        <w:tblCellMar>
          <w:top w:w="28" w:type="dxa"/>
          <w:left w:w="28" w:type="dxa"/>
          <w:bottom w:w="28" w:type="dxa"/>
          <w:right w:w="28" w:type="dxa"/>
        </w:tblCellMar>
      </w:tblPr>
      <w:tblGrid>
        <w:gridCol w:w="1158"/>
        <w:gridCol w:w="1015"/>
        <w:gridCol w:w="1021"/>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1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(ZURZUVAE)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revenues</w:t>
            </w:r>
            <w:r>
              <w:rPr>
                <w:rFonts w:ascii="Times New Roman;serif" w:hAnsi="Times New Roman;serif"/>
                <w:b w:val="false"/>
                <w:color w:val="000000"/>
                <w:sz w:val="13"/>
              </w:rPr>
              <w:t>(a)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loss (gain)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before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56,552,741 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54,977,199 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56,016,350 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55,791,185 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w:t>
      </w:r>
    </w:p>
    <w:p>
      <w:pPr>
        <w:pStyle w:val="TextBody"/>
        <w:bidi w:val="0"/>
        <w:spacing w:lineRule="auto" w:line="288"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8"/>
        </w:rPr>
        <w:t>Excludes amortization of intangible assets</w:t>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aaf8d9fa3224d8a8fc5e962159434e3_2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Earnings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095" w:type="dxa"/>
        <w:jc w:val="center"/>
        <w:tblInd w:w="0" w:type="dxa"/>
        <w:tblLayout w:type="fixed"/>
        <w:tblCellMar>
          <w:top w:w="28" w:type="dxa"/>
          <w:left w:w="28" w:type="dxa"/>
          <w:bottom w:w="28" w:type="dxa"/>
          <w:right w:w="28" w:type="dxa"/>
        </w:tblCellMar>
      </w:tblPr>
      <w:tblGrid>
        <w:gridCol w:w="1724"/>
        <w:gridCol w:w="1512"/>
        <w:gridCol w:w="1519"/>
        <w:gridCol w:w="211"/>
        <w:gridCol w:w="796"/>
        <w:gridCol w:w="109"/>
        <w:gridCol w:w="109"/>
        <w:gridCol w:w="109"/>
        <w:gridCol w:w="109"/>
        <w:gridCol w:w="211"/>
        <w:gridCol w:w="721"/>
        <w:gridCol w:w="109"/>
        <w:gridCol w:w="109"/>
        <w:gridCol w:w="109"/>
        <w:gridCol w:w="109"/>
        <w:gridCol w:w="211"/>
        <w:gridCol w:w="796"/>
        <w:gridCol w:w="109"/>
        <w:gridCol w:w="109"/>
        <w:gridCol w:w="109"/>
        <w:gridCol w:w="109"/>
        <w:gridCol w:w="211"/>
        <w:gridCol w:w="721"/>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securities, net of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earnings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50"/>
        <w:gridCol w:w="307"/>
        <w:gridCol w:w="309"/>
        <w:gridCol w:w="540"/>
        <w:gridCol w:w="541"/>
        <w:gridCol w:w="196"/>
        <w:gridCol w:w="109"/>
        <w:gridCol w:w="109"/>
        <w:gridCol w:w="109"/>
        <w:gridCol w:w="214"/>
        <w:gridCol w:w="366"/>
        <w:gridCol w:w="111"/>
        <w:gridCol w:w="109"/>
        <w:gridCol w:w="109"/>
        <w:gridCol w:w="109"/>
        <w:gridCol w:w="223"/>
        <w:gridCol w:w="876"/>
        <w:gridCol w:w="117"/>
        <w:gridCol w:w="109"/>
        <w:gridCol w:w="109"/>
        <w:gridCol w:w="109"/>
        <w:gridCol w:w="403"/>
        <w:gridCol w:w="919"/>
        <w:gridCol w:w="209"/>
        <w:gridCol w:w="109"/>
        <w:gridCol w:w="109"/>
        <w:gridCol w:w="109"/>
        <w:gridCol w:w="211"/>
        <w:gridCol w:w="826"/>
        <w:gridCol w:w="109"/>
        <w:gridCol w:w="109"/>
        <w:gridCol w:w="109"/>
        <w:gridCol w:w="109"/>
        <w:gridCol w:w="211"/>
        <w:gridCol w:w="976"/>
        <w:gridCol w:w="156"/>
      </w:tblGrid>
      <w:tr>
        <w:trPr/>
        <w:tc>
          <w:tcPr>
            <w:tcW w:w="7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
              </w:rPr>
            </w:pPr>
            <w:r>
              <w:rPr>
                <w:rFonts w:ascii="Times New Roman;serif" w:hAnsi="Times New Roman;serif"/>
                <w:b/>
                <w:color w:val="000000"/>
                <w:sz w:val="2"/>
              </w:rPr>
              <w:t>j</w:t>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55,743,095 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479,440 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55,989,248 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486,209 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1,030,705 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56,119,360 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1,063,900 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999,793 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September 30, 2025</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57,119,153 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527,700 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1,049,667 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data)</w:t>
      </w:r>
    </w:p>
    <w:tbl>
      <w:tblPr>
        <w:tblW w:w="10205" w:type="dxa"/>
        <w:jc w:val="center"/>
        <w:tblInd w:w="0" w:type="dxa"/>
        <w:tblLayout w:type="fixed"/>
        <w:tblCellMar>
          <w:top w:w="28" w:type="dxa"/>
          <w:left w:w="28" w:type="dxa"/>
          <w:bottom w:w="28" w:type="dxa"/>
          <w:right w:w="28" w:type="dxa"/>
        </w:tblCellMar>
      </w:tblPr>
      <w:tblGrid>
        <w:gridCol w:w="750"/>
        <w:gridCol w:w="307"/>
        <w:gridCol w:w="309"/>
        <w:gridCol w:w="540"/>
        <w:gridCol w:w="541"/>
        <w:gridCol w:w="196"/>
        <w:gridCol w:w="109"/>
        <w:gridCol w:w="109"/>
        <w:gridCol w:w="109"/>
        <w:gridCol w:w="214"/>
        <w:gridCol w:w="366"/>
        <w:gridCol w:w="111"/>
        <w:gridCol w:w="109"/>
        <w:gridCol w:w="109"/>
        <w:gridCol w:w="109"/>
        <w:gridCol w:w="223"/>
        <w:gridCol w:w="876"/>
        <w:gridCol w:w="117"/>
        <w:gridCol w:w="109"/>
        <w:gridCol w:w="109"/>
        <w:gridCol w:w="109"/>
        <w:gridCol w:w="403"/>
        <w:gridCol w:w="919"/>
        <w:gridCol w:w="209"/>
        <w:gridCol w:w="109"/>
        <w:gridCol w:w="109"/>
        <w:gridCol w:w="109"/>
        <w:gridCol w:w="211"/>
        <w:gridCol w:w="826"/>
        <w:gridCol w:w="109"/>
        <w:gridCol w:w="109"/>
        <w:gridCol w:w="109"/>
        <w:gridCol w:w="109"/>
        <w:gridCol w:w="211"/>
        <w:gridCol w:w="976"/>
        <w:gridCol w:w="156"/>
      </w:tblGrid>
      <w:tr>
        <w:trPr/>
        <w:tc>
          <w:tcPr>
            <w:tcW w:w="7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54,723,356 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439,493 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2024</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54,965,316 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446,960 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929,166 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55,046,049 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455,170 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September 30, 2024</w:t>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55,219,273 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465,919 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1,007,150 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827"/>
        <w:gridCol w:w="2401"/>
        <w:gridCol w:w="2417"/>
        <w:gridCol w:w="211"/>
        <w:gridCol w:w="826"/>
        <w:gridCol w:w="109"/>
        <w:gridCol w:w="109"/>
        <w:gridCol w:w="109"/>
        <w:gridCol w:w="109"/>
        <w:gridCol w:w="211"/>
        <w:gridCol w:w="721"/>
        <w:gridCol w:w="155"/>
      </w:tblGrid>
      <w:tr>
        <w:trPr/>
        <w:tc>
          <w:tcPr>
            <w:tcW w:w="2827"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7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premium/discount on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 from sales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write-down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adjustments,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returns and rebates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Sage, net of cash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(177,229)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Reconciliation of cash, cash equivalents, and restricted cash reported in the condensed consolidated balance sheets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cash, cash equivalents, and restricted cash shown in the statement of cash flows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    Business Organization</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Supernus Pharmaceuticals, Inc. (the Company, see </w:t>
      </w:r>
      <w:r>
        <w:rPr>
          <w:rFonts w:ascii="Times New Roman;serif" w:hAnsi="Times New Roman;serif"/>
          <w:b w:val="false"/>
          <w:i/>
          <w:color w:val="000000"/>
          <w:sz w:val="20"/>
        </w:rPr>
        <w:t>Consolidation</w:t>
      </w:r>
      <w:r>
        <w:rPr>
          <w:color w:val="000000"/>
        </w:rPr>
        <w:t xml:space="preserve"> </w:t>
      </w:r>
      <w:r>
        <w:rPr>
          <w:rFonts w:ascii="Times New Roman;serif" w:hAnsi="Times New Roman;serif"/>
          <w:b w:val="false"/>
          <w:color w:val="000000"/>
          <w:sz w:val="20"/>
        </w:rPr>
        <w:t xml:space="preserve">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is a biopharmaceutical company focused on developing and commercializing products for the treatment of central nervous system (CNS) diseases. The Company's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The Company is developing a broad range of novel CNS product candidates including new potential treatments for epilepsy, depression, and other CNS disorders.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has nine commercial products that it markets: Qelbree</w:t>
      </w:r>
      <w:r>
        <w:rPr>
          <w:rFonts w:ascii="Times New Roman;serif" w:hAnsi="Times New Roman;serif"/>
          <w:b w:val="false"/>
          <w:color w:val="000000"/>
          <w:sz w:val="13"/>
        </w:rPr>
        <w:t>®</w:t>
      </w:r>
      <w:r>
        <w:rPr>
          <w:rFonts w:ascii="Times New Roman;serif" w:hAnsi="Times New Roman;serif"/>
          <w:b w:val="false"/>
          <w:color w:val="000000"/>
          <w:sz w:val="20"/>
        </w:rPr>
        <w:t>, GOCOVRI</w:t>
      </w:r>
      <w:r>
        <w:rPr>
          <w:rFonts w:ascii="Times New Roman;serif" w:hAnsi="Times New Roman;serif"/>
          <w:b w:val="false"/>
          <w:color w:val="000000"/>
          <w:sz w:val="13"/>
        </w:rPr>
        <w:t>®</w:t>
      </w:r>
      <w:r>
        <w:rPr>
          <w:rFonts w:ascii="Times New Roman;serif" w:hAnsi="Times New Roman;serif"/>
          <w:b w:val="false"/>
          <w:color w:val="000000"/>
          <w:sz w:val="20"/>
        </w:rPr>
        <w:t>, Oxtellar XR</w:t>
      </w:r>
      <w:r>
        <w:rPr>
          <w:rFonts w:ascii="Times New Roman;serif" w:hAnsi="Times New Roman;serif"/>
          <w:b w:val="false"/>
          <w:color w:val="000000"/>
          <w:sz w:val="13"/>
        </w:rPr>
        <w:t>®</w:t>
      </w:r>
      <w:r>
        <w:rPr>
          <w:rFonts w:ascii="Times New Roman;serif" w:hAnsi="Times New Roman;serif"/>
          <w:b w:val="false"/>
          <w:color w:val="000000"/>
          <w:sz w:val="20"/>
        </w:rPr>
        <w:t>, Trokendi XR</w:t>
      </w:r>
      <w:r>
        <w:rPr>
          <w:rFonts w:ascii="Times New Roman;serif" w:hAnsi="Times New Roman;serif"/>
          <w:b w:val="false"/>
          <w:color w:val="000000"/>
          <w:sz w:val="13"/>
        </w:rPr>
        <w:t>®</w:t>
      </w:r>
      <w:r>
        <w:rPr>
          <w:rFonts w:ascii="Times New Roman;serif" w:hAnsi="Times New Roman;serif"/>
          <w:b w:val="false"/>
          <w:color w:val="000000"/>
          <w:sz w:val="20"/>
        </w:rPr>
        <w:t>, APOKYN</w:t>
      </w:r>
      <w:r>
        <w:rPr>
          <w:rFonts w:ascii="Times New Roman;serif" w:hAnsi="Times New Roman;serif"/>
          <w:b w:val="false"/>
          <w:color w:val="000000"/>
          <w:sz w:val="13"/>
        </w:rPr>
        <w:t>®</w:t>
      </w:r>
      <w:r>
        <w:rPr>
          <w:rFonts w:ascii="Times New Roman;serif" w:hAnsi="Times New Roman;serif"/>
          <w:b w:val="false"/>
          <w:color w:val="000000"/>
          <w:sz w:val="20"/>
        </w:rPr>
        <w:t>, XADAGO</w:t>
      </w:r>
      <w:r>
        <w:rPr>
          <w:rFonts w:ascii="Times New Roman;serif" w:hAnsi="Times New Roman;serif"/>
          <w:b w:val="false"/>
          <w:color w:val="000000"/>
          <w:sz w:val="13"/>
        </w:rPr>
        <w:t>®</w:t>
      </w:r>
      <w:r>
        <w:rPr>
          <w:rFonts w:ascii="Times New Roman;serif" w:hAnsi="Times New Roman;serif"/>
          <w:b w:val="false"/>
          <w:color w:val="000000"/>
          <w:sz w:val="20"/>
        </w:rPr>
        <w:t>, MYOBLOC</w:t>
      </w:r>
      <w:r>
        <w:rPr>
          <w:rFonts w:ascii="Times New Roman;serif" w:hAnsi="Times New Roman;serif"/>
          <w:b w:val="false"/>
          <w:color w:val="000000"/>
          <w:sz w:val="13"/>
        </w:rPr>
        <w:t xml:space="preserve">® </w:t>
      </w:r>
      <w:r>
        <w:rPr>
          <w:rFonts w:ascii="Times New Roman;serif" w:hAnsi="Times New Roman;serif"/>
          <w:b w:val="false"/>
          <w:color w:val="000000"/>
          <w:sz w:val="20"/>
        </w:rPr>
        <w:t>, ONAPGO</w:t>
      </w:r>
      <w:r>
        <w:rPr>
          <w:rFonts w:ascii="Times New Roman;serif" w:hAnsi="Times New Roman;serif"/>
          <w:b w:val="false"/>
          <w:color w:val="000000"/>
          <w:sz w:val="13"/>
        </w:rPr>
        <w:t xml:space="preserve">TM </w:t>
      </w:r>
      <w:r>
        <w:rPr>
          <w:rFonts w:ascii="Times New Roman;serif" w:hAnsi="Times New Roman;serif"/>
          <w:b w:val="false"/>
          <w:color w:val="000000"/>
          <w:sz w:val="20"/>
        </w:rPr>
        <w:t>(formerly known as SPN-830), and ZURZUVAE</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(see Note 3, </w:t>
      </w:r>
      <w:r>
        <w:rPr>
          <w:rFonts w:ascii="Times New Roman;serif" w:hAnsi="Times New Roman;serif"/>
          <w:b w:val="false"/>
          <w:i/>
          <w:color w:val="000000"/>
          <w:sz w:val="20"/>
        </w:rPr>
        <w:t>Sage Acquisition</w:t>
      </w:r>
      <w:r>
        <w:rPr>
          <w:rFonts w:ascii="Times New Roman;serif" w:hAnsi="Times New Roman;serif"/>
          <w:b w:val="false"/>
          <w:color w:val="000000"/>
          <w:sz w:val="20"/>
        </w:rPr>
        <w:t>). In February 2025, the FDA approved ONAPGO (apomorphine hydrochloride) injection as the first and only subcutaneous apomorphine infusion device for the treatment of motor fluctuations in adults with advanced PD. ONAPGO was launched in April 2025. In September 2025, the Federal Drug Administration (FDA) withdrew the New Drug Application (NDA) for OSMOLEX ER.</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Acquisition of Sage Therapeutics, Inc. and Reorganization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13, 2025, the Company entered into an Agreement and Plan of Merger (Merger Agreement) to acquire Sage Therapeutics, Inc. (Sage). The acquisition closed on July 31, 2025.</w:t>
      </w:r>
    </w:p>
    <w:p>
      <w:pPr>
        <w:pStyle w:val="TextBody"/>
        <w:bidi w:val="0"/>
        <w:spacing w:lineRule="auto" w:line="288" w:before="200" w:after="200"/>
        <w:ind w:left="0" w:right="0" w:firstLine="720"/>
        <w:jc w:val="left"/>
        <w:rPr/>
      </w:pPr>
      <w:r>
        <w:rPr>
          <w:rFonts w:ascii="Times New Roman;serif" w:hAnsi="Times New Roman;serif"/>
          <w:b w:val="false"/>
          <w:color w:val="000000"/>
          <w:sz w:val="20"/>
        </w:rPr>
        <w:t>Sage was a pharmaceutical company with a portfolio of product candidates to address a range of neurological diseases and a commercial product to treat PPD. Sage's commercialized product, ZURZUVAE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(zuranolone) capsules, is the first and only FDA-approved oral medicine indicated for the treatment of postpartum depression in adults. As of July 31, 2025, Sage became a wholly-owned subsidiary of the Company. With the acquisition of Sage, the Company acquired the rights to further develop and market ZURZUVAE. Through a collaboration agreement with Biogen MA Inc. (BIMA) and Biogen International GmbH (together with BIMA, "Biogen"), the Company reports collaboration revenue that is 50% of total net revenue recorded by Biogen for ZURZUVAE in the U.S. See Note 3, </w:t>
      </w:r>
      <w:r>
        <w:rPr>
          <w:rFonts w:ascii="Times New Roman;serif" w:hAnsi="Times New Roman;serif"/>
          <w:b w:val="false"/>
          <w:i/>
          <w:color w:val="000000"/>
          <w:sz w:val="20"/>
        </w:rPr>
        <w:t>Sage Acquisition</w:t>
      </w:r>
      <w:r>
        <w:rPr>
          <w:rFonts w:ascii="Times New Roman;serif" w:hAnsi="Times New Roman;serif"/>
          <w:b w:val="false"/>
          <w:color w:val="000000"/>
          <w:sz w:val="20"/>
        </w:rPr>
        <w:t xml:space="preserve">, for further details on the acquisition and Note 15, </w:t>
      </w:r>
      <w:r>
        <w:rPr>
          <w:rFonts w:ascii="Times New Roman;serif" w:hAnsi="Times New Roman;serif"/>
          <w:b w:val="false"/>
          <w:i/>
          <w:color w:val="000000"/>
          <w:sz w:val="20"/>
        </w:rPr>
        <w:t>Collaboration Agreements,</w:t>
      </w:r>
      <w:r>
        <w:rPr>
          <w:color w:val="000000"/>
        </w:rPr>
        <w:t xml:space="preserve"> </w:t>
      </w:r>
      <w:r>
        <w:rPr>
          <w:rFonts w:ascii="Times New Roman;serif" w:hAnsi="Times New Roman;serif"/>
          <w:b w:val="false"/>
          <w:color w:val="000000"/>
          <w:sz w:val="20"/>
        </w:rPr>
        <w:t>for further details on the collaboration agreement with Biogen.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Sage Acquisition, during the third quarter of 2025, Sage Therapeutics, Inc. was reorganized into Sage Therapeutics, LLC.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unaudited condensed consolidated financial statements should be read in conjunction with the Company's most recent Annual Report on Form 10-K, for the year ended December 31, 2024, filed with the SEC.</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management's opinion, the unaudited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which is primarily located in the U.S., operates in one operating segment.</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The prior year amounts related to the caption </w:t>
      </w:r>
      <w:r>
        <w:rPr>
          <w:rFonts w:ascii="Times New Roman;serif" w:hAnsi="Times New Roman;serif"/>
          <w:b w:val="false"/>
          <w:i/>
          <w:color w:val="000000"/>
          <w:sz w:val="20"/>
        </w:rPr>
        <w:t>Inventory valuation write-down</w:t>
      </w:r>
      <w:r>
        <w:rPr>
          <w:color w:val="000000"/>
        </w:rPr>
        <w:t xml:space="preserve"> </w:t>
      </w:r>
      <w:r>
        <w:rPr>
          <w:rFonts w:ascii="Times New Roman;serif" w:hAnsi="Times New Roman;serif"/>
          <w:b w:val="false"/>
          <w:color w:val="000000"/>
          <w:sz w:val="20"/>
        </w:rPr>
        <w:t xml:space="preserve">have been reclassified from the caption </w:t>
      </w:r>
      <w:r>
        <w:rPr>
          <w:rFonts w:ascii="Times New Roman;serif" w:hAnsi="Times New Roman;serif"/>
          <w:b w:val="false"/>
          <w:i/>
          <w:color w:val="000000"/>
          <w:sz w:val="20"/>
        </w:rPr>
        <w:t xml:space="preserve">Other noncash adjustments, net </w:t>
      </w:r>
      <w:r>
        <w:rPr>
          <w:rFonts w:ascii="Times New Roman;serif" w:hAnsi="Times New Roman;serif"/>
          <w:b w:val="false"/>
          <w:color w:val="000000"/>
          <w:sz w:val="20"/>
        </w:rPr>
        <w:t>in the condensed consolidated statements of cash flows to conform to current year presentation. The reclassification did not affect the other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Consolidation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include the accounts of Supernus Pharmaceuticals, Inc. and its wholly owned subsidiaries. These are collectively referred to herein as "Supernus" or "the Company." Supernus Pharmaceuticals, Inc. and each of its subsidiaries are distinct legal entities. All material intercompany transactions and balances have been eliminated in consolidation.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the right to liquidate the entity, if applicable. If the Company is not the primary beneficiary of the VIE, and an ownership interest is maintained in the entity, the interest is accounted for under the equity or cost methods of accounting, as appropriate.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continuously assesses whether it is the primary beneficiary of a VIE as changes to existing relationships or future transactions may affect its conclusions.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considers all investments in highly liquid financial instruments with an original maturity of three months or less to be cash equivalents.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Accounts Receivable, Net</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trade accounts receivable arise from product sales and represents amounts due from its customers. In addition, the Company records accounts receivable arising from its collaboration and licensing agreements. The Company monitors the financial performance and credit worthiness of its counterparties so that it can properly assess and respond to changes in their credit profile. The Company provides allowances against receivables for estimated losses, if any, that may result from a counterparty's inability to pay. Amounts determined to be uncollectible are written-off against the allowance.</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Marketable Securities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Marketable securities consist of investments in U.S. Treasury bills and notes; bank certificates of deposit; various U.S. government agency debt securities; corporate and municipal debt securities. The Company places all investments with governmental, industrial, or financial institutions whose debt is rated as investment grade.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investments are classified as available-for-sale and are carried at fair value. The Company classifies all available-for-sale marketable securities with maturities greater than one year from the balance sheet date as non-current assets.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unrealized holding gains or losses on debt securities, including their tax effect, are reported as components of Other comprehensive gain (loss) in the consolidated statement of comprehensive earnings. Realized gains and losses, included in Interest and other income, net in the consolidated statement of earnings (loss), are determined using the specific identification method for determining the cost of securities sold.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Declines in fair value below amortized cost related to credit losses (i.e., impairment due to credit losses) are included in the consolidated statement of earnings (loss), with a corresponding allowance established. If the estimate of expected credit losses decreases in subsequent periods, the Company will reverse the credit losses through current period earnings and adjust the allowance accordingly.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Business Combinations and Contingent Considerations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determines whether an acquisition should be accounted for as a business combination or as an asset acquisition. If the acquired set of activities and assets does not meet the definition of a business, as defined by U.S. GAAP, the transaction is accounted for as an asset acquisition. In an asset acquisition, any acquired research and development that does not have an alternative future use is charged to expense as of the acquisition date, and no goodwill is recorded. If the acquired set of activities and assets meets the definition of a business, the Company applies the acquisition method of accounting and accounts for the transaction as a business combination. In a business combination, assets acquired and liabilities assumed are recorded at their respective fair values as of the acquisition date. The excess of the purchase price over the fair value of the acquired net assets, if applicable, is recorded as goodwill.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 business combination, the operating results of the acquired business are included in the Company's consolidated statement of earnings (loss), beginning on the effective acquisition date. Acquisition-related expenses are recognized separately from the business combination and are expensed as incurred.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judgment is involved in the determination of the fair value assigned to assets acquired and liabilities assumed in a business combination, as well as the estimated useful lives of assets. These estimates can materially affect the Company's consolidated results of operations and financial position. The fair value of intangible assets are determined using information available as of the acquisition date and are based on estimates and assumptions that are deemed reasonable by management. Significant estimates and assumptions include but are not limited to: the probability of regulatory approval, revenue growth, and appropriate discount rate.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While the Company uses its best estimates and assumptions to accurately value assets acquired and liabilities assumed as of the acquisition date,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Upon the conclusion of the measurement period, any subsequent adjustments are recorded to the Company's consolidated statements of earnings (loss) in the period that these adjustments are identified. </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Additional information regarding the Company's recent business combination is included in Note 3, </w:t>
      </w:r>
      <w:r>
        <w:rPr>
          <w:rFonts w:ascii="Times New Roman;serif" w:hAnsi="Times New Roman;serif"/>
          <w:b w:val="false"/>
          <w:i/>
          <w:color w:val="000000"/>
          <w:sz w:val="20"/>
        </w:rPr>
        <w:t>Sage Acquisition</w:t>
      </w:r>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Contingent Consideration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Business combinations often include provisions for additional consideration to be transferred to former shareholders based upon the achievement of certain milestones, referred to as contingent consideration. Contingent consideration from product development milestones and sales-based milestone payments on future product sales are included in the purchase price for business combinations. The fair value of the contingent consideration liability is determined as of the acquisition date using estimated or forecasted inputs. These inputs include the estimated amount and timing of projected revenues, probability and timing of milestone achievement, probability of achieving regulatory approval, revenue volatility, and the estimated discount rates and risk-free rate used to present value the probability-weighted cash flows. Subsequent to the acquisition date, at each reporting period prior to the resolution of the contingency, the contingent consideration liability is remeasured at current fair value, with changes recorded in earnings in the period of remeasurement. </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The determination of the initial and subsequent fair value of the contingent consideration liability may require significant judgment by management. Changes in any of the inputs not related to facts and circumstances existing as of the acquisition date may result in a significant fair value adjustment, which can impact the results of operations in the period in which the adjustment is made. Changes that are not measurement period adjustments are reported on the consolidated statement of earnings (loss) in </w:t>
      </w:r>
      <w:r>
        <w:rPr>
          <w:rFonts w:ascii="Times New Roman;serif" w:hAnsi="Times New Roman;serif"/>
          <w:b w:val="false"/>
          <w:i/>
          <w:color w:val="000000"/>
          <w:sz w:val="20"/>
        </w:rPr>
        <w:t>Contingent consideration loss (gain)</w:t>
      </w:r>
      <w:r>
        <w:rPr>
          <w:rFonts w:ascii="Times New Roman;serif" w:hAnsi="Times New Roman;serif"/>
          <w:b w:val="false"/>
          <w:color w:val="000000"/>
          <w:sz w:val="20"/>
        </w:rPr>
        <w:t xml:space="preserve">. </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Additional information regarding contingent consideration, including the contingent consideration arrangement resulting from the Company's recent business combination, is included in Note 7, </w:t>
      </w:r>
      <w:r>
        <w:rPr>
          <w:rFonts w:ascii="Times New Roman;serif" w:hAnsi="Times New Roman;serif"/>
          <w:b w:val="false"/>
          <w:i/>
          <w:color w:val="000000"/>
          <w:sz w:val="20"/>
        </w:rPr>
        <w:t>Contingent Consideration.</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Inventories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are recorded at the lower of cost or net realizable value, and include materials, labor, direct costs and indirect costs. These are valued using the first-in, first-out method. Prior to the initial date that regulatory approval is received for a product candidate of the Company, costs related to the production of inventory are recorded as research and development expense on the Company’s condensed consolidated statements of earnings (loss) in the period incurred. Raw and intermediate materials that may be utilized for either research and development or commercial purposes, after approval of the product by the FDA,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classified as inventory. Amounts in inventory that are used for research and development purposes are charged to research and development expense when the product enters the research and development process and can no longer be used for commercial purposes and, therefore, does not have an “alternative future use” as defined in authoritative guidance.</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The Company periodically reviews inventory and records write-downs for any excess, expired and obsolete inventory, and for inventory that has a cost basis in excess of its expected net realizable value based on estimates of product demand, production requirements, market conditions, regulatory requirements and spoilage. The write-down to net realizable value is recorded in the period in which impairment is identified and is recorded as a component of </w:t>
      </w:r>
      <w:r>
        <w:rPr>
          <w:rFonts w:ascii="Times New Roman;serif" w:hAnsi="Times New Roman;serif"/>
          <w:b w:val="false"/>
          <w:i/>
          <w:color w:val="000000"/>
          <w:sz w:val="20"/>
        </w:rPr>
        <w:t>Cost of revenues</w:t>
      </w:r>
      <w:r>
        <w:rPr>
          <w:color w:val="000000"/>
        </w:rPr>
        <w:t xml:space="preserve"> </w:t>
      </w:r>
      <w:r>
        <w:rPr>
          <w:rFonts w:ascii="Times New Roman;serif" w:hAnsi="Times New Roman;serif"/>
          <w:b w:val="false"/>
          <w:color w:val="000000"/>
          <w:sz w:val="20"/>
        </w:rPr>
        <w:t>in the condensed consolidated statement of earnings (loss).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The Company expects to use the inventory that is classified within current assets on its condensed consolidated balance sheet over its operating cycle. Inventory that is not expected to be used over the Company’s operating cycle is classified as a non-current asset and is included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 xml:space="preserve">in the condensed consolidated balance sheet.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Intangible</w:t>
      </w:r>
      <w:r>
        <w:rPr>
          <w:color w:val="000000"/>
        </w:rPr>
        <w:t xml:space="preserve"> </w:t>
      </w:r>
      <w:r>
        <w:rPr>
          <w:rFonts w:ascii="Times New Roman;serif" w:hAnsi="Times New Roman;serif"/>
          <w:b w:val="false"/>
          <w:color w:val="000000"/>
          <w:sz w:val="20"/>
        </w:rPr>
        <w:t>assets consist of definite-lived intangible assets, including: acquired developed technology and product rights intangible, and patent defense costs. They also consist of indefinite-lived intangible assets, such as acquired IPR&amp;D and goodwill.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Patent defense costs are deferred legal fees that have been incurred in connection with legal proceedings related to the defense of patents for Oxtellar XR and Trokendi XR. Patent defense costs are charged to expense in the event of an unsuccessful outcome of the litigation.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assets (including acquired developed technology and product rights) are carried at acquisition date fair value less accumulated amortization, with amortization calculated on a straight line basis over the estimated useful lives. The Company evaluates the estimated remaining useful lives of its intangible assets annually or when events or changes in circumstances warrant a revision to the remaining periods of amortization.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Acquired IPR&amp;D in a business combination is considered an indefinite-lived intangible asset until the completion or abandonment of the associated research and development efforts. Upon successful completion of the project, the Company will determine the then-useful life of the intangible asset. This is generally determined as the period over which the substantial majority of the cash flows are expected to be generated. The capitalized amount is then amortized over its estimated useful life. If a project is abandoned, all remaining capitalized amounts are written off immediately. During the period prior to completion or abandonment, the IPR&amp;D asset is not amortized but tested for impairment on an annual basis or when potential indicators of impairment are identified.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Impairment of Long-Lived Assets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Long-lived assets consist primarily of property and equipment, operating lease assets, and definite-lived intangible assets. The Company assesses the recoverability of its long-lived assets with definite lives whenever events or changes in circumstances indicate that the carrying amount of an asset may not be recoverable. If indications of impairment exist, projected future undiscounted cash flows associated with the asset would be compared to the carrying value of the asset to determine whether the asset's value is recoverable. If impairment is determined, the Company writes down the asset to its estimated fair value and records an impairment loss equal to the excess of the carrying value of the long-lived asset over its estimated fair value in the period at which such a determination is made.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Goodwill and Goodwill Impairment Assessment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Goodwill is calculated as the excess of the consideration paid consequent to completing the acquisition, compared to the net assets recognized in a business combination and is recognized at acquisition date. Goodwill represents the future economic benefits from the other acquired assets that could not be individually identified and separately quantified.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evaluates goodwill for possible impairment at least annually (during the fourth quarter of each fiscal year), or more often, if and when events and circumstances indicate that goodwill may be impaired. The annual evaluation is generally based on an assessment of qualitative factors to determine whether it is more likely than not that the fair value of the asset is less than its carrying amount. This includes but is not limited to, significant adverse changes in the business climate, market conditions, or other events that indicate that it is more likely than not that the fair value of the reporting unit is less than its carrying value. If the Company is unable to conclude whether the goodwill is not impaired after considering the totality of events and circumstances during its qualitative assessment, the Company performs a quantitative assessment by estimating the fair value of the reporting unit and comparing the fair value to the carrying amount. Evaluating for impairment requires judgment,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identifying reporting units and estimating future cash flows. The Company estimates the fair values of its reporting unit using discounted cash flow models or other valuation models, such as comparative transactions or market multiples. If the carrying amount of the reporting unit exceeds its fair value, the Company writes down the goodwill to the estimated fair value, and an impairment loss equal to the difference is recognized in the condensed consolidated statement of earnings (loss) in the period at which such determination is made.</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The Company determines revenue recognition for its contractual arrangements with customers based on the following five steps in accordance with Accounting Standards Codification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(1) identify each contract with a customer; (2) identify the performance obligations in the contract; (3) determine the transaction price; (4) allocate the transaction price to the performance obligations in the contract; and (5) recognize revenue when (or as) the Company satisfies the relevant performance obligation. The Company only applies the five-step model to contracts when it is probable that the Company will collect the consideration it is entitled to in exchange for the goods or services it transfers to the customer. The Company recognizes revenue in an amount that reflects the consideration the Company expects to receive in exchange for those goods or services. The Company does not adjust revenue for any financing effects in transactions where the Company expects the period between the transfer of the goods or services and collection to be less than one year.</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contract assets or liabilities were recorded as of September 30, 2025, or December 31, 2024.</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Revenue from Product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customers are primarily pharmaceutical wholesalers, specialty pharmacies, and pharmaceutical distributors. Customers purchase product to fulfill orders from retail pharmacy chains and independent pharmacies of varying size and purchasing power. The Company recognizes gross product sales when its customers take control of its products, including title and ownership. Customer orders are generally fulfilled within a few days of order receipt, resulting in minimal order backlog.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from product sales in an amount that reflects the consideration the Company expects to ultimately receive in exchange for those goods. Product sales are recorded net of various forms of variable consideration, including: provision for estimated rebates; provision for estimated future product returns; and an estimated provision for discounts. These are collectively considered "sales deductions." Sales deductions are based on estimates of the amounts earned or to be claimed on the related sales. These amounts are treated as variable consideration, estimated and recognized as a reduction of the transaction price at the time of sale using the most likely value method. The Company includes these estimated amounts 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transaction price to the extent it is probable that a significant reversal will not occur.</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Variability in the net transaction price for the Company's products arises primarily from the aforementioned sales deductions. Significant judgment is required in estimating certain sales deductions. In making these estimates, the Company considers: historical experience; product price increases; current contractual arrangements under applicable payor programs; unbilled claims; processing time lags for claims; inventory levels in the wholesale, specialty pharmacy, and retail distribution channel; and product life cycle. The Company adjusts its estimates of revenue either when the most likely amount of consideration it expects to receive changes, or when the consideration becomes fixed. If actual results in the future vary from its estimates, the Company adjusts its estimates in the period identified. These adjustments could materially affect net product sales and earnings in the period in which the adjustment(s) is recorded.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Deductions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product sales net of rebates, returns and discounts.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Rebates</w:t>
      </w:r>
      <w:r>
        <w:rPr>
          <w:color w:val="000000"/>
        </w:rPr>
        <w:t xml:space="preserve"> </w:t>
      </w:r>
      <w:r>
        <w:rPr>
          <w:rFonts w:ascii="Times New Roman;serif" w:hAnsi="Times New Roman;serif"/>
          <w:b w:val="false"/>
          <w:color w:val="000000"/>
          <w:sz w:val="20"/>
        </w:rPr>
        <w:t xml:space="preserve">- Rebates are discounts which the Company pays under either public sector or private sector health care programs. Rebates paid under public sector programs are generally mandated under law, whereas private sector rebates are generally contractually negotiated by the Company with managed care providers. Both types of rebates vary over time. Rebates are owed when the Company's customer dispenses its product to a patient; i.e., filling a prescription. For each of its products, the Company bases its estimates of expected rebate claims on multiple factors, including: historical levels of deductions; contractual terms with managed care providers; actual and anticipated changes in product price; prospective changes in managed care fee for service contracts; prospective changes in co-payment assistance programs; and anticipated changes in program utilization rates; i.e., patient participation rates under each specific program. The Company records an estimated liability for rebates at the time the customer takes title to the product (i.e., at the time of sale to wholesalers/distributors). This liability is recorded as a reduction to gross product sales, and an increase in </w:t>
      </w:r>
      <w:r>
        <w:rPr>
          <w:rFonts w:ascii="Times New Roman;serif" w:hAnsi="Times New Roman;serif"/>
          <w:b w:val="false"/>
          <w:i/>
          <w:color w:val="000000"/>
          <w:sz w:val="20"/>
        </w:rPr>
        <w:t>Accrued product returns and rebates.</w:t>
      </w:r>
      <w:r>
        <w:rPr>
          <w:color w:val="000000"/>
        </w:rPr>
        <w:t xml:space="preserve"> </w:t>
      </w:r>
      <w:r>
        <w:rPr>
          <w:rFonts w:ascii="Times New Roman;serif" w:hAnsi="Times New Roman;serif"/>
          <w:b w:val="false"/>
          <w:color w:val="000000"/>
          <w:sz w:val="20"/>
        </w:rPr>
        <w:t>The liability is recorded as a component of current liabilities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 xml:space="preserve">Returns - </w:t>
      </w:r>
      <w:r>
        <w:rPr>
          <w:rFonts w:ascii="Times New Roman;serif" w:hAnsi="Times New Roman;serif"/>
          <w:b w:val="false"/>
          <w:color w:val="000000"/>
          <w:sz w:val="20"/>
        </w:rPr>
        <w:t xml:space="preserve">Sales of the Company's products are not subject to a general right of return. A product that has been used to fill patient prescriptions is no longer subject to any right of return. However, the Company will accept a return of product that is damaged or defective when shipped from its third party fulfillment centers. The Company will also accept a return of expired product six months prior to and up to twelve months subsequent to the product's expiry date for certain products. Expired or defective returned product cannot be re-sold and is therefore destroyed. The Company records an estimated liability for product returns at the time the customer takes title to the product (i.e., at time of sale). The liability is reflected as a reduction to gross product sales, and an increase in </w:t>
      </w:r>
      <w:r>
        <w:rPr>
          <w:rFonts w:ascii="Times New Roman;serif" w:hAnsi="Times New Roman;serif"/>
          <w:b w:val="false"/>
          <w:i/>
          <w:color w:val="000000"/>
          <w:sz w:val="20"/>
        </w:rPr>
        <w:t>Accrued product returns and rebates.</w:t>
      </w:r>
      <w:r>
        <w:rPr>
          <w:color w:val="000000"/>
        </w:rPr>
        <w:t xml:space="preserve"> </w:t>
      </w:r>
      <w:r>
        <w:rPr>
          <w:rFonts w:ascii="Times New Roman;serif" w:hAnsi="Times New Roman;serif"/>
          <w:b w:val="false"/>
          <w:color w:val="000000"/>
          <w:sz w:val="20"/>
        </w:rPr>
        <w:t xml:space="preserve">This liability is recorded as a component of current liabilities on the consolidated balance sheets. The Company estimates the liability for returns primarily based on the actual returns experience for its commercial products. Because the Company's products have a shelf life up to forty-eight months from the date of manufacture, and because the Company accepts return of product up to twelve months post its expiry date, there is a time lag of several years between the time when the product is sold and the time when the Company may issue credit on the expired product.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 xml:space="preserve">Sales discounts - </w:t>
      </w:r>
      <w:r>
        <w:rPr>
          <w:rFonts w:ascii="Times New Roman;serif" w:hAnsi="Times New Roman;serif"/>
          <w:b w:val="false"/>
          <w:color w:val="000000"/>
          <w:sz w:val="20"/>
        </w:rPr>
        <w:t xml:space="preserve">Distributors and wholesalers of the Company's pharmaceutical products are generally offered various forms of consideration, including allowances, service fees and prompt payment discounts, for distributing the Company's products. Distributor and wholesaler allowances and service fees arise from contractual agreements and are estimated as a percentage of the price at which the Company sells product to them. In addition, distributors and wholesalers are offered a prompt pay discount for payment within a specified period. Prompt pay discounts are estimated as a percentage of the price at which the Company sells product. The Company accounts for these discounts at the time of sale as a reduction to gross product sales and accounts receivable, net.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Royalty, Licensing, Collaboration, and Other Revenues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Royalty Revenues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Royalty revenues include cash royalty amounts received from third parties pursuant to settlement agreements and agreements with collaboration partners for the right to use the Company's intellectual property as a functional license. These agreements may include sales-based royalties on the licensed intellectual property to which the royalties relate and milestone payments based on the level of sales (collectively, "sales-based royalties"). For arrangements that include sales-based royalties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If it is probable that a significant revenue reversal will not occur, the Company will estimate the royalty revenues using the most likely amount method. Certain of the Company’s royalty revenues are recognized by the Company based on information supplied to the Company by its licensees and require estimates to be made. Sales-based royalties are recorded based on estimated net sales of the underlying product. Differences between actual royalty revenues and estimated royalty revenues are reconciled and adjusted for in the period in which they become known, which is generally within the following quarter. The difference between the Company’s actual and estimated royalty revenues has not been material to date.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no guaranteed amounts owed to the Company related to any of these royalty revenue agreements.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Licensing Revenues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agreements with third parties generally involve the right to use the Company's intellectual property as a functional license. Certain agreements include an up-front license fee and ongoing milestone payments upon the achievement of specific events, and may also require minimum royalty payments based on in-country sales of products developed from the applicable intellectual property.</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determining when to recognize the revenue under a collaboration agreement, the Company assesses whether the license is distinct, which depends upon whether the customer can benefit from the license and whether the license is separate from other performance obligations in the agreement. If the license is distinct, the Company must further assess whether the customer has a right to access or a right to use the license depending on whether the functionality of the license is expected to substantively change over time. If the license is not expected to substantively change, the revenue is recognized at the point in time when the license is provided. Generally, the Company recognizes revenues from non-refundable up-front fees allocated to the license at a point in time, when the license is transferred to the licensee and the licensee is able to use and benefit from the license.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recognition from milestone payments is dependent upon the facts and circumstances surrounding the milestone payments. Generally, milestone payments under the Company’s collaboration agreements with third parties are non-refundable. The Company evaluates whether achieving the milestones is considered probable and estimates the amount to be included in the transaction price using the most likely amount method. This can involve management's judgment that includes assessing factors that are outside of the Company's influence, such as: likelihood of regulatory success; availability of third party information;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expected duration of time until achievement of event. These factors are evaluated based on the specific facts and circumstances. If it is probable that a significant revenue reversal would not occur, the value of the associated milestone is included in the transaction price.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Milestone payments based on a non-sales metric such as a development-based milestone (e.g. obtaining regulatory approval) represent variable consideration and would be included in the transaction price subject to any constraints. If the milestone payments relate to future development, the timing of recognition depends upon historical experience, the specific facts and circumstances, and the significance a third-party has on the outcome. Milestone payments that are not within the control of the Company, such as approval from regulatory authorities or where attainment of the specified event is dependent on the development activities of a third-party, are fully constrained and are not included in the transaction price until the period in which those regulatory approvals are obtained, or the specified event occurs due to the inherent uncertainty with the approval process.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milestone payments to be received upon the achievement of a sales threshold, the revenue from the milestone payments is recognized at the later of when the actual sales are incurred or the performance obligation to which the sales relate has been satisfied as noted below. </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Collaborative Arrangements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At contract inception, the Company analyzes its collaboration arrangements to assess whether they are within the scope of ASC Topic 808, </w:t>
      </w:r>
      <w:r>
        <w:rPr>
          <w:rFonts w:ascii="Times New Roman;serif" w:hAnsi="Times New Roman;serif"/>
          <w:b w:val="false"/>
          <w:i/>
          <w:color w:val="000000"/>
          <w:sz w:val="20"/>
        </w:rPr>
        <w:t>Collaborative Arrangements</w:t>
      </w:r>
      <w:r>
        <w:rPr>
          <w:color w:val="000000"/>
        </w:rPr>
        <w:t xml:space="preserve"> </w:t>
      </w:r>
      <w:r>
        <w:rPr>
          <w:rFonts w:ascii="Times New Roman;serif" w:hAnsi="Times New Roman;serif"/>
          <w:b w:val="false"/>
          <w:color w:val="000000"/>
          <w:sz w:val="20"/>
        </w:rPr>
        <w:t xml:space="preserve">(ASC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within the scope of ASC 606. For elements of collaboration arrangements that are accounted for pursuant to ASC 808, an appropriate recognition method is determined and applied consistently, either by analogy to authoritative accounting literature or by applying a reasonable and rational policy election.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those elements of the arrangement that are accounted for pursuant to ASC 606, the Company performs the five-step model under ASC 606 as noted above to determine the appropriate amount of revenue to be recognized as it fulfills its obligations under each of its agreements and presents the arrangement as royalty, licensing and other revenue or collaboration revenue (ZURZUVAE) in the condensed consolidated statements of earnings.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those elements of the arrangement that are accounted for pursuant to ASC 808, the Company evaluates the income statement classification for presentation of amounts due from or owed to other participants associated with multiple activities in a collaboration arrangement based on the nature of each separate activity. Payments or reimbursements that are the result of a collaborative relationship instead of a vendor-customer relationship are recorded as an increase to collaboration revenue (ZURZUVAE), an increase to or reduction of cost of revenues, research and development expense, or selling, general and administrative expense, depending on the nature of the activity.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applies ASC 808 and ASC 606 to the following collaboration agreements: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Biogen</w:t>
      </w:r>
      <w:r>
        <w:rPr>
          <w:color w:val="000000"/>
        </w:rPr>
        <w:t xml:space="preserve"> </w:t>
      </w:r>
      <w:r>
        <w:rPr>
          <w:rFonts w:ascii="Times New Roman;serif" w:hAnsi="Times New Roman;serif"/>
          <w:b w:val="false"/>
          <w:color w:val="000000"/>
          <w:sz w:val="20"/>
        </w:rPr>
        <w:t>- The Company has a collaboration agreement with Biogen (Biogen Collaboration Agreement) for the co-commercialization of ZURZUVAE in the U.S. Since the acquisition of Sage, revenues from the Biogen Collaboration Agreement include the Company’s share of ZURZUVAE revenues as that element of the agreement is accounted for under ASC Topic 808. The Company reports as collaboration revenue (ZURZUVAE) its share of ZURZUVAE revenues, which is 50% of total net revenue recorded by Biogen for ZURZUVAE in the 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identified the following promises in the Biogen Collaboration Agreement that were evaluated under the scope of ASC 606: delivery of (i) a co-exclusive license for SAGE-217 products in the U.S.; (ii) an exclusive license for SAGE-217 products in the Biogen Territory; and (iii) the clinical manufacturing supply of active pharmaceutical ingredient (API) and bulk drug product for SAGE-217 products in the Biogen Territory.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also evaluated whether certain options outlined within the Biogen Collaboration Agreement represented material rights that would give rise to a performance obligation and concluded that none of the options convey a material right to Biogen and therefore are not considered separate performance obligations within the Biogen Collaboration Agreement.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assessed the above promises at contract inception and determined that the co-exclusive license for SAGE-217 products in the U.S. is reflective of a vendor-customer relationship and therefore represent performance obligations within the scope of ASC 606. The co-exclusive license for SAGE-217 products in the U.S. is considered functional intellectual property and distinct from other promises under the contract. The exclusive license for SAGE-217 products in the Biogen Territory is considered a functional license that is distinct in the context of the Biogen Collaboration Agreement as Biogen can benefit from the license on its own or together with other readily available resources. As the co-exclusive license in the U.S. and the exclusive license in the Biogen Territory are delivered at the same time, they are considered one performance obligation at contract inception. The clinical manufacturing supply of API and bulk drug product for SAGE-217 products for the Biogen Territory is considered distinct in the context of the Biogen Collaboration Agreement as Biogen can benefit from the manufacturing services together with the licenses transferred by the Company at the inception of the Biogen Collaboration Agreement. Therefore, each represents a separate performance obligation within a contract with a customer under the scope of ASC 606 at contract inception.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Shionogi</w:t>
      </w:r>
      <w:r>
        <w:rPr>
          <w:color w:val="000000"/>
        </w:rPr>
        <w:t xml:space="preserve"> </w:t>
      </w:r>
      <w:r>
        <w:rPr>
          <w:rFonts w:ascii="Times New Roman;serif" w:hAnsi="Times New Roman;serif"/>
          <w:b w:val="false"/>
          <w:color w:val="000000"/>
          <w:sz w:val="20"/>
        </w:rPr>
        <w:t xml:space="preserve">- The Company also has a collaboration agreement with Shionogi &amp; Co., Ltd. (Shionogi) (Shionogi Collaboration Agreement) whereby the Company is entitled to receive royalties and milestone payments upon achievement of certain milestones. The Shionogi Collaboration Agreement also includes arrangement for the supply of drug product for Shionogi’s clinical trials. The Company concluded that Shionogi meets the definition of a customer because the Company is delivering intellectual property and know-how rights for the zuranolone program in support of territories in which the parties are not jointly sharing the risks and rewards. In addition, the Company determined that the Shionogi Collaboration Agreement met the requirements to be accounted for as a contract, including that it is probable that the Company will collect the consideration to which the Company is entitled in exchange for the goods or services that will be delivered to Shionogi. The Company assessed the promises at contract inception and determined that the license to zuranolone and supply of products to Shionogi are reflective of a vendor-customer relationship and therefore represent performance obligations within the scope of ASC 606.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that the performance obligations in the Shionogi Collaboration Agreement included the license to zuranolone and the supply of certain materials during the clinical development phase, which includes the supply of API. The performance obligation related to the license to zuranolone was determined to be distinct from other performance obligations and therefore was a separate performance obligation for which control was transferred upon signing. The obligation to provide certain clinical materials, including API for use during the development period, was determined to be a separate performance obligation.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For additional information on the collaboration agreements with Biogen and Shionogi, as well as the Company's other collaboration arrangements, refer to Note 15, </w:t>
      </w:r>
      <w:r>
        <w:rPr>
          <w:rFonts w:ascii="Times New Roman;serif" w:hAnsi="Times New Roman;serif"/>
          <w:b w:val="false"/>
          <w:i/>
          <w:color w:val="000000"/>
          <w:sz w:val="20"/>
        </w:rPr>
        <w:t>Collaboration Agreements</w:t>
      </w:r>
      <w:r>
        <w:rPr>
          <w:rFonts w:ascii="Times New Roman;serif" w:hAnsi="Times New Roman;serif"/>
          <w:b w:val="false"/>
          <w:color w:val="000000"/>
          <w:sz w:val="20"/>
        </w:rPr>
        <w:t xml:space="preserve">.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Costs of Revenues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Costs of revenues includes primarily cost of materials; third-party manufacturing costs; freight and distribution costs; direct labor; cost of royalties; cost to write down inventory to net realizable value; manufacturing overhead costs, including quality control and assurance; and may also include period costs related to certain inventory manufacturing services. Fair value of inventories acquired through business combinations or asset acquisitions include an inventory step-up within the value of inventories. The inventory step-up value is amortized as the related inventory is sold, and included in costs of revenues. Costs of revenues also includes our proportionate share of ZURZUVAE manufacturing costs under the Biogen Collaboration Agreement, (for additional information, refer to Note 15, </w:t>
      </w:r>
      <w:r>
        <w:rPr>
          <w:rFonts w:ascii="Times New Roman;serif" w:hAnsi="Times New Roman;serif"/>
          <w:b w:val="false"/>
          <w:i/>
          <w:color w:val="000000"/>
          <w:sz w:val="20"/>
        </w:rPr>
        <w:t>Collaboration Agreements</w:t>
      </w:r>
      <w:r>
        <w:rPr>
          <w:rFonts w:ascii="Times New Roman;serif" w:hAnsi="Times New Roman;serif"/>
          <w:b w:val="false"/>
          <w:color w:val="000000"/>
          <w:sz w:val="20"/>
        </w:rPr>
        <w:t xml:space="preserve">).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Advertising Expense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Advertising expense includes the cost of promotional materials and activities, such as printed materials and digital marketing, marketing programs and speaker programs. The cost of the Company's advertising efforts is expensed as incurred.</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The Company incurred $22.4 million and $73.9 million in advertising expense for the three and nine months ended September 30, 2025 and $19.6 million and $67.5 million for the three and nine months ended September 30, 2024, respectively. These expenses are recorded as a component of </w:t>
      </w: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in the unaudited condensed consolidated statements of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Insurance Recoveries</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several policies with third-party insurers that provide for the recovery of certain costs incurred by the Company. The Company records its rights to insurance recoveries as a receivables when the respective costs are reimbursable under applicable insurance policies, it is probable that such costs will be reimbursed, and reimbursement can be reasonably estimated. As such, the Company estimates the percentage of costs that will be reimbursed by the insurance provider to determine the proper amount to record for the insurance recovery receivable.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Insurance recoveries recognized in fiscal year 2025 were recorded as a reduction to </w:t>
      </w:r>
      <w:r>
        <w:rPr>
          <w:rFonts w:ascii="Times New Roman;serif" w:hAnsi="Times New Roman;serif"/>
          <w:b w:val="false"/>
          <w:i/>
          <w:color w:val="000000"/>
          <w:sz w:val="20"/>
        </w:rPr>
        <w:t>Selling, general and administrative expenses</w:t>
      </w:r>
      <w:r>
        <w:rPr>
          <w:rFonts w:ascii="Times New Roman;serif" w:hAnsi="Times New Roman;serif"/>
          <w:b w:val="false"/>
          <w:color w:val="000000"/>
          <w:sz w:val="20"/>
        </w:rPr>
        <w:t xml:space="preserve">. The Company had $0.8 million and $6.2 million of insurance recoveries during the three and nine months ended September 30, 2025. The Company recorded approximately $11.5 million and $12.0 million of insurance recoveries during the three and nine months ended September 30, 2024. Insurance recovery receivable was $6.3 million and $4.0 million as of September 30, 2025 and December 31, 2024, respectively.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New Accounting Pronouncements Not Yet Adopted</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ASU 2023-09, </w:t>
      </w:r>
      <w:r>
        <w:rPr>
          <w:rFonts w:ascii="Times New Roman;serif" w:hAnsi="Times New Roman;serif"/>
          <w:b w:val="false"/>
          <w:i/>
          <w:color w:val="000000"/>
          <w:sz w:val="20"/>
        </w:rPr>
        <w:t>Improvements to Income Tax Disclosures</w:t>
      </w:r>
      <w:r>
        <w:rPr>
          <w:color w:val="000000"/>
        </w:rPr>
        <w:t xml:space="preserve"> </w:t>
      </w:r>
      <w:r>
        <w:rPr>
          <w:rFonts w:ascii="Times New Roman;serif" w:hAnsi="Times New Roman;serif"/>
          <w:b w:val="false"/>
          <w:color w:val="000000"/>
          <w:sz w:val="20"/>
        </w:rPr>
        <w:t>(Topic 740) - The new standard, issued in December 2023, requires entities to disclose additional information with respect to the effective tax rate reconciliation and to disclose the disaggregation by jurisdiction of income tax expense and income taxes paid. The standard is effective with annual periods beginning after December 15, 2024, with early adoption permitted. The standard is to be applied on a prospective basis, although optional retrospective application is permitted. The Company plans to adopt the guidance for the fiscal year ending December 31, 2025. The Company expects ASU 2023-09 to require additional disclosures in the notes to its consolidated financial statements. The Company is currently evaluating the effects the adoption of this guidance will have on the consolidated financial statements.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ASU 2024-03, </w:t>
      </w:r>
      <w:r>
        <w:rPr>
          <w:rFonts w:ascii="Times New Roman;serif" w:hAnsi="Times New Roman;serif"/>
          <w:b w:val="false"/>
          <w:i/>
          <w:color w:val="151515"/>
          <w:sz w:val="20"/>
        </w:rPr>
        <w:t xml:space="preserve">Disaggregation of Income Statement Expenses </w:t>
      </w:r>
      <w:r>
        <w:rPr>
          <w:rFonts w:ascii="Times New Roman;serif" w:hAnsi="Times New Roman;serif"/>
          <w:b w:val="false"/>
          <w:color w:val="151515"/>
          <w:sz w:val="20"/>
        </w:rPr>
        <w:t xml:space="preserve">(Topic 220) - The new standard, issued in November 2024, requires additional disclosure in tabular format, about the nature of specific types of expense captions presented on the face of the income statement as well as disclosures about selling expenses. The new standard does not change the requirements for the presentation of expenses on the face of the income statement. </w:t>
      </w:r>
      <w:r>
        <w:rPr>
          <w:rFonts w:ascii="Times New Roman;serif" w:hAnsi="Times New Roman;serif"/>
          <w:b w:val="false"/>
          <w:color w:val="000000"/>
          <w:sz w:val="20"/>
        </w:rPr>
        <w:t>The standard is effective with annual periods beginning after December 15, 2026. Early adoption and retrospective application are permitted. The Company plans to adopt the guidance for the fiscal year ending December 31, 2027. We expect ASU 2024-03 to require additional disclosures in the notes to our consolidated financial statements. The Company is currently evaluating the effects the adoption of this guidance will have on the consolidated financial statements.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ASU 2025-06, </w:t>
      </w:r>
      <w:r>
        <w:rPr>
          <w:rFonts w:ascii="Times New Roman;serif" w:hAnsi="Times New Roman;serif"/>
          <w:b w:val="false"/>
          <w:i/>
          <w:color w:val="000000"/>
          <w:sz w:val="20"/>
        </w:rPr>
        <w:t xml:space="preserve">Intangibles-Goodwill and Other-Internal-Use Software (Subtopic 350-40): Targeted Improvements to the Accounting for Internal-Use Software (ASU 2025-06) </w:t>
      </w:r>
      <w:r>
        <w:rPr>
          <w:rFonts w:ascii="Times New Roman;serif" w:hAnsi="Times New Roman;serif"/>
          <w:b w:val="false"/>
          <w:color w:val="000000"/>
          <w:sz w:val="20"/>
        </w:rPr>
        <w:t>- the new standard, issued in September 2025, modernizes the accounting for internal-use software. ASU 2025-06 removes all references to software development stages and requires capitalization of software costs when management has committed to the software project and it is probable the software will be completed and perform its intended use. The Company plans to adopt the guidance for the fiscal year ending December 31, 2028. The Company is currently evaluating the timing and method of its adoption of ASU 2025-06 and the effects the adoption of this guidance will have on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color w:val="000000"/>
          <w:sz w:val="20"/>
        </w:rPr>
        <w:t>3</w:t>
      </w:r>
      <w:r>
        <w:rPr>
          <w:rFonts w:ascii="Times New Roman;serif" w:hAnsi="Times New Roman;serif"/>
          <w:b w:val="false"/>
          <w:color w:val="000000"/>
          <w:sz w:val="20"/>
        </w:rPr>
        <w:t xml:space="preserve">. </w:t>
      </w:r>
      <w:r>
        <w:rPr>
          <w:rFonts w:ascii="Times New Roman;serif" w:hAnsi="Times New Roman;serif"/>
          <w:b/>
          <w:color w:val="000000"/>
          <w:sz w:val="20"/>
        </w:rPr>
        <w:t xml:space="preserve">Sage Acquisition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July 31, 2025 (the "Sage Closing Date"), the Company completed its acquisition of all the outstanding equity of Sage Therapeutics, Inc. pursuant to the Merger Agreement dated June 13, 2025 (the "Sage Acquisition"). Under the terms of the Merger Agreement, the Company commenced a tender offer to acquire all outstanding shares of Sage, par value $0.0001 per share (the "Shares" and each, a "Share"), at an offer price of (i) $8.50 per share in cash, less any applicable withholding taxes and without interest (the "Cash Amount"; an aggregate of approximately $561 million), plus (ii) one contingent value right per Share (the "CVR"; an aggregate of approximately $234 million, subject to the achievement of specific contingencies), which represents the right to receive up to $3.50, which is governed by the terms of a contingent value rights agreement entered into between the Company and CVR Agent (the "Sage CVR Agreement"), in cash, less any applicable withholding taxes and without interest. The transaction provides Supernus with the right to develop and market ZURZUVAE® (zuranolone) capsules, the first and only U.S. Food and Drug Administration (FDA)-approved oral medicine indicated for the treatment of adults with postpartum depression (PPD), and a late-stage product candidate. For the three and nine months ended September 30, 2025, the Company incurred transaction costs of $8.6 million and $10.0 million, respectively, to complete the acquisition which were included in </w:t>
      </w:r>
      <w:r>
        <w:rPr>
          <w:rFonts w:ascii="Times New Roman;serif" w:hAnsi="Times New Roman;serif"/>
          <w:b w:val="false"/>
          <w:i/>
          <w:color w:val="000000"/>
          <w:sz w:val="20"/>
        </w:rPr>
        <w:t>Selling, general and administrative expense</w:t>
      </w:r>
      <w:r>
        <w:rPr>
          <w:color w:val="000000"/>
        </w:rPr>
        <w:t xml:space="preserve"> </w:t>
      </w:r>
      <w:r>
        <w:rPr>
          <w:rFonts w:ascii="Times New Roman;serif" w:hAnsi="Times New Roman;serif"/>
          <w:b w:val="false"/>
          <w:color w:val="000000"/>
          <w:sz w:val="20"/>
        </w:rPr>
        <w:t>in the condensed consolidated statements of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Contingent payments of up to $234 million are due to the sellers upon the achievement of certain milestones related to the development and commercial sale of ZURZUVAE. In connection therewith, the Company recorded a contingent consideration liability of $11.4 million as of the date of acquisition to reflect the estimated fair value of the contingent consideration. The estimated fair value of the contingent consideration was determined using a market participant with a Monte Carlo simulation for the sales-based milestones and income approach for the other milestones. The key assumptions considered include the estimated amount and timing of projected cash flows, probability of milestone achievement, volatility, estimated discount rates and risk-free interest rate. In each reporting period after the acquisition, the Company will revalue the contingent consideration liability and will record increases or decreases in the fair value of the liability in its condensed consolidated statements of earnings. Changes in fair value will result from changes in actual and projected milestone achievement, as well as changes to forecasts. The inputs and assumptions may not be observable in the market, but reflect the assumptions the Company believes would be made by a market participant. The possible outcomes for the contingent consideration range from $0 to $234 million on an undiscounted basis. See Note 7, </w:t>
      </w:r>
      <w:r>
        <w:rPr>
          <w:rFonts w:ascii="Times New Roman;serif" w:hAnsi="Times New Roman;serif"/>
          <w:b w:val="false"/>
          <w:i/>
          <w:color w:val="000000"/>
          <w:sz w:val="20"/>
        </w:rPr>
        <w:t xml:space="preserve">Contingent Consideration, </w:t>
      </w:r>
      <w:r>
        <w:rPr>
          <w:rFonts w:ascii="Times New Roman;serif" w:hAnsi="Times New Roman;serif"/>
          <w:b w:val="false"/>
          <w:color w:val="000000"/>
          <w:sz w:val="20"/>
        </w:rPr>
        <w:t xml:space="preserve">for further discussion.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connection with the acquisition, the vesting of certain outstanding Sage stock options, restricted stock units, and performance stock units was accelerated upon closing of the acquisition and replaced with the right to receive one CVR per share. The purchase price for Sage includes $4.1 million related to Sage awards where vesting was accelerated in connection with the acquisition. The Company recognized compensation expense of $22.9 million immediately in the post-combination period related to awards that were accelerated to vest upon closing of the acquisition. See Note </w:t>
      </w:r>
      <w:r>
        <w:rPr>
          <w:rFonts w:ascii="Times New Roman;serif" w:hAnsi="Times New Roman;serif"/>
          <w:b w:val="false"/>
          <w:i/>
          <w:color w:val="000000"/>
          <w:sz w:val="20"/>
        </w:rPr>
        <w:t>10</w:t>
      </w:r>
      <w:r>
        <w:rPr>
          <w:rFonts w:ascii="Times New Roman;serif" w:hAnsi="Times New Roman;serif"/>
          <w:b w:val="false"/>
          <w:color w:val="000000"/>
          <w:sz w:val="20"/>
        </w:rPr>
        <w:t xml:space="preserve">, </w:t>
      </w:r>
      <w:r>
        <w:rPr>
          <w:rFonts w:ascii="Times New Roman;serif" w:hAnsi="Times New Roman;serif"/>
          <w:b w:val="false"/>
          <w:i/>
          <w:color w:val="000000"/>
          <w:sz w:val="20"/>
        </w:rPr>
        <w:t>Share-based Payments</w:t>
      </w:r>
      <w:r>
        <w:rPr>
          <w:rFonts w:ascii="Times New Roman;serif" w:hAnsi="Times New Roman;serif"/>
          <w:b w:val="false"/>
          <w:color w:val="000000"/>
          <w:sz w:val="20"/>
        </w:rPr>
        <w:t xml:space="preserve">, for further discussion.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acquisition is being accounted for as a business combination under the acquisition method of accounting, in accordance with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The excess of the purchase price over the fair value of the net assets acquired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was recorded as goodwill. The estimated fair values of the assets acquired and liabilities assumed, including goodwill, have been included in the Company's consolidated financial statements since the Sage Closing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accounting for this acquisition is preliminary and fair value estimates for the assets acquired and liabilities assumed and the Company's estimates and assumptions are subject to change as the Company obtains additional information for its estimates during the measurement period. During the measurement period, if the Company obtains new information regarding facts and circumstances that existed as of the Sage Closing Date that, if known, would have resulted in revised estimated values of those assets or liabilities, the Company will accordingly revise its estimates of fair values and purchase price allocation. The effect of measurement period adjustments on the estimated fair value elements will be reflected as if the adjustments had been made as of the Sage Closing Date. The impact of all changes that do not qualify as measurement period adjustments will be included in current period earnings.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expects to finalize its purchase price allocation within one year of the Sage Closing Date. In addition, the Company continues to analyze and assess relevant information necessary to determine, recognize and record at fair value the assets acquired and liabilities assumed in the following areas: inventory, prepaid and other assets, intangible assets, tax assets and liabilities, and certain existing or potential reserves, including those for legal or contract-related matters. The activities the Company is currently undertaking, include but are not limited to the following: review of acquired contracts and other contract-related and legal matters; review and evaluation of the accounting policies, tax positions, and other tax-related matters. Further, the Company is in the process of obtaining input from third party valuation firms with respect to the fair value of the acquired intangible assets and inventory, and other information necessary to record and measure the assets acquired and liabilities assumed. Accordingly, the preliminary recognition and measurement of assets acquired and liabilities assumed as of the Sage Closing Date are subject to change.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preliminary purchase price allocation table presents the Company' preliminary estimates of the fair value of assets acquired and liabilities assumed as of the Sage Closing Date (unaudited, dollars in thousands): </w:t>
      </w:r>
    </w:p>
    <w:tbl>
      <w:tblPr>
        <w:tblW w:w="6755" w:type="dxa"/>
        <w:jc w:val="left"/>
        <w:tblInd w:w="0" w:type="dxa"/>
        <w:tblLayout w:type="fixed"/>
        <w:tblCellMar>
          <w:top w:w="28" w:type="dxa"/>
          <w:left w:w="28" w:type="dxa"/>
          <w:bottom w:w="28" w:type="dxa"/>
          <w:right w:w="28" w:type="dxa"/>
        </w:tblCellMar>
      </w:tblPr>
      <w:tblGrid>
        <w:gridCol w:w="2015"/>
        <w:gridCol w:w="1770"/>
        <w:gridCol w:w="1779"/>
        <w:gridCol w:w="211"/>
        <w:gridCol w:w="826"/>
        <w:gridCol w:w="154"/>
      </w:tblGrid>
      <w:tr>
        <w:trPr/>
        <w:tc>
          <w:tcPr>
            <w:tcW w:w="2015"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asset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 acquired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and accrued liabilities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liability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liabilities assumed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purchase price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consideration paid for Sage's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consideration paid for cash settlement of Sage's equity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purchase price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27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 xml:space="preserve">Refer to Note </w:t>
      </w:r>
      <w:r>
        <w:rPr>
          <w:rFonts w:ascii="Times New Roman;serif" w:hAnsi="Times New Roman;serif"/>
          <w:b w:val="false"/>
          <w:color w:val="000000"/>
          <w:sz w:val="20"/>
        </w:rPr>
        <w:t>13</w:t>
      </w:r>
      <w:r>
        <w:rPr>
          <w:rFonts w:ascii="Times New Roman;serif" w:hAnsi="Times New Roman;serif"/>
          <w:b w:val="false"/>
          <w:color w:val="000000"/>
          <w:sz w:val="18"/>
        </w:rPr>
        <w:t xml:space="preserve">, </w:t>
      </w:r>
      <w:r>
        <w:rPr>
          <w:rFonts w:ascii="Times New Roman;serif" w:hAnsi="Times New Roman;serif"/>
          <w:b w:val="false"/>
          <w:i/>
          <w:color w:val="000000"/>
          <w:sz w:val="20"/>
        </w:rPr>
        <w:t>Leases</w:t>
      </w:r>
      <w:r>
        <w:rPr>
          <w:rFonts w:ascii="Times New Roman;serif" w:hAnsi="Times New Roman;serif"/>
          <w:b w:val="false"/>
          <w:i/>
          <w:color w:val="000000"/>
          <w:sz w:val="18"/>
        </w:rPr>
        <w:t xml:space="preserve">, </w:t>
      </w:r>
      <w:r>
        <w:rPr>
          <w:rFonts w:ascii="Times New Roman;serif" w:hAnsi="Times New Roman;serif"/>
          <w:b w:val="false"/>
          <w:color w:val="000000"/>
          <w:sz w:val="18"/>
        </w:rPr>
        <w:t>for further discussion of the acquired lease asset and assumed lease liability.</w:t>
      </w:r>
    </w:p>
    <w:p>
      <w:pPr>
        <w:pStyle w:val="TextBody"/>
        <w:bidi w:val="0"/>
        <w:spacing w:before="0" w:after="0"/>
        <w:ind w:left="0" w:right="0" w:hanging="27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Acquired Inventory </w:t>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inventory was estimated using the comparative sales method, which estimated the expected sales price of the product, reduced by all costs expected to be incurred to complete or to dispose of the inventory, as well as a profit on the sale. </w:t>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Acquired Lease</w:t>
      </w:r>
    </w:p>
    <w:p>
      <w:pPr>
        <w:pStyle w:val="TextBody"/>
        <w:bidi w:val="0"/>
        <w:spacing w:lineRule="auto" w:line="268" w:before="200" w:after="283"/>
        <w:ind w:left="0" w:right="0" w:firstLine="720"/>
        <w:jc w:val="left"/>
        <w:rPr/>
      </w:pPr>
      <w:r>
        <w:rPr>
          <w:rFonts w:ascii="Times New Roman;serif" w:hAnsi="Times New Roman;serif"/>
          <w:b w:val="false"/>
          <w:color w:val="000000"/>
          <w:sz w:val="20"/>
        </w:rPr>
        <w:t xml:space="preserve">As part of the Sage Acquisition, the Company acquired a lease for commercial real estate. The Company recognized a right-of-use asset and operating lease liability at the acquisition date. The amounts recognized reflect the present value of remaining lease payments, discounted at the Company's incremental borrowing rate. The fair value of the lease ROU asset was measured at an amount equal to the lease liability and evaluated for favorable or unfavorable lease terms when compared with market terms. Refer to Note 13, </w:t>
      </w:r>
      <w:r>
        <w:rPr>
          <w:rFonts w:ascii="Times New Roman;serif" w:hAnsi="Times New Roman;serif"/>
          <w:b w:val="false"/>
          <w:i/>
          <w:color w:val="000000"/>
          <w:sz w:val="20"/>
        </w:rPr>
        <w:t xml:space="preserve">Leases, </w:t>
      </w:r>
      <w:r>
        <w:rPr>
          <w:rFonts w:ascii="Times New Roman;serif" w:hAnsi="Times New Roman;serif"/>
          <w:b w:val="false"/>
          <w:color w:val="000000"/>
          <w:sz w:val="20"/>
        </w:rPr>
        <w:t>for further discussion of the acquired lease asset and assumed lease liability.</w:t>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Acquired Intangible Assets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acquired intangible asset include the acquired developed technology and product rights. The Company estimated the fair value of the acquired intangible asset as of the Sage Closing Date using the income approach. The fair value measurements of the acquired intangible assets were estimated based on significant unobservable inputs and therefore, represent a Level 3 fair value measurement. Some of the more significant inputs and assumptions used in the intangible assets valuation include: the estimated future cash flows from product sales, probability of achieving regulatory approval in ex-US territories, the timing and projection of costs and expenses, discount rates, and tax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purchase price allocation, and the average remaining useful lives for identifiable intangible assets (unaudited, dollars in thousands): </w:t>
      </w:r>
    </w:p>
    <w:tbl>
      <w:tblPr>
        <w:tblW w:w="7578" w:type="dxa"/>
        <w:jc w:val="center"/>
        <w:tblInd w:w="0" w:type="dxa"/>
        <w:tblLayout w:type="fixed"/>
        <w:tblCellMar>
          <w:top w:w="28" w:type="dxa"/>
          <w:left w:w="28" w:type="dxa"/>
          <w:bottom w:w="28" w:type="dxa"/>
          <w:right w:w="28" w:type="dxa"/>
        </w:tblCellMar>
      </w:tblPr>
      <w:tblGrid>
        <w:gridCol w:w="1550"/>
        <w:gridCol w:w="1358"/>
        <w:gridCol w:w="1367"/>
        <w:gridCol w:w="211"/>
        <w:gridCol w:w="826"/>
        <w:gridCol w:w="109"/>
        <w:gridCol w:w="109"/>
        <w:gridCol w:w="109"/>
        <w:gridCol w:w="109"/>
        <w:gridCol w:w="536"/>
        <w:gridCol w:w="536"/>
        <w:gridCol w:w="758"/>
      </w:tblGrid>
      <w:tr>
        <w:trPr/>
        <w:tc>
          <w:tcPr>
            <w:tcW w:w="15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Useful Lives </w:t>
              <w:br/>
              <w:t>(in years)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developed technology and product rights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Acquired intangible assets are amortized over their estimated useful lives on a straight-line basis.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Goodwill was calculated as the excess of the consideration paid consequent to completing the acquisition, compared to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net assets recognized. Goodwill represents the future economic benefits from the other acquired assets, and which could not be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individually identified and separately valued. Goodwill is primarily attributable to the additional acquired growth platforms and </w:t>
      </w:r>
    </w:p>
    <w:p>
      <w:pPr>
        <w:pStyle w:val="TextBody"/>
        <w:bidi w:val="0"/>
        <w:spacing w:lineRule="auto" w:line="288" w:before="0" w:after="0"/>
        <w:jc w:val="left"/>
        <w:rPr/>
      </w:pPr>
      <w:r>
        <w:rPr>
          <w:rFonts w:ascii="Times New Roman;serif" w:hAnsi="Times New Roman;serif"/>
          <w:b w:val="false"/>
          <w:color w:val="000000"/>
          <w:sz w:val="20"/>
        </w:rPr>
        <w:t>an expanded revenue base. Goodwill is not deductible for tax purposes</w:t>
      </w:r>
      <w:r>
        <w:rPr>
          <w:rFonts w:ascii="Times New Roman;serif" w:hAnsi="Times New Roman;serif"/>
          <w:b w:val="false"/>
          <w:i/>
          <w:color w:val="000000"/>
          <w:sz w:val="20"/>
        </w:rPr>
        <w:t xml:space="preserve">.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Revenues and Net Earnings of Sage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operations of Sage and its subsidiaries have been included in the Company's condensed consolidated statements of earnings for the period subsequent to the Sage Closing Date, and through September 30, 2025. Total revenues of $20.1 million and net loss of $65.4 million were recorded from the Sage Closing Date through the period ended September 30, 2025.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 forma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unaudited pro forma combined financial information for each of the periods presented as if the Sage Acquisition had occurred on January 1, 2024 (dollars in thousands):</w:t>
      </w:r>
    </w:p>
    <w:tbl>
      <w:tblPr>
        <w:tblW w:w="7907" w:type="dxa"/>
        <w:jc w:val="left"/>
        <w:tblInd w:w="0" w:type="dxa"/>
        <w:tblLayout w:type="fixed"/>
        <w:tblCellMar>
          <w:top w:w="28" w:type="dxa"/>
          <w:left w:w="28" w:type="dxa"/>
          <w:bottom w:w="28" w:type="dxa"/>
          <w:right w:w="28" w:type="dxa"/>
        </w:tblCellMar>
      </w:tblPr>
      <w:tblGrid>
        <w:gridCol w:w="754"/>
        <w:gridCol w:w="664"/>
        <w:gridCol w:w="667"/>
        <w:gridCol w:w="216"/>
        <w:gridCol w:w="847"/>
        <w:gridCol w:w="111"/>
        <w:gridCol w:w="111"/>
        <w:gridCol w:w="111"/>
        <w:gridCol w:w="111"/>
        <w:gridCol w:w="216"/>
        <w:gridCol w:w="847"/>
        <w:gridCol w:w="111"/>
        <w:gridCol w:w="109"/>
        <w:gridCol w:w="109"/>
        <w:gridCol w:w="109"/>
        <w:gridCol w:w="211"/>
        <w:gridCol w:w="901"/>
        <w:gridCol w:w="109"/>
        <w:gridCol w:w="109"/>
        <w:gridCol w:w="109"/>
        <w:gridCol w:w="109"/>
        <w:gridCol w:w="211"/>
        <w:gridCol w:w="901"/>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 forma total revenues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 forma net loss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(62,559)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unaudited pro forma combined financial information is based on historical financial information and the Company's preliminary allocation of purchase price; therefore, it is subject to subsequent adjustment upon finalization of the purchase price allocation. In order to reflect the occurrence of the acquisition as if it had occurred on January 1, 2024, the unaudited pro forma combined financial information reflects the recognition of amortization expense on intangible asset; the estimated reduction in the Company's interest income generated from marketable securities that were liquidated to fund the purchase price of the Sage Acquisition, and the estimated tax impact of the pro forma adjustments.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unaudited pro forma combined financial information also reflects the recognition of material non-recurring costs incurred directly as a result of the Sage Acquisition primarily pertaining to the following:</w:t>
      </w:r>
    </w:p>
    <w:p>
      <w:pPr>
        <w:pStyle w:val="TextBody"/>
        <w:bidi w:val="0"/>
        <w:spacing w:lineRule="auto" w:line="288" w:before="20" w:after="283"/>
        <w:ind w:left="0" w:right="0" w:hanging="360"/>
        <w:jc w:val="left"/>
        <w:rPr/>
      </w:pPr>
      <w:r>
        <w:rPr>
          <w:color w:val="000000"/>
        </w:rPr>
        <w:t>•</w:t>
      </w:r>
      <w:r>
        <w:rPr>
          <w:rFonts w:ascii="Times New Roman;serif" w:hAnsi="Times New Roman;serif"/>
          <w:b w:val="false"/>
          <w:color w:val="000000"/>
          <w:sz w:val="20"/>
        </w:rPr>
        <w:t>Transaction-related expenses incurred by the Company of $10.0 million during the nine months ended September 30, 2025 are assumed to have occurred on the pro forma close date of January 1, 2024, and recognized as if incurred in the first quarter of 2024;</w:t>
      </w:r>
    </w:p>
    <w:p>
      <w:pPr>
        <w:pStyle w:val="TextBody"/>
        <w:bidi w:val="0"/>
        <w:spacing w:lineRule="auto" w:line="288" w:before="20" w:after="283"/>
        <w:ind w:left="0" w:right="0" w:hanging="360"/>
        <w:jc w:val="left"/>
        <w:rPr/>
      </w:pPr>
      <w:r>
        <w:rPr>
          <w:color w:val="000000"/>
        </w:rPr>
        <w:t>•</w:t>
      </w:r>
      <w:r>
        <w:rPr>
          <w:rFonts w:ascii="Times New Roman;serif" w:hAnsi="Times New Roman;serif"/>
          <w:b w:val="false"/>
          <w:color w:val="000000"/>
          <w:sz w:val="20"/>
        </w:rPr>
        <w:t xml:space="preserve">Post-combination employee-related expenses incurred by the Company of $38.0 million that were incurred during the nine months ended September 30, 2025 are assumed to have occurred on the pro forma close date of January 1, 2024, and recognized as if incurred in the first quarter of 2024;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Post-combination share-based compensation expense of $22.9 million incurred to accelerate the vesting of certain equity awards under the terms of the Merger Agreement are assumed to have occurred on the pro forma close date of January 1, 2024, and recognized as if incurred in the first quarter of 2024. This amount does not reflect any post-combination expense related to potential CVR payments to former Sage employees because payment is not considered probable under the employee compensation accounting model.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unaudited pro forma combined financial information should not necessarily be considered indicative of the results that would have occurred if the acquisition had been consummated on the assumed completion date, nor are they indicative of future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4.</w:t>
      </w:r>
      <w:r>
        <w:rPr>
          <w:color w:val="000000"/>
        </w:rPr>
        <w:t xml:space="preserve"> </w:t>
      </w:r>
      <w:r>
        <w:rPr>
          <w:rFonts w:ascii="Times New Roman;serif" w:hAnsi="Times New Roman;serif"/>
          <w:b/>
          <w:color w:val="000000"/>
          <w:sz w:val="20"/>
        </w:rPr>
        <w:t xml:space="preserve">Disaggregated Revenues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total revenues (dollars in thousands):</w:t>
      </w:r>
    </w:p>
    <w:tbl>
      <w:tblPr>
        <w:tblW w:w="8924" w:type="dxa"/>
        <w:jc w:val="left"/>
        <w:tblInd w:w="0" w:type="dxa"/>
        <w:tblLayout w:type="fixed"/>
        <w:tblCellMar>
          <w:top w:w="28" w:type="dxa"/>
          <w:left w:w="28" w:type="dxa"/>
          <w:bottom w:w="28" w:type="dxa"/>
          <w:right w:w="28" w:type="dxa"/>
        </w:tblCellMar>
      </w:tblPr>
      <w:tblGrid>
        <w:gridCol w:w="1201"/>
        <w:gridCol w:w="1054"/>
        <w:gridCol w:w="105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Qelbree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GOCOVRI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APOKYN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Trokendi XR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Oxtellar XR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ONAPGO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product sales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Collaboration revenue (ZURZUVAE)</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w:t>
      </w:r>
    </w:p>
    <w:p>
      <w:pPr>
        <w:pStyle w:val="TextBody"/>
        <w:bidi w:val="0"/>
        <w:spacing w:lineRule="auto" w:line="26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net product sales of MYOBLOC, XADAGO and Osmolex ER.</w:t>
      </w:r>
    </w:p>
    <w:p>
      <w:pPr>
        <w:pStyle w:val="TextBody"/>
        <w:bidi w:val="0"/>
        <w:spacing w:lineRule="auto" w:line="26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 xml:space="preserve">Includes the Company's proportionate share of net sales of ZURZUVAE.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third quarter of 2025, the Company continued to have favorable actual returns experience for Qelbree. As such, the Company changed its estimated provision for product returns based on the most recent experience. Provision for product returns related to prior year sales for the nine months period ended September 30, 2025 is approximately 3% of net product sales and is primarily attributable to Qelbree. Provision for product returns related to prior year sales for the nine months period ended September 30, 2024 was approximately 2% of net product sales.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currently own or operate manufacturing facilities for the commercial production of any of our commercial products. We currently depend on third-party clinical manufacturing organizations (CMOs), who offer a comprehensive range of contract manufacturing and packaging services, in various countries for the supply of active product ingredients (API), finished goods for our commercial products. For most of our commercial products, we rely on single source suppliers to produce and package final dosage forms for our products and raw materials, including API.</w:t>
      </w:r>
    </w:p>
    <w:p>
      <w:pPr>
        <w:pStyle w:val="TextBody"/>
        <w:bidi w:val="0"/>
        <w:spacing w:before="0" w:after="0"/>
        <w:ind w:left="0" w:right="0" w:firstLine="720"/>
        <w:jc w:val="left"/>
        <w:rPr/>
      </w:pPr>
      <w:r>
        <w:rPr/>
      </w:r>
    </w:p>
    <w:p>
      <w:pPr>
        <w:pStyle w:val="TextBody"/>
        <w:bidi w:val="0"/>
        <w:spacing w:lineRule="auto" w:line="288" w:before="0" w:after="0"/>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4, 2025, the Company announced that due to stronger than expected demand for ONAPGO, supplier constraints are impacting the Company's ability to fully meet this demand. ONAPGO is manufactured in Europe, supplied to us by our ONAPGO licensing partner, and packaged in the U.S. by a third-party CMO. We rely on single source suppliers to produce and package final dosage forms for ONAPGO. A change in supplier would require regulatory approval which could cause a delay in manufacturing and a possible loss of sales, which could affect future operating results adversely.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5</w:t>
      </w:r>
      <w:r>
        <w:rPr>
          <w:rFonts w:ascii="Times New Roman;serif" w:hAnsi="Times New Roman;serif"/>
          <w:b w:val="false"/>
          <w:color w:val="000000"/>
          <w:sz w:val="20"/>
        </w:rPr>
        <w:t xml:space="preserve">. </w:t>
      </w:r>
      <w:r>
        <w:rPr>
          <w:rFonts w:ascii="Times New Roman;serif" w:hAnsi="Times New Roman;serif"/>
          <w:b/>
          <w:color w:val="000000"/>
          <w:sz w:val="20"/>
        </w:rPr>
        <w:t xml:space="preserve">Investments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Unrestricted available-for-sale marketable securities held by the Company are as follows (dollars in thousands):</w:t>
      </w:r>
    </w:p>
    <w:tbl>
      <w:tblPr>
        <w:tblW w:w="8846" w:type="dxa"/>
        <w:jc w:val="left"/>
        <w:tblInd w:w="0" w:type="dxa"/>
        <w:tblLayout w:type="fixed"/>
        <w:tblCellMar>
          <w:top w:w="28" w:type="dxa"/>
          <w:left w:w="28" w:type="dxa"/>
          <w:bottom w:w="28" w:type="dxa"/>
          <w:right w:w="28" w:type="dxa"/>
        </w:tblCellMar>
      </w:tblPr>
      <w:tblGrid>
        <w:gridCol w:w="1967"/>
        <w:gridCol w:w="1729"/>
        <w:gridCol w:w="1734"/>
        <w:gridCol w:w="284"/>
        <w:gridCol w:w="1114"/>
        <w:gridCol w:w="147"/>
        <w:gridCol w:w="109"/>
        <w:gridCol w:w="109"/>
        <w:gridCol w:w="109"/>
        <w:gridCol w:w="273"/>
        <w:gridCol w:w="1072"/>
        <w:gridCol w:w="199"/>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U.S. government agency and municipal debt securities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129,829 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384,481 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unrealized gains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unrealized losses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129,789 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384,281 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all of the Company's unrestricted available-for-sale marketable securities have contractual maturities of one year or less.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there was no impairment due to credit loss on any available-for-sale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6.    Fair Value of Financial Instruments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an asset or liability represents the price that would be received to sell an asset or paid to transfer a liability in an orderly transaction between unrelated market participants.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reports the fair value of assets and liabilities using a three level measurement hierarchy that prioritizes the inputs used to measure fair value. Fair value hierarchy consists of the following three levels: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Level 1—Valuations based on unadjusted quoted prices in active markets that are accessible at measurement date for identical assets.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Level 3—Valuations using significant inputs that are unobservable in the market and inputs that reflect the Company's own assumptions. These are based on the best information available, including the Company's own data.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Financial Assets and Liabilities Recorded at Fair Value</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that are required to be measured at fair value on a recurring basis are as follows (dollars in thousands):</w:t>
      </w:r>
    </w:p>
    <w:tbl>
      <w:tblPr>
        <w:tblW w:w="8895" w:type="dxa"/>
        <w:jc w:val="left"/>
        <w:tblInd w:w="0" w:type="dxa"/>
        <w:tblLayout w:type="fixed"/>
        <w:tblCellMar>
          <w:top w:w="28" w:type="dxa"/>
          <w:left w:w="28" w:type="dxa"/>
          <w:bottom w:w="28" w:type="dxa"/>
          <w:right w:w="28" w:type="dxa"/>
        </w:tblCellMar>
      </w:tblPr>
      <w:tblGrid>
        <w:gridCol w:w="1225"/>
        <w:gridCol w:w="1078"/>
        <w:gridCol w:w="108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Measurements as of September 30, 2025 (unaudited) </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Level 1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 restricted (SERP)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8790" w:type="dxa"/>
        <w:jc w:val="left"/>
        <w:tblInd w:w="0" w:type="dxa"/>
        <w:tblLayout w:type="fixed"/>
        <w:tblCellMar>
          <w:top w:w="28" w:type="dxa"/>
          <w:left w:w="28" w:type="dxa"/>
          <w:bottom w:w="28" w:type="dxa"/>
          <w:right w:w="28" w:type="dxa"/>
        </w:tblCellMar>
      </w:tblPr>
      <w:tblGrid>
        <w:gridCol w:w="1225"/>
        <w:gridCol w:w="1078"/>
        <w:gridCol w:w="1087"/>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December 31, 2024</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Level 1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 restricted (SERP)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Financial Instruments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other financial instruments, including accounts receivable, accounts payable, and accrued expenses approximate fair value due to their short-term maturities.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7. Contingent Consideration</w:t>
      </w:r>
    </w:p>
    <w:p>
      <w:pPr>
        <w:pStyle w:val="TextBody"/>
        <w:bidi w:val="0"/>
        <w:spacing w:lineRule="auto" w:line="276"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contingent consideration liabilities (dollars in thousands):</w:t>
      </w:r>
    </w:p>
    <w:tbl>
      <w:tblPr>
        <w:tblW w:w="9550" w:type="dxa"/>
        <w:jc w:val="left"/>
        <w:tblInd w:w="0" w:type="dxa"/>
        <w:tblLayout w:type="fixed"/>
        <w:tblCellMar>
          <w:top w:w="28" w:type="dxa"/>
          <w:left w:w="28" w:type="dxa"/>
          <w:bottom w:w="28" w:type="dxa"/>
          <w:right w:w="28" w:type="dxa"/>
        </w:tblCellMar>
      </w:tblPr>
      <w:tblGrid>
        <w:gridCol w:w="2221"/>
        <w:gridCol w:w="1954"/>
        <w:gridCol w:w="1959"/>
        <w:gridCol w:w="313"/>
        <w:gridCol w:w="1070"/>
        <w:gridCol w:w="161"/>
        <w:gridCol w:w="109"/>
        <w:gridCol w:w="109"/>
        <w:gridCol w:w="109"/>
        <w:gridCol w:w="300"/>
        <w:gridCol w:w="1026"/>
        <w:gridCol w:w="219"/>
      </w:tblGrid>
      <w:tr>
        <w:trPr/>
        <w:tc>
          <w:tcPr>
            <w:tcW w:w="2221"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under the following captions in the consolidated balance sheets:</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current portion</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long-term</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The Company's contingent consideration liabilities are related to the USWM Acquisition in 2020, the Adamas Acquisition in 2021, and the Sage Acquisition in 2025. The contingent consideration liabilities are measured at fair value using either a Monte Carlo simulation or the income approach. The Company classifies contingent consideration liabilities as Level 3 fair value measurements in the period where significant unobservable inputs were used to estimate fair value. These reflect the inputs and assumptions the Company believes would be made by market participants. Changes in any of those inputs together or in isolation may result in significantly lower or higher fair value measurement. The change in fair value is reported on the condensed consolidated statement of earnings (loss) in </w:t>
      </w:r>
      <w:r>
        <w:rPr>
          <w:rFonts w:ascii="Times New Roman;serif" w:hAnsi="Times New Roman;serif"/>
          <w:b w:val="false"/>
          <w:i/>
          <w:color w:val="000000"/>
          <w:sz w:val="20"/>
        </w:rPr>
        <w:t>Contingent consideration loss (gain)</w:t>
      </w:r>
      <w:r>
        <w:rPr>
          <w:rFonts w:ascii="Times New Roman;serif" w:hAnsi="Times New Roman;serif"/>
          <w:b w:val="false"/>
          <w:color w:val="000000"/>
          <w:sz w:val="20"/>
        </w:rPr>
        <w:t>.</w:t>
      </w:r>
    </w:p>
    <w:p>
      <w:pPr>
        <w:pStyle w:val="TextBody"/>
        <w:bidi w:val="0"/>
        <w:spacing w:lineRule="auto" w:line="288" w:before="200" w:after="200"/>
        <w:jc w:val="left"/>
        <w:rPr/>
      </w:pPr>
      <w:r>
        <w:rPr>
          <w:rFonts w:ascii="Times New Roman;serif" w:hAnsi="Times New Roman;serif"/>
          <w:b w:val="false"/>
          <w:i/>
          <w:color w:val="000000"/>
          <w:sz w:val="20"/>
        </w:rPr>
        <w:t>USWM Contingent Consideration</w:t>
      </w:r>
      <w:r>
        <w:rPr>
          <w:color w:val="000000"/>
        </w:rPr>
        <w:t xml:space="preserve">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9, 2020 (the USWM Closing Date), the Company completed its acquisition of all the outstanding equity of USWM Enterprises, LLC (USWM Enterprises) (USWM Acquisition). The USWM Acquisition included potential additional contingent consideration payments for regulatory and development milestones and sales-based milestones. At December 31, 2024, there were two remaining outstanding milestones, one related to the approval of ONAPGO and the other related to the commercial launch of ONAPGO. Both milestones were met in 2025 and the liability was accreted to the milestone amounts due resulting in the recognition of $7.7 million change in fair value of contingent consideration during 2025. In February 2025, the Company paid the $25 million milestone related to the FDA's approval of ONAPGO in February 2025. ONAPGO was launched in April 2025 and the $30 million milestone payment related to the commercial launch of ONAPGO, subject to certain holdbacks as permitted under the Sale and Purchase Agreement Relating to USWM Enterprises, LLC, dated April 28, 2020, by and between US WorldMeds Partners, LLC and Supernus Pharmaceuticals, Inc., (USWM Sale and Purchase Agreement) became due and payable. Of the $30 million, the Company paid $2.3 million in the second quarter and the remaining amount held was reclassified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pPr>
      <w:r>
        <w:rPr>
          <w:rFonts w:ascii="Times New Roman;serif" w:hAnsi="Times New Roman;serif"/>
          <w:b w:val="false"/>
          <w:color w:val="000000"/>
          <w:sz w:val="20"/>
        </w:rPr>
        <w:t xml:space="preserve">to </w:t>
      </w:r>
      <w:r>
        <w:rPr>
          <w:rFonts w:ascii="Times New Roman;serif" w:hAnsi="Times New Roman;serif"/>
          <w:b w:val="false"/>
          <w:i/>
          <w:color w:val="000000"/>
          <w:sz w:val="20"/>
        </w:rPr>
        <w:t xml:space="preserve">Other current liabilities </w:t>
      </w:r>
      <w:r>
        <w:rPr>
          <w:rFonts w:ascii="Times New Roman;serif" w:hAnsi="Times New Roman;serif"/>
          <w:b w:val="false"/>
          <w:color w:val="000000"/>
          <w:sz w:val="20"/>
        </w:rPr>
        <w:t>in the condensed consolidated balance sheet in the second quarter of 2025 as the milestone had been met but payment remains subject to certain holdbacks permitted under the USWM Sale and Purchase Agreement. The Company paid $1.9 million in the third quarter of 2025. The outstanding liability as of September 30, 2025 was $25.8 million, which included the principal amount held back and the interest. During the third quarter of 2025, USWorldsMeds Partners, LLC filed a complaint in the Superior Court of the State of Delaware seeking payment for the withheld amount, plus interest, attorney's fees and costs.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Adamas Contingent Consideration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24, 2021 (the Adamas Closing Date), the Company completed its acquisition of all the outstanding equity of Adamas (Adamas Acquisition). The Adamas Acquisition included payment of two non-tradable contingent value rights (Adamas CVRs) each of which represents the contractual right to receive a contingent payment upon the achievement of the applicable aggregate worldwide net product sales of GOCOVRI.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Adamas CVR represents the contractual right to receive a contingent payment of $0.50 per share in cash, less any applicable withholding taxes and without interest, upon the achievement of the applicable milestone (each such amount, a Milestone Payment) in accordance with the terms of a Contingent Value Rights Agreement entered into between the Company and American Stock Transfer &amp; Trust Company, LLC, as rights agent, as further defined in the Adamas CVR agreement. Achievement of the first milestone did not occur, and accordingly the first Milestone Payment did not become payable. As of September 30, 2025, only one of the Adamas CVRs remain. The remaining Milestone Payment is payable (subject to certain terms and conditions) upon the first occurrence of the achievement of aggregate worldwide net sales of GOCOVRI in excess of $225 million during any consecutive 12-month period ending on or before December 31, 2025 (2025 Milestone). The 2025 Milestone may only be achieved once.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possible outcomes for the remaining 2025 Milestone contingent consideration is $0 or $25 million on an undiscounted basis. As of September 30, 2025, the probability of achievement of the 2025 Milestone is remote. The fair value of the contingent consideration liability related to the 2025 Milestone was $0 as of September 30, 2025 and December 31, 2024. The Company classified the contingent consideration liability as Level 3 fair value measurements as of September 30, 2025 and December 31, 2024.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key assumptions considered in estimating the fair value of the Adamas sales-based milestones include the estimated revenue projections and probability of achievement of milestone. </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Sage Contingent Consideration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31, 2025, the Company completed the Sage Acquisition. The Sage Acquisition included payment of one contingent value right (Sage CVR) which represents the right to receive up to $3.50, which is governed by the terms of a contingent value rights agreement entered into between the Company and CVR Agent (Sage CVR Agreement), in cash, less any applicable withholding taxes and without interest.</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Subject to the terms of the Sage CVR Agreement, (1) $1.00 per share would be payable if in any calendar year between closing and end of 2027, annual net sales (as defined in the Sage CVR Agreement) of ZURZUVAE allocable to Supernus or any of its affiliates reach $250 million or more in the U.S., (2) $1.00 per share would be payable if in any calendar year between closing and end of 2028, annual net sales (as defined in the Sage CVR Agreement) of ZURZUVAE allocable to Supernus or any of its affiliates reach $300 million or more in the U.S., (3) $1.00 per share would be payable if in any calendar year between closing and end of 2030, annual net sales (as defined in the Sage CVR Agreement) of ZURZUVAE allocable to Supernus or any of its affiliates reach $375 million or more in the U.S., and (4) $0.50 per share would be payable upon the first commercial sale in Japan to a third-party customer after regulatory approval for ZURZUVAE for the treatment of major depressive disorder (MDD) in Japan by June 30, 2026. The maximum amount payable with respect to a CVR issued in respect to each Share is $3.50, an aggregate of approximately $234 million. See Note 3, </w:t>
      </w:r>
      <w:r>
        <w:rPr>
          <w:rFonts w:ascii="Times New Roman;serif" w:hAnsi="Times New Roman;serif"/>
          <w:b w:val="false"/>
          <w:i/>
          <w:color w:val="000000"/>
          <w:sz w:val="20"/>
        </w:rPr>
        <w:t>Sage Acquisition,</w:t>
      </w:r>
      <w:r>
        <w:rPr>
          <w:color w:val="000000"/>
        </w:rPr>
        <w:t xml:space="preserve"> </w:t>
      </w:r>
      <w:r>
        <w:rPr>
          <w:rFonts w:ascii="Times New Roman;serif" w:hAnsi="Times New Roman;serif"/>
          <w:b w:val="false"/>
          <w:color w:val="000000"/>
          <w:sz w:val="20"/>
        </w:rPr>
        <w:t>for the key assumptions used in the valuation of the contingent consideration liability related to the Sage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Change in the Fair Value of Contingent Consideration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 reconciliation of the beginning and ending balances related to the contingent consideration liability for the USWM Acquisition, Adamas Acquisition, and Sage Acquisition (dollars in thousands):</w:t>
      </w:r>
    </w:p>
    <w:tbl>
      <w:tblPr>
        <w:tblW w:w="10137" w:type="dxa"/>
        <w:jc w:val="left"/>
        <w:tblInd w:w="0" w:type="dxa"/>
        <w:tblLayout w:type="fixed"/>
        <w:tblCellMar>
          <w:top w:w="28" w:type="dxa"/>
          <w:left w:w="28" w:type="dxa"/>
          <w:bottom w:w="28" w:type="dxa"/>
          <w:right w:w="28" w:type="dxa"/>
        </w:tblCellMar>
      </w:tblPr>
      <w:tblGrid>
        <w:gridCol w:w="1471"/>
        <w:gridCol w:w="1293"/>
        <w:gridCol w:w="1300"/>
        <w:gridCol w:w="301"/>
        <w:gridCol w:w="1029"/>
        <w:gridCol w:w="155"/>
        <w:gridCol w:w="109"/>
        <w:gridCol w:w="109"/>
        <w:gridCol w:w="109"/>
        <w:gridCol w:w="448"/>
        <w:gridCol w:w="864"/>
        <w:gridCol w:w="232"/>
        <w:gridCol w:w="109"/>
        <w:gridCol w:w="109"/>
        <w:gridCol w:w="109"/>
        <w:gridCol w:w="264"/>
        <w:gridCol w:w="904"/>
        <w:gridCol w:w="136"/>
        <w:gridCol w:w="211"/>
        <w:gridCol w:w="721"/>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USWM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Adamas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Sage Acquisition</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 from Sage Acquisition</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recognized in earnings</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payments through June 30, 2025</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Reclassification to </w:t>
            </w:r>
            <w:r>
              <w:rPr>
                <w:rFonts w:ascii="Times New Roman;serif" w:hAnsi="Times New Roman;serif"/>
                <w:b w:val="false"/>
                <w:i/>
                <w:color w:val="000000"/>
                <w:sz w:val="20"/>
              </w:rPr>
              <w:t>Other Current Liabilities</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 (unaudited)</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As aforementioned, the remaining liability as of June 30, 2025 for the contingent consideration related to the USWM Acquisition was reclassified to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 xml:space="preserve">in the second quarter of 2025. Thereafter, the Company made an additional milestone payment of $1.9 million in the third quarter of 2025. </w:t>
      </w:r>
    </w:p>
    <w:tbl>
      <w:tblPr>
        <w:tblW w:w="8430" w:type="dxa"/>
        <w:jc w:val="left"/>
        <w:tblInd w:w="0" w:type="dxa"/>
        <w:tblLayout w:type="fixed"/>
        <w:tblCellMar>
          <w:top w:w="28" w:type="dxa"/>
          <w:left w:w="28" w:type="dxa"/>
          <w:bottom w:w="28" w:type="dxa"/>
          <w:right w:w="28" w:type="dxa"/>
        </w:tblCellMar>
      </w:tblPr>
      <w:tblGrid>
        <w:gridCol w:w="1325"/>
        <w:gridCol w:w="1164"/>
        <w:gridCol w:w="1171"/>
        <w:gridCol w:w="301"/>
        <w:gridCol w:w="1029"/>
        <w:gridCol w:w="155"/>
        <w:gridCol w:w="109"/>
        <w:gridCol w:w="109"/>
        <w:gridCol w:w="109"/>
        <w:gridCol w:w="348"/>
        <w:gridCol w:w="1017"/>
        <w:gridCol w:w="180"/>
        <w:gridCol w:w="109"/>
        <w:gridCol w:w="109"/>
        <w:gridCol w:w="109"/>
        <w:gridCol w:w="211"/>
        <w:gridCol w:w="721"/>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USWM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Adamas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recognized in earnings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 (unaudited)</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changes in fair value of the contingent consideration liability for the USWM milestones:</w:t>
      </w:r>
    </w:p>
    <w:p>
      <w:pPr>
        <w:pStyle w:val="TextBody"/>
        <w:bidi w:val="0"/>
        <w:spacing w:lineRule="auto" w:line="276" w:before="200" w:after="200"/>
        <w:ind w:left="0" w:right="0" w:firstLine="360"/>
        <w:jc w:val="left"/>
        <w:rPr/>
      </w:pPr>
      <w:r>
        <w:rPr>
          <w:color w:val="000000"/>
        </w:rPr>
        <w:t>•</w:t>
      </w:r>
      <w:r>
        <w:rPr>
          <w:rFonts w:ascii="Times New Roman;serif" w:hAnsi="Times New Roman;serif"/>
          <w:b w:val="false"/>
          <w:color w:val="000000"/>
          <w:sz w:val="20"/>
        </w:rPr>
        <w:t xml:space="preserve">The Company recorded a $7.7 million expense due to the change in fair value of contingent consideration liabilities for the USWM milestones for the nine months ended September 30, 2025. No expense was recorded during the three months ended September 30, 2025. The Company recorded a $1.3 million expense and a $0.1 million expense due to the change in the fair value of the contingent consideration liabilities for the USWM milestones for the three and nine months ended September 30, 2024, respectively. The change in fair value of contingent consideration was primarily due to accretion to the full milestone payment amount with the achievement of the milestones. ONAPGO was approved by the FDA in February 2025 and was launched in April 2025. </w:t>
      </w:r>
    </w:p>
    <w:p>
      <w:pPr>
        <w:pStyle w:val="TextBody"/>
        <w:bidi w:val="0"/>
        <w:spacing w:lineRule="auto" w:line="276"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changes in fair value of the contingent consideration liabilities for the Adamas CVRs:</w:t>
      </w:r>
    </w:p>
    <w:p>
      <w:pPr>
        <w:pStyle w:val="TextBody"/>
        <w:bidi w:val="0"/>
        <w:spacing w:lineRule="auto" w:line="288" w:before="200" w:after="200"/>
        <w:ind w:left="0" w:right="0" w:firstLine="360"/>
        <w:jc w:val="left"/>
        <w:rPr/>
      </w:pPr>
      <w:r>
        <w:rPr>
          <w:color w:val="000000"/>
        </w:rPr>
        <w:t>•</w:t>
      </w:r>
      <w:r>
        <w:rPr>
          <w:rFonts w:ascii="Times New Roman;serif" w:hAnsi="Times New Roman;serif"/>
          <w:b w:val="false"/>
          <w:color w:val="000000"/>
          <w:sz w:val="20"/>
        </w:rPr>
        <w:t xml:space="preserve">The Company recorded a $2.3 million gain and a $6.6 million gain due to the change in fair value of the contingent consideration liabilities for the Adamas CVRs for the three and nine months ended September 30, 2024, respectively. The change in fair value of contingent consideration was primarily due to passage of time.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changes in the fair value of contingent consideration liability for the Sage CVRs:</w:t>
      </w:r>
    </w:p>
    <w:p>
      <w:pPr>
        <w:pStyle w:val="TextBody"/>
        <w:bidi w:val="0"/>
        <w:spacing w:lineRule="auto" w:line="288" w:before="200" w:after="200"/>
        <w:ind w:left="0" w:right="0" w:firstLine="360"/>
        <w:jc w:val="left"/>
        <w:rPr/>
      </w:pPr>
      <w:r>
        <w:rPr>
          <w:color w:val="000000"/>
        </w:rPr>
        <w:t>•</w:t>
      </w:r>
      <w:r>
        <w:rPr>
          <w:rFonts w:ascii="Times New Roman;serif" w:hAnsi="Times New Roman;serif"/>
          <w:b w:val="false"/>
          <w:color w:val="000000"/>
          <w:sz w:val="20"/>
        </w:rPr>
        <w:t>The Company recorded a contingent consideration liability of $11.4 million at Sage Closing Date. No change in fair value was recorded during the three and nine months ended September 30, 2025 given the proximity of the Sage Acquisition to the reporting period end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8.    Goodwill and Intangible Assets, Net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gross carrying amounts of goodwill (dollars in thousands):</w:t>
      </w:r>
    </w:p>
    <w:tbl>
      <w:tblPr>
        <w:tblW w:w="5045" w:type="dxa"/>
        <w:jc w:val="left"/>
        <w:tblInd w:w="0" w:type="dxa"/>
        <w:tblLayout w:type="fixed"/>
        <w:tblCellMar>
          <w:top w:w="28" w:type="dxa"/>
          <w:left w:w="28" w:type="dxa"/>
          <w:bottom w:w="28" w:type="dxa"/>
          <w:right w:w="28" w:type="dxa"/>
        </w:tblCellMar>
      </w:tblPr>
      <w:tblGrid>
        <w:gridCol w:w="1396"/>
        <w:gridCol w:w="1225"/>
        <w:gridCol w:w="1233"/>
        <w:gridCol w:w="211"/>
        <w:gridCol w:w="82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from Sage Acquisition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 (unaudited)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The increase in goodwill is from the Sage Acquisition. See Note 3, </w:t>
      </w:r>
      <w:r>
        <w:rPr>
          <w:rFonts w:ascii="Times New Roman;serif" w:hAnsi="Times New Roman;serif"/>
          <w:b w:val="false"/>
          <w:i/>
          <w:color w:val="000000"/>
          <w:sz w:val="20"/>
        </w:rPr>
        <w:t>Sage Acquisition</w:t>
      </w:r>
      <w:r>
        <w:rPr>
          <w:rFonts w:ascii="Times New Roman;serif" w:hAnsi="Times New Roman;serif"/>
          <w:b w:val="false"/>
          <w:color w:val="000000"/>
          <w:sz w:val="20"/>
        </w:rPr>
        <w:t xml:space="preserve">, for further discussion.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gross carrying amounts and related accumulated amortization of intangible assets (dollars in thousands):</w:t>
      </w:r>
    </w:p>
    <w:tbl>
      <w:tblPr>
        <w:tblW w:w="11150" w:type="dxa"/>
        <w:jc w:val="left"/>
        <w:tblInd w:w="0" w:type="dxa"/>
        <w:tblLayout w:type="fixed"/>
        <w:tblCellMar>
          <w:top w:w="28" w:type="dxa"/>
          <w:left w:w="28" w:type="dxa"/>
          <w:bottom w:w="28" w:type="dxa"/>
          <w:right w:w="28" w:type="dxa"/>
        </w:tblCellMar>
      </w:tblPr>
      <w:tblGrid>
        <w:gridCol w:w="430"/>
        <w:gridCol w:w="377"/>
        <w:gridCol w:w="379"/>
        <w:gridCol w:w="350"/>
        <w:gridCol w:w="350"/>
        <w:gridCol w:w="351"/>
        <w:gridCol w:w="109"/>
        <w:gridCol w:w="109"/>
        <w:gridCol w:w="109"/>
        <w:gridCol w:w="211"/>
        <w:gridCol w:w="826"/>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Weighted</w:t>
              <w:br/>
              <w:t>Average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Net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developed technology and product rights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patent defense costs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995,631 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intangible assets was $24.3 million and $64.9 million for the three and nine months ended September 30, 2025, and $19.5 million and $59.7 million for the three and nine months ended September 30, 2024, respectively.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the FDA approved ONAPGO and as such, the research and development efforts for the Company's acquired in-process research and development asset is considered complete. As of the FDA approval date, the ONAPGO intangible asset is a definite-life intangible asset subject to amortization and has a useful life of 10 years.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In July 2025, the Company acquired ZURZUVAE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(zuranolone), the first and only FDA-approved oral medicine indicated for the treatment of PPD in adults. The ZURZUVAE intangible asset is a definite-lived intangible asset subject to amortization and has a useful life of 8 years.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 patents covering Trokendi XR and Oxtellar XR will expire no earlier than 2027. The Company entered into settlement agreements that allowed third parties to enter the Trokendi XR market on January 1, 2023. The Company entered into settlement and license agreements that allowed a third party to enter the Oxtellar XR market in September 2024.</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entered into settlement and license agreements that allows third parties to enter the XADAGO market in December 2027, or sooner under certain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Uncommitted Demand Secured Line of Credit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8, 2023, the Company entered into a credit line agreement with UBS (the Credit Line). The Credit Line provides for a revolving line of credit of up to $150 million, which can be drawn at any time. Any fixed rate borrowing will bear interest at a fixed interest rate, equal to the sum of (i) the UBS Fixed Funding Rate (as defined in the Credit Line) plus (ii) the applicable Percentage Spread established in the Credit Line. Any variable rate borrowing will bear interest at a variable interest rate, equal to the sum of (i) the UBS Variable Rate (as defined in the Credit Line) plus (ii) the applicable Percentage Spread established in the Credit Line.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Line is secured by a first priority lien and security interest in certain of the Company's assets, including each account of the Company at UBS Financial Services Inc. (the Collateral Account), and other such collateral (collectively, the Collateral), as further defined in the Credit Line. The Company may be required to post additional collateral if the value of the Collateral declines below the required collateral maintenance requirements.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certain customary events of default, all amounts due under the Credit Line will become immediately due and payable without demand, and UBS has the right, in its discretion, to liquidate, transfer, withdraw or sell all or any part of the Collateral and apply the proceeds to repay any borrowings pursuant to the Credit Line.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the right to repay any variable rate advance under the Credit Line at any time, in whole or in part, without penalty. The Company may repay any fixed rate advance in whole, but may not repay any fixed rate advance in part.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its discretion and without cause, UBS has the right at any time to demand full or partial payment of amounts borrowed pursuant to the Credit Line and terminate the Credit Line.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there was no outstanding debt under the Credit Line.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10.    Share-Based Payments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is as follows (dollars in thousands):</w:t>
      </w:r>
    </w:p>
    <w:tbl>
      <w:tblPr>
        <w:tblW w:w="8205" w:type="dxa"/>
        <w:jc w:val="left"/>
        <w:tblInd w:w="0" w:type="dxa"/>
        <w:tblLayout w:type="fixed"/>
        <w:tblCellMar>
          <w:top w:w="28" w:type="dxa"/>
          <w:left w:w="28" w:type="dxa"/>
          <w:bottom w:w="28" w:type="dxa"/>
          <w:right w:w="28" w:type="dxa"/>
        </w:tblCellMar>
      </w:tblPr>
      <w:tblGrid>
        <w:gridCol w:w="1131"/>
        <w:gridCol w:w="992"/>
        <w:gridCol w:w="997"/>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Includes $22.9 million of compensation expense related to the acceleration of certain Sage equity awards in connection with the Sage Acquisition in July 2025</w:t>
      </w:r>
      <w:r>
        <w:rPr>
          <w:rFonts w:ascii="Times New Roman;serif" w:hAnsi="Times New Roman;serif"/>
          <w:b w:val="false"/>
          <w:i/>
          <w:color w:val="000000"/>
          <w:sz w:val="20"/>
        </w:rPr>
        <w:t xml:space="preserve">. </w:t>
      </w:r>
      <w:r>
        <w:rPr>
          <w:rFonts w:ascii="Times New Roman;serif" w:hAnsi="Times New Roman;serif"/>
          <w:b w:val="false"/>
          <w:color w:val="000000"/>
          <w:sz w:val="20"/>
        </w:rPr>
        <w:t>The Company has $14.4 million of unrecognized compensation expense related to CVRs granted to holders of the accelerated Sage equity awards. This unrecognized compensation expense will be recognized if and when the milestones associated with the CVRs become probable of achievement.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 Option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activities:</w:t>
      </w:r>
    </w:p>
    <w:tbl>
      <w:tblPr>
        <w:tblW w:w="8225" w:type="dxa"/>
        <w:jc w:val="left"/>
        <w:tblInd w:w="0" w:type="dxa"/>
        <w:tblLayout w:type="fixed"/>
        <w:tblCellMar>
          <w:top w:w="28" w:type="dxa"/>
          <w:left w:w="28" w:type="dxa"/>
          <w:bottom w:w="28" w:type="dxa"/>
          <w:right w:w="28" w:type="dxa"/>
        </w:tblCellMar>
      </w:tblPr>
      <w:tblGrid>
        <w:gridCol w:w="1385"/>
        <w:gridCol w:w="1219"/>
        <w:gridCol w:w="1221"/>
        <w:gridCol w:w="524"/>
        <w:gridCol w:w="526"/>
        <w:gridCol w:w="296"/>
        <w:gridCol w:w="109"/>
        <w:gridCol w:w="109"/>
        <w:gridCol w:w="109"/>
        <w:gridCol w:w="253"/>
        <w:gridCol w:w="741"/>
        <w:gridCol w:w="132"/>
        <w:gridCol w:w="109"/>
        <w:gridCol w:w="109"/>
        <w:gridCol w:w="109"/>
        <w:gridCol w:w="373"/>
        <w:gridCol w:w="373"/>
        <w:gridCol w:w="528"/>
      </w:tblGrid>
      <w:tr>
        <w:trPr/>
        <w:tc>
          <w:tcPr>
            <w:tcW w:w="138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(in years)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2024</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6,719,073 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1,101,645 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Exercised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(1,171,953)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Forfeited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(128,117)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September 30, 2025 (unaudited)</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6,520,648 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(unaudited):</w:t>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6,520,648 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Exercisable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3,857,789 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2024:</w:t>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6,719,073 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4,137,283 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bl>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(RSU) activities:</w:t>
      </w:r>
    </w:p>
    <w:tbl>
      <w:tblPr>
        <w:tblW w:w="7776" w:type="dxa"/>
        <w:jc w:val="left"/>
        <w:tblInd w:w="0" w:type="dxa"/>
        <w:tblLayout w:type="fixed"/>
        <w:tblCellMar>
          <w:top w:w="28" w:type="dxa"/>
          <w:left w:w="28" w:type="dxa"/>
          <w:bottom w:w="28" w:type="dxa"/>
          <w:right w:w="28" w:type="dxa"/>
        </w:tblCellMar>
      </w:tblPr>
      <w:tblGrid>
        <w:gridCol w:w="1335"/>
        <w:gridCol w:w="1176"/>
        <w:gridCol w:w="1178"/>
        <w:gridCol w:w="449"/>
        <w:gridCol w:w="451"/>
        <w:gridCol w:w="296"/>
        <w:gridCol w:w="109"/>
        <w:gridCol w:w="109"/>
        <w:gridCol w:w="109"/>
        <w:gridCol w:w="551"/>
        <w:gridCol w:w="1611"/>
        <w:gridCol w:w="402"/>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Grant Date Fair Value per Share</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December 31, 2024</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378,165 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172,725 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(137,923)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September 30, 2025 (unaudited)</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397,543 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Performance Share Units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performance share unit (PSU) activities:</w:t>
      </w:r>
    </w:p>
    <w:tbl>
      <w:tblPr>
        <w:tblW w:w="10205" w:type="dxa"/>
        <w:jc w:val="left"/>
        <w:tblInd w:w="0" w:type="dxa"/>
        <w:tblLayout w:type="fixed"/>
        <w:tblCellMar>
          <w:top w:w="28" w:type="dxa"/>
          <w:left w:w="28" w:type="dxa"/>
          <w:bottom w:w="28" w:type="dxa"/>
          <w:right w:w="28" w:type="dxa"/>
        </w:tblCellMar>
      </w:tblPr>
      <w:tblGrid>
        <w:gridCol w:w="555"/>
        <w:gridCol w:w="489"/>
        <w:gridCol w:w="490"/>
        <w:gridCol w:w="437"/>
        <w:gridCol w:w="415"/>
        <w:gridCol w:w="269"/>
        <w:gridCol w:w="113"/>
        <w:gridCol w:w="113"/>
        <w:gridCol w:w="113"/>
        <w:gridCol w:w="278"/>
        <w:gridCol w:w="812"/>
        <w:gridCol w:w="143"/>
        <w:gridCol w:w="109"/>
        <w:gridCol w:w="109"/>
        <w:gridCol w:w="109"/>
        <w:gridCol w:w="434"/>
        <w:gridCol w:w="326"/>
        <w:gridCol w:w="269"/>
        <w:gridCol w:w="109"/>
        <w:gridCol w:w="109"/>
        <w:gridCol w:w="109"/>
        <w:gridCol w:w="278"/>
        <w:gridCol w:w="812"/>
        <w:gridCol w:w="143"/>
        <w:gridCol w:w="109"/>
        <w:gridCol w:w="109"/>
        <w:gridCol w:w="109"/>
        <w:gridCol w:w="437"/>
        <w:gridCol w:w="415"/>
        <w:gridCol w:w="269"/>
        <w:gridCol w:w="109"/>
        <w:gridCol w:w="109"/>
        <w:gridCol w:w="109"/>
        <w:gridCol w:w="275"/>
        <w:gridCol w:w="803"/>
        <w:gridCol w:w="209"/>
      </w:tblGrid>
      <w:tr>
        <w:trPr/>
        <w:tc>
          <w:tcPr>
            <w:tcW w:w="55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Performance-Based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Market-Based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PSUs </w:t>
            </w:r>
          </w:p>
        </w:tc>
      </w:tr>
      <w:tr>
        <w:trPr/>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PSUs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 per Share</w:t>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December 31, 2024</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324,685 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344,685 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246,496 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246,496 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(138,510)</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(158,510)</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(38,800)</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(38,800)</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September 30, 2025 (unaudited)</w:t>
            </w:r>
          </w:p>
        </w:tc>
        <w:tc>
          <w:tcPr>
            <w:tcW w:w="11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393,871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11.    Earnings (Loss) per Share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for the three and nine months ended September 30, 2025 and 2024 (dollars in thousands, except share and per share amounts):</w:t>
      </w:r>
    </w:p>
    <w:tbl>
      <w:tblPr>
        <w:tblW w:w="9611" w:type="dxa"/>
        <w:jc w:val="left"/>
        <w:tblInd w:w="0" w:type="dxa"/>
        <w:tblLayout w:type="fixed"/>
        <w:tblCellMar>
          <w:top w:w="28" w:type="dxa"/>
          <w:left w:w="28" w:type="dxa"/>
          <w:bottom w:w="28" w:type="dxa"/>
          <w:right w:w="28" w:type="dxa"/>
        </w:tblCellMar>
      </w:tblPr>
      <w:tblGrid>
        <w:gridCol w:w="1385"/>
        <w:gridCol w:w="1216"/>
        <w:gridCol w:w="1224"/>
        <w:gridCol w:w="240"/>
        <w:gridCol w:w="841"/>
        <w:gridCol w:w="109"/>
        <w:gridCol w:w="109"/>
        <w:gridCol w:w="109"/>
        <w:gridCol w:w="109"/>
        <w:gridCol w:w="244"/>
        <w:gridCol w:w="837"/>
        <w:gridCol w:w="109"/>
        <w:gridCol w:w="109"/>
        <w:gridCol w:w="109"/>
        <w:gridCol w:w="109"/>
        <w:gridCol w:w="240"/>
        <w:gridCol w:w="841"/>
        <w:gridCol w:w="109"/>
        <w:gridCol w:w="109"/>
        <w:gridCol w:w="109"/>
        <w:gridCol w:w="109"/>
        <w:gridCol w:w="244"/>
        <w:gridCol w:w="837"/>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55,149,760 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54,977,199 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stock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56,552,741 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56,016,350 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56,133,918 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55,791,185 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basic</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diluted</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common stock equivalents of outstanding stock-based awards excluded in the calculation of diluted earnings (loss) per share, because their inclusion would be anti-dilutive:</w:t>
      </w:r>
    </w:p>
    <w:tbl>
      <w:tblPr>
        <w:tblW w:w="8085" w:type="dxa"/>
        <w:jc w:val="left"/>
        <w:tblInd w:w="0" w:type="dxa"/>
        <w:tblLayout w:type="fixed"/>
        <w:tblCellMar>
          <w:top w:w="28" w:type="dxa"/>
          <w:left w:w="28" w:type="dxa"/>
          <w:bottom w:w="28" w:type="dxa"/>
          <w:right w:w="28" w:type="dxa"/>
        </w:tblCellMar>
      </w:tblPr>
      <w:tblGrid>
        <w:gridCol w:w="965"/>
        <w:gridCol w:w="849"/>
        <w:gridCol w:w="856"/>
        <w:gridCol w:w="413"/>
        <w:gridCol w:w="413"/>
        <w:gridCol w:w="178"/>
        <w:gridCol w:w="178"/>
        <w:gridCol w:w="178"/>
        <w:gridCol w:w="178"/>
        <w:gridCol w:w="413"/>
        <w:gridCol w:w="413"/>
        <w:gridCol w:w="178"/>
        <w:gridCol w:w="109"/>
        <w:gridCol w:w="109"/>
        <w:gridCol w:w="109"/>
        <w:gridCol w:w="413"/>
        <w:gridCol w:w="413"/>
        <w:gridCol w:w="165"/>
        <w:gridCol w:w="165"/>
        <w:gridCol w:w="165"/>
        <w:gridCol w:w="165"/>
        <w:gridCol w:w="413"/>
        <w:gridCol w:w="413"/>
        <w:gridCol w:w="234"/>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stock awards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647,044 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712,457 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743,145 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772,255 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12.    Income Tax Expense (Benefit)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Company's income tax expense (benefit) for the three and nine months ended September 30, 2025 and 2024 (dollars in thousands):</w:t>
      </w:r>
    </w:p>
    <w:tbl>
      <w:tblPr>
        <w:tblW w:w="8342" w:type="dxa"/>
        <w:jc w:val="left"/>
        <w:tblInd w:w="0" w:type="dxa"/>
        <w:tblLayout w:type="fixed"/>
        <w:tblCellMar>
          <w:top w:w="28" w:type="dxa"/>
          <w:left w:w="28" w:type="dxa"/>
          <w:bottom w:w="28" w:type="dxa"/>
          <w:right w:w="28" w:type="dxa"/>
        </w:tblCellMar>
      </w:tblPr>
      <w:tblGrid>
        <w:gridCol w:w="891"/>
        <w:gridCol w:w="781"/>
        <w:gridCol w:w="787"/>
        <w:gridCol w:w="211"/>
        <w:gridCol w:w="796"/>
        <w:gridCol w:w="271"/>
        <w:gridCol w:w="109"/>
        <w:gridCol w:w="109"/>
        <w:gridCol w:w="109"/>
        <w:gridCol w:w="211"/>
        <w:gridCol w:w="616"/>
        <w:gridCol w:w="271"/>
        <w:gridCol w:w="109"/>
        <w:gridCol w:w="109"/>
        <w:gridCol w:w="109"/>
        <w:gridCol w:w="211"/>
        <w:gridCol w:w="796"/>
        <w:gridCol w:w="271"/>
        <w:gridCol w:w="109"/>
        <w:gridCol w:w="109"/>
        <w:gridCol w:w="109"/>
        <w:gridCol w:w="211"/>
        <w:gridCol w:w="721"/>
        <w:gridCol w:w="316"/>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was $12.8 million (22.2% effective tax rate) and $12.7 million (26.9% effective tax rate) for the three and nine months ended September 30, 2025, as compared to an income tax expense of $6.4 million (14.3% effective tax rate) and $13.0 million (18.1% effective tax rate) for the three and nine months ended September 30, 2024. The change in income tax expense (benefit) in both periods was primarily due to decreased pre-tax book income for the three and nine months ended September 30, 2025, and higher forecasted earnings before taxes as compared to the same periods in 2024. The effective income tax rate for the three and nine months ended September 30, 2025 was higher compared to the same period in 2024 primarily due to a benefit for a state tax refund received in 2025 offset by costs related to the Sage Acquisition in July 2025.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rates for the three months ended September 30, 2025 varies from the statutory federal tax rate in the United States (U.S. federal tax rate) of 21% primarily due to state taxes and non-deductible transaction costs, offset by tax benefits related to research and development tax credits. The Company's effective income tax rates for the nine months ended September 30, 2025 varies from the statutory federal tax rate in the United States (U.S. federal tax rate) of 21% primarily due to state taxes and non-deductible transaction costs, offset by tax benefits related to a state tax refund and research and development tax credits. The Company's effective income tax rates for the three and nine months ended September 30, 2024 vary from the statutory U.S. federal tax rate primarily due to state taxes, offset by tax benefits related to research and development tax credits.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The annual forecasted earnings represent the Company's best estimate as of September 30, 2025 and 2024, are subject to change and could have a material impact on the effective tax rate in subsequent periods.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(ASC 740), requires the Company to estimate the annual effective income tax rate for the full year and apply it to pre-tax income (loss) for each interim period, taking into account year-to-date amounts and projected results for the full year.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H.R.1, also referred to as the One Big Beautiful Bill Act (OBBBA), was signed into law in the U.S. The OBBBA includes changes to U.S. federal tax law, including extending and modifying certain key Tax Cuts and Jobs Act of 2017 provisions, and provisions allowing accelerated tax deductions for qualified property and research expenditures. The Company is currently planning to continue recovering the unamortized balance of research and development expenditures as of December 31, 2024, over the original five and fifteen year period, and will begin currently expensing research and development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13.    Leases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assets and lease liabilities as reported on the condensed consolidated balance sheets are as follows (dollars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198"/>
        <w:gridCol w:w="1052"/>
        <w:gridCol w:w="1062"/>
        <w:gridCol w:w="1073"/>
        <w:gridCol w:w="1073"/>
        <w:gridCol w:w="1076"/>
        <w:gridCol w:w="109"/>
        <w:gridCol w:w="109"/>
        <w:gridCol w:w="109"/>
        <w:gridCol w:w="305"/>
        <w:gridCol w:w="1042"/>
        <w:gridCol w:w="156"/>
        <w:gridCol w:w="109"/>
        <w:gridCol w:w="109"/>
        <w:gridCol w:w="109"/>
        <w:gridCol w:w="293"/>
        <w:gridCol w:w="1002"/>
        <w:gridCol w:w="219"/>
      </w:tblGrid>
      <w:tr>
        <w:trPr/>
        <w:tc>
          <w:tcPr>
            <w:tcW w:w="119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assets</w:t>
            </w:r>
          </w:p>
        </w:tc>
        <w:tc>
          <w:tcPr>
            <w:tcW w:w="3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24,477 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 (dollars in thousands):</w:t>
      </w:r>
    </w:p>
    <w:tbl>
      <w:tblPr>
        <w:tblW w:w="6635" w:type="dxa"/>
        <w:jc w:val="left"/>
        <w:tblInd w:w="0" w:type="dxa"/>
        <w:tblLayout w:type="fixed"/>
        <w:tblCellMar>
          <w:top w:w="28" w:type="dxa"/>
          <w:left w:w="28" w:type="dxa"/>
          <w:bottom w:w="28" w:type="dxa"/>
          <w:right w:w="28" w:type="dxa"/>
        </w:tblCellMar>
      </w:tblPr>
      <w:tblGrid>
        <w:gridCol w:w="1395"/>
        <w:gridCol w:w="1227"/>
        <w:gridCol w:w="1232"/>
        <w:gridCol w:w="109"/>
        <w:gridCol w:w="109"/>
        <w:gridCol w:w="109"/>
        <w:gridCol w:w="211"/>
        <w:gridCol w:w="721"/>
        <w:gridCol w:w="109"/>
        <w:gridCol w:w="109"/>
        <w:gridCol w:w="109"/>
        <w:gridCol w:w="109"/>
        <w:gridCol w:w="211"/>
        <w:gridCol w:w="721"/>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assets obtained for new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Lease obtained from Sage Acquisition </w:t>
      </w:r>
    </w:p>
    <w:p>
      <w:pPr>
        <w:pStyle w:val="TextBody"/>
        <w:bidi w:val="0"/>
        <w:spacing w:lineRule="auto" w:line="276" w:before="200" w:after="283"/>
        <w:ind w:left="0" w:right="0" w:firstLine="720"/>
        <w:jc w:val="left"/>
        <w:rPr/>
      </w:pPr>
      <w:r>
        <w:rPr>
          <w:rFonts w:ascii="Times New Roman;serif" w:hAnsi="Times New Roman;serif"/>
          <w:b w:val="false"/>
          <w:color w:val="000000"/>
          <w:sz w:val="20"/>
        </w:rPr>
        <w:t xml:space="preserve">As part of the Sage Acquisition, the Company acquired a lease for office space located in a multi-tenant building located in Cambridge, Massachusetts and classified this as an operating lease. Sages's office space lease term continues through February 28, 2030. See Note 3, </w:t>
      </w:r>
      <w:r>
        <w:rPr>
          <w:rFonts w:ascii="Times New Roman;serif" w:hAnsi="Times New Roman;serif"/>
          <w:b w:val="false"/>
          <w:i/>
          <w:color w:val="000000"/>
          <w:sz w:val="20"/>
        </w:rPr>
        <w:t>Sage Acquisition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for the further discussion on the acquired lease asset and assumed lease liability.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color w:val="000000"/>
          <w:sz w:val="20"/>
        </w:rPr>
        <w:t>14</w:t>
      </w:r>
      <w:r>
        <w:rPr>
          <w:rFonts w:ascii="Times New Roman;serif" w:hAnsi="Times New Roman;serif"/>
          <w:b w:val="false"/>
          <w:color w:val="000000"/>
          <w:sz w:val="20"/>
        </w:rPr>
        <w:t xml:space="preserve">. </w:t>
      </w:r>
      <w:r>
        <w:rPr>
          <w:rFonts w:ascii="Times New Roman;serif" w:hAnsi="Times New Roman;serif"/>
          <w:b/>
          <w:color w:val="000000"/>
          <w:sz w:val="20"/>
        </w:rPr>
        <w:t xml:space="preserve">Segment Reporting </w:t>
      </w:r>
    </w:p>
    <w:p>
      <w:pPr>
        <w:pStyle w:val="TextBody"/>
        <w:bidi w:val="0"/>
        <w:spacing w:before="0" w:after="0"/>
        <w:ind w:left="0" w:right="0" w:firstLine="720"/>
        <w:jc w:val="left"/>
        <w:rPr/>
      </w:pPr>
      <w:r>
        <w:rPr/>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operates in one operating segment and therefore has only one reportable segment. The Company derives revenue primarily from sales of its commercial products in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chief executive officer. The Company manages the business activities on a consolidated basis. The CODM assesses performance of the Company, decides how to allocate resources based on net earnings (loss), which is reported in the condensed consolidated statement of earnings (loss) as net earnings (loss), and allocates resources on a consolidated basis. The CODM uses net earnings (loss) to decide whether to reinvest profits into the Company's current products or into other research and development initiatives for the Company's product candidates. Net earnings (loss) is also used to monitor budget versus actual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measure of the reportable segment assets is reported on the balance sheet as total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segment revenue, significant segment expenses and net earnings (loss) (dollars in thousands):</w:t>
      </w:r>
    </w:p>
    <w:tbl>
      <w:tblPr>
        <w:tblW w:w="9480" w:type="dxa"/>
        <w:jc w:val="left"/>
        <w:tblInd w:w="0" w:type="dxa"/>
        <w:tblLayout w:type="fixed"/>
        <w:tblCellMar>
          <w:top w:w="28" w:type="dxa"/>
          <w:left w:w="28" w:type="dxa"/>
          <w:bottom w:w="28" w:type="dxa"/>
          <w:right w:w="28" w:type="dxa"/>
        </w:tblCellMar>
      </w:tblPr>
      <w:tblGrid>
        <w:gridCol w:w="1400"/>
        <w:gridCol w:w="1231"/>
        <w:gridCol w:w="123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0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Significant segment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Acquisition-related expenses</w:t>
            </w:r>
            <w:r>
              <w:rPr>
                <w:rFonts w:ascii="Times New Roman;serif" w:hAnsi="Times New Roman;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p>
            <w:pPr>
              <w:pStyle w:val="TableContents"/>
              <w:bidi w:val="0"/>
              <w:spacing w:before="0" w:after="0"/>
              <w:jc w:val="left"/>
              <w:rPr/>
            </w:pPr>
            <w:r>
              <w:rPr/>
            </w:r>
          </w:p>
          <w:p>
            <w:pPr>
              <w:pStyle w:val="TableContents"/>
              <w:bidi w:val="0"/>
              <w:spacing w:before="0" w:after="0"/>
              <w:jc w:val="left"/>
              <w:rPr/>
            </w:pPr>
            <w:r>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External development program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ONAPGO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SPN-820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SPN-817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Qelbree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ZURZUVAE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Early-stage programs and 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external development program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Internal employee-related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earnings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 xml:space="preserve">Excludes Sage Acquisition related expenses which are presented in the separate line item, </w:t>
      </w:r>
      <w:r>
        <w:rPr>
          <w:rFonts w:ascii="Times New Roman;serif" w:hAnsi="Times New Roman;serif"/>
          <w:b w:val="false"/>
          <w:i/>
          <w:color w:val="000000"/>
          <w:sz w:val="20"/>
        </w:rPr>
        <w:t>Acquisition-related expenses</w:t>
      </w:r>
      <w:r>
        <w:rPr>
          <w:rFonts w:ascii="Times New Roman;serif" w:hAnsi="Times New Roman;serif"/>
          <w:b w:val="false"/>
          <w:color w:val="000000"/>
          <w:sz w:val="20"/>
        </w:rPr>
        <w:t xml:space="preserve">, in the table above. </w:t>
      </w:r>
    </w:p>
    <w:p>
      <w:pPr>
        <w:pStyle w:val="TextBody"/>
        <w:bidi w:val="0"/>
        <w:spacing w:lineRule="auto" w:line="288" w:before="200" w:after="200"/>
        <w:jc w:val="left"/>
        <w:rPr/>
      </w:pPr>
      <w:r>
        <w:rPr>
          <w:rFonts w:ascii="Times New Roman;serif" w:hAnsi="Times New Roman;serif"/>
          <w:b w:val="false"/>
          <w:color w:val="000000"/>
          <w:sz w:val="13"/>
        </w:rPr>
        <w:t xml:space="preserve">(b) </w:t>
      </w:r>
      <w:r>
        <w:rPr>
          <w:rFonts w:ascii="Times New Roman;serif" w:hAnsi="Times New Roman;serif"/>
          <w:b w:val="false"/>
          <w:color w:val="000000"/>
          <w:sz w:val="20"/>
        </w:rPr>
        <w:t>Sage Acquisition related expenses includes primarily transaction costs incurred, post-combination employee-related expenses incurred by the Company, and share-based compensation expense for Sage incurred to accelerate the vesting of certain equity awards under the terms of the Merger Agreement.</w:t>
      </w:r>
    </w:p>
    <w:p>
      <w:pPr>
        <w:pStyle w:val="TextBody"/>
        <w:bidi w:val="0"/>
        <w:spacing w:lineRule="auto" w:line="288" w:before="200" w:after="200"/>
        <w:jc w:val="left"/>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20"/>
        </w:rPr>
        <w:t>Other segment items include amortization of intangible assets, contingent consideration gain or loss, net interest and other income, and income tax expense or benefit whose amounts are disclosed in the condensed consolidated statement of earnings (loss).</w:t>
      </w:r>
    </w:p>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color w:val="000000"/>
          <w:sz w:val="20"/>
        </w:rPr>
        <w:t>15</w:t>
      </w:r>
      <w:r>
        <w:rPr>
          <w:rFonts w:ascii="Times New Roman;serif" w:hAnsi="Times New Roman;serif"/>
          <w:b w:val="false"/>
          <w:color w:val="000000"/>
          <w:sz w:val="20"/>
        </w:rPr>
        <w:t xml:space="preserve">. </w:t>
      </w:r>
      <w:r>
        <w:rPr>
          <w:rFonts w:ascii="Times New Roman;serif" w:hAnsi="Times New Roman;serif"/>
          <w:b/>
          <w:color w:val="000000"/>
          <w:sz w:val="20"/>
        </w:rPr>
        <w:t>Collaboration Agreements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Navitor </w:t>
      </w:r>
    </w:p>
    <w:p>
      <w:pPr>
        <w:pStyle w:val="TextBody"/>
        <w:bidi w:val="0"/>
        <w:spacing w:lineRule="auto" w:line="276" w:before="200" w:after="200"/>
        <w:ind w:left="0" w:right="0" w:firstLine="720"/>
        <w:jc w:val="left"/>
        <w:rPr/>
      </w:pPr>
      <w:r>
        <w:rPr>
          <w:rFonts w:ascii="Times New Roman;serif" w:hAnsi="Times New Roman;serif"/>
          <w:b w:val="false"/>
          <w:color w:val="000000"/>
          <w:sz w:val="20"/>
        </w:rPr>
        <w:t xml:space="preserve">See Note 17,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for further details</w:t>
      </w:r>
      <w:r>
        <w:rPr>
          <w:rFonts w:ascii="Times New Roman;serif" w:hAnsi="Times New Roman;serif"/>
          <w:b w:val="false"/>
          <w:i/>
          <w:color w:val="000000"/>
          <w:sz w:val="20"/>
        </w:rPr>
        <w:t>.</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Shionogi</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a collaboration and license agreement with Shionogi whereby Shionogi is responsible for all clinical development and regulatory filings for zuranolone in MDD and other indications in Japan, the Republic of Korea (South Korea), and Taiwan (together, the Shionogi Territory) and would be responsible for commercialization of zuranolone in the Shionogi Territory, if zuranolone is successfully developed and obtains marketing approval in any of the countries within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Shionogi Territory. Shionogi was required to make an upfront payment to the Company of $90.0 million, and the Company is eligible to receive additional payments of up to $470.0 million if certain regulatory and commercial milestones are achieved by Shionogi. The potential future milestone payments include up to $55.0 million for the achievement of specified regulatory milestones, up to $30.0 million for the achievement of specified commercialization milestones, and up to $385.0 million for the achievement of specified net sales milestones. The Company is eligible to receive tiered royalties on sales of zuranolone in the Shionogi Territory, if development efforts are successful, with tiers averaging in the low to mid-twenty percent range, subject to other terms of the agreement. As between the Company and Shionogi, the Company maintains exclusive rights to develop and commercialize zuranolone outside of the Shionogi Territory. The upfront cash payment and any payments for milestones and royalties are non-refundable and non-creditable. Due to the uncertainty of pharmaceutical development and the high historical failure rates generally associated with drug development, the Company may not receive any milestone payments or any royalty payments from Shionogi.</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clinical supply agreement, the Company is obligated to manufacture and supply to Shionogi (i) clinical quantities of API reasonably required by Shionogi for the development of licensed products in the Shionogi Territory under the collaboration and license agreement and (ii) quantities of drug product reasonably required for use by Shionogi in Phase 1 clinical trials of zuranolone in the Shionogi Territory under the collaboration and license agreement, in the quantities agreed to by the parties. A commercial supply agreement has not yet been entered into and the parties are operating under the provisions of the existing clinical supply agreement. For the three and nine months ended September 30, 2025, the Company has not recognized any revenues under the Shionogi Collaboration Agreement.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Biogen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Biogen Collaboration Agreement, the Company granted Biogen a co-exclusive license to develop and commercialize SAGE-217 products in the U.S., an exclusive license to develop and commercialize SAGE-217 products in all countries of the world other than the U.S. and the Shionogi Territory. The Company refers to the territories outside the U.S. to which Biogen has rights under the Biogen Collaboration Agreement with respect to SAGE-217 as the “Biogen Territory”.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Development and commercialization activities in the U.S. under the Biogen Collaboration Agreement are conducted pursuant to plans agreed to by the Company and Biogen and overseen by a joint steering committee that consists of an equal number of representatives of each party. The Company and Biogen share equally in the costs for development and commercialization, as well as the profits and losses upon FDA approval and commencement of product sales, in the U.S., subject to the Company’s opt-out right described below. Biogen is solely responsible for all development activities and costs related to any development and commercialization of SAGE-217 products for the Biogen Territory, and the Company will receive royalties on any sales in the Biogen Territory, as mentioned above. Biogen is the principal and records sales of SAGE-217 products globally. The Company is obligated to supply API and bulk drug product for the Biogen Territory and API, bulk drug product and final drug product for the U.S. to support development and commercialization activities. Biogen has the right to assume manufacturing responsibilities for API for the Biogen Territory at any time during the term of the Biogen Collaboration Agreement, and the Biogen Collaboration Agreement further provides that Biogen will, within a reasonable period of time, assume manufacturing responsibility for bulk drug product for the Biogen Territory.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terminated earlier, the Biogen Collaboration Agreement will continue on a country-by-country basis until the date on which (a) in any country in the Biogen Territory, the royalty term has expired in such country, and (b) for the U.S., the parties agree to permanently cease to commercialize. Biogen also has the right to terminate the Biogen Collaboration Agreement for convenience in its entirety or as to a particular region, upon advance written notice. The Company has an opt-out right to convert the co-exclusive license in the U.S. to an exclusive license to Biogen. Following the exercise of the opt-out right, the Company would no longer share equally in the profits and losses in the U.S. and would be entitled to receive certain royalty payments at percentage rates ranging from the low to high twenties and additional sales milestones.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While Biogen is considered the principal in transactions with customers for the sale of ZURZUVAE globally, the Company is also engaged in significant commercialization activities, including maintaining its own U.S. direct sales force. The Company presents its proportionate share of Biogen’s ZURZUVAE sales to customers in the U.S.</w:t>
      </w:r>
      <w:r>
        <w:rPr>
          <w:color w:val="000000"/>
          <w:shd w:fill="FFFFFF" w:val="clear"/>
        </w:rPr>
        <w:t xml:space="preserve"> </w:t>
      </w:r>
      <w:r>
        <w:rPr>
          <w:rFonts w:ascii="Times New Roman;serif" w:hAnsi="Times New Roman;serif"/>
          <w:b w:val="false"/>
          <w:color w:val="000000"/>
          <w:sz w:val="20"/>
          <w:shd w:fill="FFFFFF" w:val="clear"/>
        </w:rPr>
        <w:t>as Collaboration revenue (ZURZUVAE) within the condensed consolidated statements of earnings</w:t>
      </w:r>
      <w:r>
        <w:rPr>
          <w:rFonts w:ascii="Times New Roman;serif" w:hAnsi="Times New Roman;serif"/>
          <w:b w:val="false"/>
          <w:color w:val="000000"/>
          <w:sz w:val="20"/>
        </w:rPr>
        <w:t>. Payments to or reimbursements from Biogen related to the agreement of the parties to share equally in all revenue and costs are accounted for as an increase to Collaboration revenue (ZURZUVAE), an increase to or reduction of cost of revenues, research and development expenses, or selling, general and administrative expenses, in the condensed consolidated statements of earnings, depending on the nature of the activity.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record its proportionate share of collaboration revenue from Biogen’s sales of ZURZUVAE to customers in the U.S., the Company utilizes certain information from Biogen, including revenue from the sale of the product and associated reserves on revenue.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proportionate share of the activity under the Biogen Collaboration Agreement:</w:t>
      </w:r>
    </w:p>
    <w:tbl>
      <w:tblPr>
        <w:tblW w:w="8596" w:type="dxa"/>
        <w:jc w:val="left"/>
        <w:tblInd w:w="0" w:type="dxa"/>
        <w:tblLayout w:type="fixed"/>
        <w:tblCellMar>
          <w:top w:w="28" w:type="dxa"/>
          <w:left w:w="28" w:type="dxa"/>
          <w:bottom w:w="28" w:type="dxa"/>
          <w:right w:w="28" w:type="dxa"/>
        </w:tblCellMar>
      </w:tblPr>
      <w:tblGrid>
        <w:gridCol w:w="1353"/>
        <w:gridCol w:w="1188"/>
        <w:gridCol w:w="1194"/>
        <w:gridCol w:w="325"/>
        <w:gridCol w:w="1112"/>
        <w:gridCol w:w="168"/>
        <w:gridCol w:w="109"/>
        <w:gridCol w:w="1516"/>
        <w:gridCol w:w="109"/>
        <w:gridCol w:w="109"/>
        <w:gridCol w:w="109"/>
        <w:gridCol w:w="211"/>
        <w:gridCol w:w="721"/>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631" w:type="dxa"/>
            <w:gridSpan w:val="8"/>
            <w:tcBorders/>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Collaboration revenue (ZURZUVAE)</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Amounts receivable from Biogen related to the Biogen Collaboration Agreement are recorded within </w:t>
      </w:r>
      <w:r>
        <w:rPr>
          <w:rFonts w:ascii="Times New Roman;serif" w:hAnsi="Times New Roman;serif"/>
          <w:b w:val="false"/>
          <w:i/>
          <w:color w:val="000000"/>
          <w:sz w:val="20"/>
        </w:rPr>
        <w:t>Accounts receivable, net</w:t>
      </w:r>
      <w:r>
        <w:rPr>
          <w:color w:val="000000"/>
        </w:rPr>
        <w:t xml:space="preserve"> </w:t>
      </w:r>
      <w:r>
        <w:rPr>
          <w:rFonts w:ascii="Times New Roman;serif" w:hAnsi="Times New Roman;serif"/>
          <w:b w:val="false"/>
          <w:color w:val="000000"/>
          <w:sz w:val="20"/>
        </w:rPr>
        <w:t xml:space="preserve">on the condensed consolidated balance sheets and were $19.9 million as of September 30, 2025. There were no amounts receivable from Biogen as of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16.    Composition of Other Balance Sheet Items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details the composition of other balance sheet items (dollars in thousands for amounts in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Inventories, Net </w:t>
      </w:r>
    </w:p>
    <w:tbl>
      <w:tblPr>
        <w:tblW w:w="4037" w:type="dxa"/>
        <w:jc w:val="left"/>
        <w:tblInd w:w="0" w:type="dxa"/>
        <w:tblLayout w:type="fixed"/>
        <w:tblCellMar>
          <w:top w:w="28" w:type="dxa"/>
          <w:left w:w="28" w:type="dxa"/>
          <w:bottom w:w="28" w:type="dxa"/>
          <w:right w:w="28" w:type="dxa"/>
        </w:tblCellMar>
      </w:tblPr>
      <w:tblGrid>
        <w:gridCol w:w="516"/>
        <w:gridCol w:w="453"/>
        <w:gridCol w:w="456"/>
        <w:gridCol w:w="211"/>
        <w:gridCol w:w="826"/>
        <w:gridCol w:w="109"/>
        <w:gridCol w:w="109"/>
        <w:gridCol w:w="109"/>
        <w:gridCol w:w="109"/>
        <w:gridCol w:w="221"/>
        <w:gridCol w:w="757"/>
        <w:gridCol w:w="16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net as reported on the condensed consolidated balance sheets are as follows (dollars in thousands):</w:t>
      </w:r>
    </w:p>
    <w:tbl>
      <w:tblPr>
        <w:tblW w:w="7748" w:type="dxa"/>
        <w:jc w:val="left"/>
        <w:tblInd w:w="0" w:type="dxa"/>
        <w:tblLayout w:type="fixed"/>
        <w:tblCellMar>
          <w:top w:w="28" w:type="dxa"/>
          <w:left w:w="28" w:type="dxa"/>
          <w:bottom w:w="28" w:type="dxa"/>
          <w:right w:w="28" w:type="dxa"/>
        </w:tblCellMar>
      </w:tblPr>
      <w:tblGrid>
        <w:gridCol w:w="680"/>
        <w:gridCol w:w="595"/>
        <w:gridCol w:w="600"/>
        <w:gridCol w:w="709"/>
        <w:gridCol w:w="709"/>
        <w:gridCol w:w="711"/>
        <w:gridCol w:w="109"/>
        <w:gridCol w:w="109"/>
        <w:gridCol w:w="109"/>
        <w:gridCol w:w="284"/>
        <w:gridCol w:w="1114"/>
        <w:gridCol w:w="147"/>
        <w:gridCol w:w="109"/>
        <w:gridCol w:w="109"/>
        <w:gridCol w:w="109"/>
        <w:gridCol w:w="300"/>
        <w:gridCol w:w="1026"/>
        <w:gridCol w:w="219"/>
      </w:tblGrid>
      <w:tr>
        <w:trPr/>
        <w:tc>
          <w:tcPr>
            <w:tcW w:w="68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inventory</w:t>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inventory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107,100 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54,293 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 xml:space="preserve">Property and Equipment,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6655" w:type="dxa"/>
        <w:jc w:val="left"/>
        <w:tblInd w:w="0" w:type="dxa"/>
        <w:tblLayout w:type="fixed"/>
        <w:tblCellMar>
          <w:top w:w="28" w:type="dxa"/>
          <w:left w:w="28" w:type="dxa"/>
          <w:bottom w:w="28" w:type="dxa"/>
          <w:right w:w="28" w:type="dxa"/>
        </w:tblCellMar>
      </w:tblPr>
      <w:tblGrid>
        <w:gridCol w:w="1467"/>
        <w:gridCol w:w="1287"/>
        <w:gridCol w:w="1295"/>
        <w:gridCol w:w="231"/>
        <w:gridCol w:w="790"/>
        <w:gridCol w:w="119"/>
        <w:gridCol w:w="109"/>
        <w:gridCol w:w="109"/>
        <w:gridCol w:w="109"/>
        <w:gridCol w:w="221"/>
        <w:gridCol w:w="757"/>
        <w:gridCol w:w="161"/>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 equipment and furniture</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on property and equipment was approximately $0.5 million and $1.6 million for the three and nine months ended September 30, 2025 and $0.6 million and $1.8 million for the three and nine months ended September 30,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Accounts Payable and Accrued Liabilities</w:t>
      </w:r>
    </w:p>
    <w:tbl>
      <w:tblPr>
        <w:tblW w:w="6872" w:type="dxa"/>
        <w:jc w:val="left"/>
        <w:tblInd w:w="0" w:type="dxa"/>
        <w:tblLayout w:type="fixed"/>
        <w:tblCellMar>
          <w:top w:w="28" w:type="dxa"/>
          <w:left w:w="28" w:type="dxa"/>
          <w:bottom w:w="28" w:type="dxa"/>
          <w:right w:w="28" w:type="dxa"/>
        </w:tblCellMar>
      </w:tblPr>
      <w:tblGrid>
        <w:gridCol w:w="1543"/>
        <w:gridCol w:w="1356"/>
        <w:gridCol w:w="1361"/>
        <w:gridCol w:w="211"/>
        <w:gridCol w:w="826"/>
        <w:gridCol w:w="109"/>
        <w:gridCol w:w="109"/>
        <w:gridCol w:w="109"/>
        <w:gridCol w:w="109"/>
        <w:gridCol w:w="221"/>
        <w:gridCol w:w="757"/>
        <w:gridCol w:w="161"/>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benefits, &amp; related accruals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&amp;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manufacturing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R&amp;D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liabilities, current portion</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royalties</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76,352 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 xml:space="preserve">Refer to Note </w:t>
      </w:r>
      <w:r>
        <w:rPr>
          <w:rFonts w:ascii="Times New Roman;serif" w:hAnsi="Times New Roman;serif"/>
          <w:b w:val="false"/>
          <w:color w:val="000000"/>
          <w:sz w:val="20"/>
        </w:rPr>
        <w:t>13</w:t>
      </w:r>
      <w:r>
        <w:rPr>
          <w:rFonts w:ascii="Times New Roman;serif" w:hAnsi="Times New Roman;serif"/>
          <w:b w:val="false"/>
          <w:color w:val="000000"/>
          <w:sz w:val="18"/>
        </w:rPr>
        <w:t xml:space="preserve">, </w:t>
      </w:r>
      <w:r>
        <w:rPr>
          <w:rFonts w:ascii="Times New Roman;serif" w:hAnsi="Times New Roman;serif"/>
          <w:b w:val="false"/>
          <w:i/>
          <w:color w:val="000000"/>
          <w:sz w:val="18"/>
        </w:rPr>
        <w:t>Leases</w:t>
      </w:r>
      <w:r>
        <w:rPr>
          <w:rFonts w:ascii="Times New Roman;serif" w:hAnsi="Times New Roman;serif"/>
          <w:b w:val="false"/>
          <w:color w:val="000000"/>
          <w:sz w:val="18"/>
        </w:rPr>
        <w:t>.</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8"/>
        </w:rPr>
        <w:t xml:space="preserve">Refer to Note </w:t>
      </w:r>
      <w:r>
        <w:rPr>
          <w:rFonts w:ascii="Times New Roman;serif" w:hAnsi="Times New Roman;serif"/>
          <w:b w:val="false"/>
          <w:color w:val="000000"/>
          <w:sz w:val="20"/>
        </w:rPr>
        <w:t>17</w:t>
      </w:r>
      <w:r>
        <w:rPr>
          <w:rFonts w:ascii="Times New Roman;serif" w:hAnsi="Times New Roman;serif"/>
          <w:b w:val="false"/>
          <w:color w:val="000000"/>
          <w:sz w:val="18"/>
        </w:rPr>
        <w:t xml:space="preserve">, </w:t>
      </w:r>
      <w:r>
        <w:rPr>
          <w:rFonts w:ascii="Times New Roman;serif" w:hAnsi="Times New Roman;serif"/>
          <w:b w:val="false"/>
          <w:i/>
          <w:color w:val="000000"/>
          <w:sz w:val="18"/>
        </w:rPr>
        <w:t>Commitments and Contingencies</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Accrued Product Returns and Rebates</w:t>
      </w:r>
    </w:p>
    <w:tbl>
      <w:tblPr>
        <w:tblW w:w="4749" w:type="dxa"/>
        <w:jc w:val="left"/>
        <w:tblInd w:w="0" w:type="dxa"/>
        <w:tblLayout w:type="fixed"/>
        <w:tblCellMar>
          <w:top w:w="28" w:type="dxa"/>
          <w:left w:w="28" w:type="dxa"/>
          <w:bottom w:w="28" w:type="dxa"/>
          <w:right w:w="28" w:type="dxa"/>
        </w:tblCellMar>
      </w:tblPr>
      <w:tblGrid>
        <w:gridCol w:w="754"/>
        <w:gridCol w:w="663"/>
        <w:gridCol w:w="668"/>
        <w:gridCol w:w="211"/>
        <w:gridCol w:w="826"/>
        <w:gridCol w:w="109"/>
        <w:gridCol w:w="109"/>
        <w:gridCol w:w="109"/>
        <w:gridCol w:w="109"/>
        <w:gridCol w:w="211"/>
        <w:gridCol w:w="82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rebates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returns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Product Licenses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pStyle w:val="TextBody"/>
        <w:bidi w:val="0"/>
        <w:spacing w:lineRule="auto" w:line="276" w:before="200" w:after="283"/>
        <w:ind w:left="0" w:right="0" w:firstLine="720"/>
        <w:jc w:val="left"/>
        <w:rPr/>
      </w:pPr>
      <w:r>
        <w:rPr>
          <w:rFonts w:ascii="Times New Roman;serif" w:hAnsi="Times New Roman;serif"/>
          <w:b w:val="false"/>
          <w:color w:val="000000"/>
          <w:sz w:val="20"/>
        </w:rPr>
        <w:t xml:space="preserve">Through the USWM Acquisition, the Company acquired licensing agreements with other pharmaceutical companies for APOKYN, ONAPGO,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Times New Roman;serif" w:hAnsi="Times New Roman;serif"/>
          <w:b w:val="false"/>
          <w:i/>
          <w:color w:val="000000"/>
          <w:sz w:val="20"/>
        </w:rPr>
        <w:t>Cost of goods sold</w:t>
      </w:r>
      <w:r>
        <w:rPr>
          <w:color w:val="000000"/>
        </w:rPr>
        <w:t xml:space="preserve"> </w:t>
      </w:r>
      <w:r>
        <w:rPr>
          <w:rFonts w:ascii="Times New Roman;serif" w:hAnsi="Times New Roman;serif"/>
          <w:b w:val="false"/>
          <w:color w:val="000000"/>
          <w:sz w:val="20"/>
        </w:rPr>
        <w:t xml:space="preserve">in the condensed consolidated statements of earnings.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Through the Sage Acquisition, the Company acquired licensing agreements with other pharmaceutical companies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val="false"/>
          <w:color w:val="000000"/>
          <w:sz w:val="20"/>
        </w:rPr>
        <w:t xml:space="preserve">ZURZUVAE (zuranolone). See Note 2, </w:t>
      </w:r>
      <w:r>
        <w:rPr>
          <w:rFonts w:ascii="Times New Roman;serif" w:hAnsi="Times New Roman;serif"/>
          <w:b w:val="false"/>
          <w:i/>
          <w:color w:val="000000"/>
          <w:sz w:val="20"/>
        </w:rPr>
        <w:t>Summary of Significant Accounting Policies - Revenue Recognition - Collaborative Arrangements</w:t>
      </w:r>
      <w:r>
        <w:rPr>
          <w:color w:val="000000"/>
        </w:rPr>
        <w:t xml:space="preserve"> </w:t>
      </w:r>
      <w:r>
        <w:rPr>
          <w:rFonts w:ascii="Times New Roman;serif" w:hAnsi="Times New Roman;serif"/>
          <w:b w:val="false"/>
          <w:color w:val="000000"/>
          <w:sz w:val="20"/>
        </w:rPr>
        <w:t xml:space="preserve">and Note 15, </w:t>
      </w:r>
      <w:r>
        <w:rPr>
          <w:rFonts w:ascii="Times New Roman;serif" w:hAnsi="Times New Roman;serif"/>
          <w:b w:val="false"/>
          <w:i/>
          <w:color w:val="000000"/>
          <w:sz w:val="20"/>
        </w:rPr>
        <w:t xml:space="preserve">Collaboration Agreements </w:t>
      </w:r>
      <w:r>
        <w:rPr>
          <w:rFonts w:ascii="Times New Roman;serif" w:hAnsi="Times New Roman;serif"/>
          <w:b w:val="false"/>
          <w:color w:val="000000"/>
          <w:sz w:val="20"/>
        </w:rPr>
        <w:t>for further details</w:t>
      </w:r>
      <w:r>
        <w:rPr>
          <w:rFonts w:ascii="Times New Roman;serif" w:hAnsi="Times New Roman;serif"/>
          <w:b w:val="false"/>
          <w:i/>
          <w:color w:val="000000"/>
          <w:sz w:val="20"/>
        </w:rPr>
        <w: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Navitor Development Agreement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2020, the Company entered into a development agreement (Development Agreement) with Navitor Pharmaceuticals, Inc. (Navitor Inc.). The Company can terminate the Development Agreement upon 30 days' notice. Under the terms of the Development Agreement, the Company and Navitor Inc. will jointly conduct a Phase II clinical program for NV-5138 (SPN-820) for treatment-resistant depression. The Company agreed to bear certain Phase I and Phase II development costs incurred by either party, up to a maximum of $50 million, which amount could be increased under the terms of the Development Agreement upon Navitor's request and the Company's consent. In 2020, the Company paid a one-time, nonrefundable, and non-creditable fee of $10 million for the option to acquire or license NV-5138 (SPN-820) (Purchase Option) and made a $15 million equity investment representing approximately 13% ownership in Navitor Inc. There are also certain additional payments which could be incurred by the Company that are contingent upon Navitor Inc. achieving defined milestones. These payments include an additional license or acquisition fee depending on whether the Company ultimately licenses or acquires NV-5138 (SPN-820), and subsequent clinical, regulatory and sales milestone payments. The total payments, exclusive of the royalty payments on net sales of NV-5138 (SPN-820) and development costs paid by the Company under the agreement, have the potential to reach $410 million to $475 million, which includes an aggregate upfront payment of $25 million paid in 2020 for the option to acquire or license NV-5138 (SPN-820) and the equity investment, an additional license or acquisition fee depending on whether the Company ultimately licenses or acquires NV-5138 (SPN-820), and subsequent clinical, regulatory and sales based milestone payments. The Company also will have the first right of refusal for any compound with a similar mechanism of action to NV-5138 (SPN-820) on mTORC1 in the central nervous system.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entering into the Development Agreement in April 2020, as above mentioned, the Company acquired Series D Preferred Shares of Navitor Inc. (the Navitor Shares), an equity investment representing an approximately 13% ownership position in Navitor Inc. As part of a legal restructuring in March 2021, the Company's Navitor Inc. Shares were exchanged for membership interests in Navitor Pharmaceutics LLC (Navitor LLC), which became the sole shareholder of Navitor Inc. The Company has determined that although Navitor LLC is a VIE, the Company does not consolidate the results of this VIE into its financial results because the Company lacks the power to direct the activities that most significantly impact Navitor's economic performance.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2024, the Company consented to payment of additional Phase II development costs for NV-5138 (SPN-820) as they are incurred, but reserves the right to terminate payment of future development costs at its discretion.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5, 2025, the Company entered into a binding memorandum of understanding (MOU) with Navitor Inc. Under the MOU, the Company agreed to conduct further development activities at its own cost and Navitor Inc. agreed to waive its right to receive the $100 million Initial Acquisition Fee under the Development Agreement. In addition, pursuant to the MOU the Company exercised the Purchase Option to purchase all assets of Navitor and its affiliates pursuant to the Development Agreement, subject to, among other things, completion of satisfactory due diligence by the Company, and negotiation and execution of a definitive Purchase Agreement.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maximum exposure to losses related to Navitor LLC includes the approximately $50 million for Phase I and Phase II development of NV-5138 (SPN-820) already paid by the Company, plus the cost of other development and formulation activities provided by the Company and additional Phase II development costs the Company agreed to pay pursuant to the Development Agreement.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as described herein, no additional equity investment has been made or financing has been provided to Navitor Inc. or Navitor LLC.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USWM Enterprise Commitments Assumed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USWM Acquisition, the Company assumed the remaining commitments of USWM Enterprises and its subsidiaries, which are discussed below.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assumed the annual minimum purchase requirement of MYOBLOC, amounting to an estimated €3.0 million annually, under the contract manufacturing agreement with Merz for manufacture and supply. An amendment to the contract manufacturing agreement with Merz was executed in July 2025. Amendments to the contract manufacturing agreement included among other things, the removal of the annual minimum purchase requirement of MYOBLOC, and the Company's agreement to pay a nonrefundable annual fee of €3.0 million to cover general maintenance and reservation costs for the manufacturing facilities.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MDD US Operations, LLC (formerly US WorldMeds, LLC) and its subsidiary, Solstice Neurosciences, LLC (US) (collectively, the MDD Subsidiaries) entered into a Corporate Integrity Agreement (CIA) with the Office of Inspector General of the U.S. Department of Health and Human Services which was effective in April 2019. Under the CIA, the MDD Subsidiaries agreed to and paid $17.5 million to resolve U.S. Department of Justice allegations that it violated the False Claims Act and committed to the establishment and ongoing maintenance of an effective compliance program. The fine was paid by the MDD Subsidiaries prior to closing of the USWM Acquisition. As part of the USWM Acquisition, the Company assumed the obligations of the CIA and could become liable for payment of certain stipulated monetary penalties in the event of any CIA violations. In addition, the Company continues to maintain a broad array of processes, policies and procedures necessary to comply with the CIA and submitted its final report during the second quarter of 2024. The Company received an official notification of release from the Office of the Inspector General in April 2025 and thus no longer remains subject to its obligations under the CIA.</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Claims and Litigation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any of Supernus Pharmaceuticals, Inc. or one or more of its subsidiaries may be involved in various claims, litigation, legal proceedings, and governmental and regulatory investigations. These matters may involve patent litigation, product liability, product-related litigation, securities law-related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NAMENDA XR/Namzaric Qui Tam Litigation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On April 1, 2019, Adamas was served with a complaint filed in the United States District Court for the Northern District of California (the District Court) (Case No. 3:18-cv-03018-JCS) against it and several Allergan entities alleging violations of federal and state false claims acts (FCA) in connection with the commercialization of NAMENDA XR and Namzaric by Allergan. The lawsuit is a </w:t>
      </w:r>
      <w:r>
        <w:rPr>
          <w:rFonts w:ascii="Times New Roman;serif" w:hAnsi="Times New Roman;serif"/>
          <w:b w:val="false"/>
          <w:i/>
          <w:color w:val="000000"/>
          <w:sz w:val="20"/>
        </w:rPr>
        <w:t>qui tam</w:t>
      </w:r>
      <w:r>
        <w:rPr>
          <w:color w:val="000000"/>
        </w:rPr>
        <w:t xml:space="preserve"> </w:t>
      </w:r>
      <w:r>
        <w:rPr>
          <w:rFonts w:ascii="Times New Roman;serif" w:hAnsi="Times New Roman;serif"/>
          <w:b w:val="false"/>
          <w:color w:val="000000"/>
          <w:sz w:val="20"/>
        </w:rPr>
        <w:t xml:space="preserve">complaint brought by an individual,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an artificially high price being charged to government payors. Adamas' patents in question were licensed exclusively to Forest Laboratories Holdings Limited.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 to dismiss the complaint. The appeal is pending in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November 3, 2022. On December 23, 2022, the defendants filed renewed motions to dismiss directed to the remaining unresolved issue. On March 20, 2023, the District Court entered an order and final judgment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 </w:t>
      </w:r>
      <w:r>
        <w:rPr>
          <w:rFonts w:ascii="Times New Roman;serif" w:hAnsi="Times New Roman;serif"/>
          <w:b w:val="false"/>
          <w:color w:val="333333"/>
          <w:sz w:val="20"/>
          <w:shd w:fill="FFFFFF" w:val="clear"/>
        </w:rPr>
        <w:t xml:space="preserve">On February 20, 2024, the plaintiff filed a motion for an indicative ruling and to set aside the judgment in the District Court, based on the same arguments raised in his appeal. That motion was fully briefed and the District Court determined that the motion for an indicative ruling was suitable for determination without a hearing. On May 7, 2024, the District Court denied the plaintiff's motion for an indicative ruling. The appeal is fully briefed, and the Ninth Circuit has set oral argument for November 21, 2024. </w:t>
      </w:r>
      <w:r>
        <w:rPr>
          <w:rFonts w:ascii="Times New Roman;serif" w:hAnsi="Times New Roman;serif"/>
          <w:b w:val="false"/>
          <w:color w:val="000000"/>
          <w:sz w:val="20"/>
        </w:rPr>
        <w:t>On January 29, 2025, the Ninth Circuit affirmed the District Court's order dismissing the litigation. On March 31, 2025, the plaintiff filed a petition for rehearing by the Ninth Circuit, but the Ninth Circuit denied the Petition on April 15, 2025. The plaintiff opted not to seek review from the U.S. Supreme Court. It remains to be seen whether the plaintiff will attempt to refile any of his state-law FCA claims. The Company intends to defend itself vigorously. However, the Company can offer no assurances that it will be successful in a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APOKYN Litigation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 2022, Sage Chemical, Inc. and TruPharma, LLC filed a lawsuit in the United States District Court for the District of Delaware (Case No.22-cv-1302) alleging that Supernus Pharmaceuticals, Inc., Britannia Pharmaceuticals Limited and US WorldMeds Partners, LLC violated state and federal antitrust law in connection with APOKYN. On October 16, 2022, Plaintiffs amended their complaint to add additional defendants MDD US Enterprises, LLC, MDD US Operations, LLC (each a subsidiary of Supernus Pharmaceuticals, Inc.), USWM, LLC, and individual defendants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On March 12, 2024, following oral argument before the Court on the afternoon of March 11, 2024, the Court issued an Oral Order granting Defendants' motion to stay depositions until the court resolved Defendants' motions to dismiss. On May 9, 2024, and May 28, 2024, respectively, the Court denied the Defendants' omnibus motion and the Britannia motion to dismiss. The Court lifted the stay on fact depositions, which are now mostly completed. The time period for completion of fact discovery concluded in February 2025, but Plaintiffs continue to seek depositions from two US WorldMeds’ executives, including its former CEO. Briefing on this dispute has been completed and a hearing was scheduled for August 4, 2025. Plaintiffs also are seeking to take international depositions of a Britannia employee and a former Britannia employee. Plaintiffs also are actively pursuing additional document production from the Company to which the Company objects. On May 31, 2024, and June 4, 2024, respectively, the Court granted the individual defendants' motion to dismiss and the US WorldMeds and USWM motion to dismiss. On August 29, 2024, the Court entered an Order that revived the claims against US WorldMeds Partners, LLC and USWM, LLC on December 5, 2024. On December 6, 2024, Plaintiffs filed a second amended complaint, which added US WorldMeds and USWM back to the case. US WorldMeds Partners, LLC and USWM, LLC have filed a Motion for Leave to File an Early Summary Judgment Motion. This Motion has been briefed but the Court has not made a ruling to date. On November 4, 2024, the Court issued a scheduling order that provides for a Pretrial Conference on December 10, 2025, and a jury trial beginning on January 5, 2026. On January 3, 2025, the Court issued an Oral Order requiring the parties to "engage in in-person mediation in good faith" and jointly select an agreed-upon mediator. The parties agreed jointly to a mediator and mediation was held in April 2025 that did not result in settlement for any of the parties.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12, 2025, after expert reports have been exchanged but prior to the start of the majority of expert depositions, Plaintiffs moved to strike or limit the testimony of seven of Defendant's ten experts. On same day, the parties jointly submitted a stipulation to suspend the operative Scheduling Order as to all dates related to discovery, dispositive motions, and Daubert motions. The Court approved this stipulation in its entirety on May 13, 2025 by issuance of an Oral Order reading "SO ORDERED" and listing the docket number for the stipulation. The parties did not explicitly stipulate to suspending pre-trial deadlines or the scheduled trial dates, which are currently set for two weeks beginning on January 5, 2026. In the stipulation, the parties jointly committed to submitting a proposed Amended Scheduling Orders as to all remaining deadlines, including trial, within ten business days of the Court's decision on the motion to strike. Briefing has concluded on the motion to Strike and the parties are awaiting a ruling from the Court. The Company intends to defend itself vigorously. However, the Company can offer no assurances that it will be successful in a litigation. </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Sage Legal Proceedings</w:t>
      </w:r>
    </w:p>
    <w:p>
      <w:pPr>
        <w:pStyle w:val="TextBody"/>
        <w:bidi w:val="0"/>
        <w:spacing w:lineRule="auto" w:line="288" w:before="200" w:after="20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Merger Complaints </w:t>
      </w:r>
    </w:p>
    <w:p>
      <w:pPr>
        <w:pStyle w:val="TextBody"/>
        <w:bidi w:val="0"/>
        <w:spacing w:lineRule="auto" w:line="288" w:before="20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Merger Agreement and Sage's Board of Directors' (Sage Board) recommendation to Sage shareholders to tender their shares pursuant to the tender offer, two purported Sage shareholders filed complaints in state court against Sage and each member of the Sage Board. Among other things, the complaints assert claims for negligent misrepresentation and concealment and negligence under New York common law. Sage has also received certain demand letters from other purported shareholders with similar allegations to those contained in the complaints. Additional demand letters may be received by Sage and additional complaints may be filed against Sage, the Sage Board, Supernus and Saphire, Inc. in connection with the Merger Agreement and tender offer.</w:t>
      </w:r>
    </w:p>
    <w:p>
      <w:pPr>
        <w:pStyle w:val="TextBody"/>
        <w:bidi w:val="0"/>
        <w:spacing w:lineRule="auto" w:line="288" w:before="200" w:after="20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Securities Class Action</w:t>
      </w:r>
    </w:p>
    <w:p>
      <w:pPr>
        <w:pStyle w:val="TextBody"/>
        <w:bidi w:val="0"/>
        <w:spacing w:lineRule="auto" w:line="288" w:before="20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28, 2024, named plaintiff Darren Korver filed a purported federal securities class action lawsuit in the Southern District of New York against Sage and individuals, Barry E. Greene and Kimi Iguchi (Securities Class Action). The complaint in the Securities Class Action alleges violations of U.S. securities laws under Sections 10(b) and 20(a) of the Securities Exchange Act of 1934 and Rule 10b-5 promulgated thereunder and seeks an as-yet unspecified amount of damages allegedly sustained by parties who purchased Sage stock between April 12, 2021 and July 23, 2024, as well as applicable attorneys’ fees and costs. Sage denies any allegations of wrongdoing and intends to vigorously defend against the Securities Class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U.S. Securities and Exchange Commission (SEC) Investigation</w:t>
      </w:r>
    </w:p>
    <w:p>
      <w:pPr>
        <w:pStyle w:val="TextBody"/>
        <w:bidi w:val="0"/>
        <w:spacing w:lineRule="auto" w:line="288" w:before="20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October 16, 2024, Sage received a subpoena from the Enforcement Division of the SEC requesting documents and information related to Sage’s NDA for zuranolone for the treatment of major depressive disorder (MDD), including communications with the FDA and any communications containing material nonpublic information. The Company is cooperating with the SEC and intends to continue to provide information responsive to the SEC’s requests. </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Consolidated Derivative Litigations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26, 2025, plaintiff shareholder Qingping Zhu commenced derivative litigation in the Southern District of New York, purportedly on behalf of Sage, against sixteen current and former officers and directors of Sage (the “Zhu Derivative Litigation”). Based significantly on the allegations underlying the Securities Class Action, the Zhu Derivative Litigation alleges violations of Section 14(a) of the Exchange Act and Rule 14a-9 promulgated thereunder, breaches of fiduciary duty, unjust enrichment, and waste of corporate assets, and seeks unspecified damages and various equitable relief. On April 14, 2025, the Southern District of New York granted a stay of the Zhu Derivative Litigation pending the resolution of the motion to dismiss the amended complaint in the Securities Class Action.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13, 2025, plaintiff shareholder Jurgen Matton commenced derivative litigation in the Southern District of New York, purportedly on behalf of Sage Therapeutics, against sixteen current and former officers and directors of Sage Therapeutics (the “Matton Derivative Litigation”). Based significantly on the allegations underlying the Securities Class Action, the Matton Derivative Litigation alleges violations of Section 14(a) of the Exchange Act and Rule 14a-9 promulgated thereunder, breaches of fiduciary duty, unjust enrichment, and waste of corporate assets, and seeks unspecified damages and various equitable relief.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22, 2025, plaintiff shareholder Joseph Pizzelanti commenced derivative litigation in the Southern District of New York, purportedly on behalf of Sage Therapeutics, against sixteen current and former officers and directors of the Company (the “Pizzelanti Derivative Litigation”). Based significantly on the allegations underlying the Securities Class Action, the Pizzelanti Derivative Litigation alleges violations of Section 14(a) of the Exchange Act and Rule 14a-9 promulgated thereunder, breaches of fiduciary duty, unjust enrichment, and waste of corporate assets, and seeks unspecified damages and various equitable relief.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20, 2025, Sage, along with other relevant parties, submitted for the Southern District of New York’s approval of a consolidation of the Zhu Derivative Litigation with the Matton Derivative Litigation and the Pizzelanti Derivative Litigation (the “Consolidated Derivative Litigation”).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At this time, the Company is unable to predict the outcome of the Merger Complaints, Securities Class Action, the SEC investigation, or the Consolidated Derivative Litigation, or reasonably estimate a range of possible losses. </w:t>
      </w:r>
      <w:r>
        <w:rPr>
          <w:rFonts w:ascii="Times New Roman;serif" w:hAnsi="Times New Roman;serif"/>
          <w:b w:val="false"/>
          <w:color w:val="000000"/>
          <w:sz w:val="20"/>
          <w:shd w:fill="FFFFFF" w:val="clear"/>
        </w:rPr>
        <w:t>The outcome of the matters described above cannot be predicted with 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Management's Discussion and Analysis of Financial Condition and Results of Operations is intended to help the reader understand the results of operations and the financial condition of Supernus Pharmaceuticals, Inc. The interim condensed consolidated financial statements included in this report and this Management's Discussion and Analysis of Financial Condition and Results of Operations should be read in conjunction with our audited consolidated financial statements and notes thereto for the year ended December 31, 2024 and the related Management's Discussion and Analysis of Financial Condition and Results of Operations, both of which are contained in our Annual Report on Form 10-K, filed with the Securities and Exchange Commission on February 25, 2025.</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In addition to historical information, this Quarterly Report on Form 10-Q contains forward-looking statements within the meaning of</w:t>
      </w:r>
      <w:r>
        <w:rPr>
          <w:color w:val="000000"/>
        </w:rPr>
        <w:t xml:space="preserve"> </w:t>
      </w:r>
      <w:r>
        <w:rPr>
          <w:rFonts w:ascii="Times New Roman;serif" w:hAnsi="Times New Roman;serif"/>
          <w:b w:val="false"/>
          <w:i/>
          <w:color w:val="000000"/>
          <w:sz w:val="20"/>
        </w:rPr>
        <w:t>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because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and ONAPGO in the United States and its territories. Adamas Operations, LLC,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 and Osmolex ER. Sage Therapeutics, LLC, a wholly-owned indirect subsidiary of Supernus Pharmaceuticals, Inc., has granted Supernus Pharmaceuticals, Inc. a license to market and sell zuranolone in the United States. </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pStyle w:val="TextBody"/>
        <w:bidi w:val="0"/>
        <w:spacing w:before="200" w:after="283"/>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biopharmaceutical company focused on developing and commercializing products for the treatment of central nervous system (CNS) diseases. Our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We are developing a broad range of novel CNS product candidates including new potential treatments for epilepsy, depression, and other CNS disorders.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2025 Acquisition of Sage Therapeutics, Inc. (Sage) and Reorganization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31, 2025, the Company completed its previously announced acquisition of Sage when Saphire, Inc., a Delaware corporation and wholly owned subsidiary of the Company (Purchaser), was merged with and into Sage (the Merger), with Sage continuing as the surviving corporation in the Merger as a wholly owned subsidiary of the Company (the Sage Acquisition). At the time of the Sage Acquisition, Sage had an established commercial product in its portfolio, ZURZUVAE.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Sage Acquisition, during the third quarter of 2025, Sage Therapeutics, Inc. was reorganized into Sage Therapeutics, LLC.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Commercial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(viloxazine) extended-release capsules is a novel non-stimulant product indicated for the treatment of ADHD in adults and pediatric patients 6 years and older. The United States Food and Drug Administration (FDA) approved Qelbree for the treatment of ADHD in pediatric patients 6 to 17 years of age in April 2021, and in adult patients in April 2022. The Company launched Qelbree for pediatric patients in May 2021 and for adult patients in May 2022 in the United States (U.S.). In January 2025, the FDA approved an expanded label update for Qelbree to include new data on the pharmacodynamics and use in breastfeeding mothers.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GOCOVRI</w:t>
      </w:r>
      <w:r>
        <w:rPr>
          <w:rFonts w:ascii="Times New Roman;serif" w:hAnsi="Times New Roman;serif"/>
          <w:b w:val="false"/>
          <w:color w:val="000000"/>
          <w:sz w:val="13"/>
        </w:rPr>
        <w:t xml:space="preserve">® </w:t>
      </w:r>
      <w:r>
        <w:rPr>
          <w:rFonts w:ascii="Times New Roman;serif" w:hAnsi="Times New Roman;serif"/>
          <w:b w:val="false"/>
          <w:color w:val="000000"/>
          <w:sz w:val="20"/>
        </w:rPr>
        <w:t>(amantadine)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ONAPGO</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(apomorphine hydrochloride) injection is the first and only subcutaneous apomorphine infusion device for the treatment of motor fluctuations in adults with advanced PD. ONAPGO was approved by the FDA in February 2025. ONAPGO was launched in April 2025.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ZURZUVAE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(zuranolone) capsules is the first and only FDA approved oral medicine indicated for the treatment of PPD in adults. ZURZUVAE is a neuroactive steroid that is a positive allosteric modulator of GABA</w:t>
      </w: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receptors, targeting both synaptic and extrasynaptic GABA</w:t>
      </w: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receptors, and is the first oral, once-daily, 14-day treatment specifically indicated for adults with PPD. ZURZUVAE became commercially available in the U.S. in December 2023 as a treatment option for women with PPD. The Company and our collaboration partner, Biogen, are jointly commercializing ZURZUVAE in the U.S. under the Biogen Collaboration Agreement. The Company and Biogen equally share in all operating profits and losses arising from sales of ZURZUVAE in the U.S., with Biogen recording such product sales.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APOKYN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(apomorphine hydrochloride injection) is a product indicated for the acute, intermittent treatment of hypomobility, "OFF" episodes ("end-of-dose wearing off" and unpredictable "ON/OFF" episodes) in patients with advanced PD.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(topiramate) is the first once-daily extended-release topiramate product indicated for the treatment of epilepsy in patients 6 years of age and older in the U.S. market. It is also indicated for the prophylaxis of migraine headache in adults and adolescents 12 years and older.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Oxtellar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(oxcarbazepine) is indicated as therapy for the treatment of partial onset seizures in patients 6 years of age and older. It is also the first once-daily extended-release oxcarbazepine product indicated for the treatment of epilepsy in the U.S. market.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XADAGO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(safinamide) is a once-daily product indicated as adjunctive treatment to levodopa/carbidopa in patients with PD experiencing "OFF" episodes.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MYOBLOC</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(rimabotulinumtoxinB injection) is a product indicated for the treatment of cervical dystonia and chronic sialorrhea in adults. It is the only botulinum toxin type B available on the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committed to the development of innovative product candidates in neurology and psychiatry, including the following:</w:t>
      </w:r>
    </w:p>
    <w:p>
      <w:pPr>
        <w:pStyle w:val="TextBody"/>
        <w:bidi w:val="0"/>
        <w:spacing w:before="200" w:after="283"/>
        <w:jc w:val="left"/>
        <w:rPr/>
      </w:pPr>
      <w:r>
        <w:rPr/>
        <w:drawing>
          <wp:inline distT="0" distB="0" distL="0" distR="0">
            <wp:extent cx="6629400" cy="2857500"/>
            <wp:effectExtent l="0" t="0" r="0" b="0"/>
            <wp:docPr id="4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 descr=""/>
                    <pic:cNvPicPr>
                      <a:picLocks noChangeAspect="1" noChangeArrowheads="1"/>
                    </pic:cNvPicPr>
                  </pic:nvPicPr>
                  <pic:blipFill>
                    <a:blip r:embed="rId2"/>
                    <a:stretch>
                      <a:fillRect/>
                    </a:stretch>
                  </pic:blipFill>
                  <pic:spPr bwMode="auto">
                    <a:xfrm>
                      <a:off x="0" y="0"/>
                      <a:ext cx="6629400" cy="2857500"/>
                    </a:xfrm>
                    <a:prstGeom prst="rect">
                      <a:avLst/>
                    </a:prstGeom>
                  </pic:spPr>
                </pic:pic>
              </a:graphicData>
            </a:graphic>
          </wp:inline>
        </w:drawing>
      </w:r>
      <w:bookmarkStart w:id="0" w:name="i-1"/>
      <w:bookmarkEnd w:id="0"/>
    </w:p>
    <w:p>
      <w:pPr>
        <w:pStyle w:val="TextBody"/>
        <w:bidi w:val="0"/>
        <w:spacing w:lineRule="auto" w:line="276" w:before="200" w:after="200"/>
        <w:ind w:left="0" w:right="0" w:hanging="288"/>
        <w:jc w:val="left"/>
        <w:rPr>
          <w:rFonts w:ascii="Times New Roman;serif" w:hAnsi="Times New Roman;serif"/>
          <w:b w:val="false"/>
          <w:i/>
          <w:color w:val="000000"/>
          <w:sz w:val="20"/>
        </w:rPr>
      </w:pPr>
      <w:r>
        <w:rPr>
          <w:rFonts w:ascii="Times New Roman;serif" w:hAnsi="Times New Roman;serif"/>
          <w:b w:val="false"/>
          <w:i/>
          <w:color w:val="000000"/>
          <w:sz w:val="20"/>
        </w:rPr>
        <w:t>SPN-817 (huperzine 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SPN-817 represents a novel mechanism of action (MOA) for an anticonvulsant. SPN-817 is a novel synthetic form of 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 and has received Orphan Drug Designation for several epilepsy indications from the FDA.</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SPN-820 (NV-5138)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SPN-820 is a novel, first in class, intracellular enhancer of mechanistic target of rapamycin complex 1 (mTORC1) signaling. Depression is associated with synapse loss and reduced synaptic plasticity in key brain regions including the prefrontal cortex and increasing mTORC1-mediated synaptic plasticity is a promising avenue to treat depression and associated symptoms. SPN-820 selectively binds to intracellular sestrin proteins and subsequently engages a cascade of multi-protein complexes, enhancing mTORC1 signaling. The intracellular mechanism and the lack of binding to cell surface receptors suggests the potential for a differentiated safety profile and is unlikely to have abuse potential.</w:t>
      </w:r>
    </w:p>
    <w:p>
      <w:pPr>
        <w:pStyle w:val="TextBody"/>
        <w:bidi w:val="0"/>
        <w:spacing w:lineRule="auto" w:line="288" w:before="20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2025, the Company reported topline results from a randomized double-blind placebo-controlled Phase 2b study of SPN-820 in adults with treatment-resistant depression (TRD) following four weeks of chronic daily dosing. The study did not demonstrate a statistically significant improvement on the primary and secondary endpoints. The safety profile of SPN-820 was consistent with previous clinical trials, showing few adverse events.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plans to initiate a follow-on randomized double-blind placebo-controlled Phase 2b adjunctive trial in adults with major depressive disorder (MDD). For drugs that work through the mTORC1 pathway, emerging data indicates that chronic daily dosing may actively suppress sustained neuroplasticity and antidepressant benefits. Accordingly, the follow-on Phase 2b study will utilize intermittent dosing.</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SPN-443 – Novel stimulant for the treatment of ADHD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completed a Phase 1 single dose study in healthy adults in 2024 following submission of an Investigational New Drug Application. The study was a first in human, pilot pharmacokinetic study of two oral formulations of SPN-443 in healthy adults. The primary objective of the study was to assess safety and tolerability. This molecule, along with its major metabolites, is an inhibitor of norepinephrine, dopamine and serotonin, also known as a triple reuptake inhibitor. Both formulations of SPN-443 showed adequate bioavailability and were well tolerated.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Zuranolone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granted Biogen sole rights to develop and commercialize zuranolone outside the U.S., other than in Japan, Taiwan and South Korea where it has granted those rights to Shionogi &amp; Co., Ltd. (Shionogi). Shionogi is currently developing zuranolone for the treatment of patients with MDD in Japan, and in the third quarter of 2024, Shionogi reported that it submitted a new drug application (NDA) in Japan for zuranolone for the treatment of MDD. In the third quarter of 2025, Biogen received approval for zuranolone for the treatment of PPD by the European Medicines Agency (EMA) and Medicines Healthcare Regulatory Agency (MHRA) in Europe and the United Kingdom (U.K.) respectively.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Commercial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ONAPGO, the first and only subcutaneous apomorphine infusion device for the treatment of motor fluctuations in adults with advanced Parkinson's disease, generated net product sales of $6.8 million in its first full quarter following U.S. commercial launch in April 2025. More than 1,300 enrollment forms were submitted by over 450 prescribers from launch through September 30, 2025.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Due to stronger than expected demand for ONAPGO, supplier constraints are impacting the Company's ability to fully meet this demand. As a result of this supply imbalance, the Company is prioritizing care for patients currently on ONAPGO. This requires pausing delivery to patients who have not started ONAPGO. The Company is working to build adequate inventory and resume new patient initiation as soon as possible, and will provide timely updates as progress is made in resolving this supply constraint.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Collaboration revenue from ZURZUVAE was $20.2 million in the third quarter of 2025, representing approximately two months of collaboration revenue reported by Supernus since the closing of the Sage Acquisition on July 31, 2025. Collaboration revenue (ZURZUVAE) represents 50% of the net revenues for ZURZUVAE recorded by Biogen Inc. Full third quarter 2025 U.S sales of ZURZUVAE, as reported by Biogen Inc., increased approximately 150% compared to the same period in 2024 and approximately 19% compared to the second quarter of 2025.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Net sales of Qelbree increased 31% to $81.4 million in the third quarter of 2025, compared to the same period in 2024. Total IQVIA prescriptions for Qelbree were 238,770 for the third quarter 2025, representing an increase of 23% compared to the same period in the prior year.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Net sales of GOCOVRI increased 15% to $40.8 million in the third quarter of 2025, compared to the same period in 2024, driven by growth in prescriptions and number of prescribers.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Product Pipeline Update</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SPN-817 – Novel first-in-class highly selective AChE inhibitor for epilepsy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Phase 2b randomized, double-blind, placebo-controlled study of 3mg and 4mg twice daily doses is ongoing with a targeted enrollment of approximately 258 adult patients with treatment resistant focal seizures.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SPN-820 – Novel first-in-class molecule that increases mTORC1 mediated synaptic function for depression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plans to initiate a follow-on Phase 2b multi-center, randomized, double-blind, placebo-controlled trial in approximately 200 adults with major depressive disorder (MDD). The study will examine the safety and tolerability of SPN-820 2400 mg given intermittently (twice weekly) as an adjunctive treatment to the current baseline antidepressant therapy, as well as assess the rapid onset of improvement in depressive symptoms. The Company expects to initiate the Phase 2b study by the end of 2025.</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SPN-443 – Novel stimulant for ADHD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Company has selected ADHD as the lead indication for SPN-443 and expects to initiate a Phase 1 single-ascending/multiple ascending dose study in adult healthy volunteers in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 and the Use of Estimates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The significant accounting policies and basis of presentation for our condensed consolidated financial statements are described in Part I, Item 1, Financial Statements,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xml:space="preserve">, in the Notes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Condensed Consolidated Financial Statements. Our condensed consolidated financial statements are prepared in accordance with U.S. generally accepted accounting principles (U.S. GAAP), requiring us to make estimates and assumptions that affect the reported amounts of assets, liabilities, revenues, and expenses, and to disclose material contingent assets and liabilities. Actual results could differ materially from our estimates.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the judgments, estimates, and assumptions associated with the following critical accounting policies have the greatest potential impact on our condensed consolidated financial statements:</w:t>
      </w:r>
    </w:p>
    <w:p>
      <w:pPr>
        <w:pStyle w:val="TextBody"/>
        <w:bidi w:val="0"/>
        <w:spacing w:lineRule="auto" w:line="288" w:before="200" w:after="283"/>
        <w:ind w:left="0" w:right="0" w:firstLine="360"/>
        <w:jc w:val="left"/>
        <w:rPr/>
      </w:pPr>
      <w:r>
        <w:rPr>
          <w:color w:val="000000"/>
        </w:rPr>
        <w:t>•</w:t>
      </w:r>
      <w:r>
        <w:rPr>
          <w:rFonts w:ascii="Times New Roman;serif" w:hAnsi="Times New Roman;serif"/>
          <w:b w:val="false"/>
          <w:color w:val="000000"/>
          <w:sz w:val="20"/>
        </w:rPr>
        <w:t>Revenue recognition;</w:t>
      </w:r>
    </w:p>
    <w:p>
      <w:pPr>
        <w:pStyle w:val="TextBody"/>
        <w:bidi w:val="0"/>
        <w:spacing w:lineRule="auto" w:line="288" w:before="200" w:after="283"/>
        <w:ind w:left="0" w:right="0" w:firstLine="360"/>
        <w:jc w:val="left"/>
        <w:rPr/>
      </w:pPr>
      <w:r>
        <w:rPr>
          <w:color w:val="000000"/>
        </w:rPr>
        <w:t>•</w:t>
      </w:r>
      <w:r>
        <w:rPr>
          <w:rFonts w:ascii="Times New Roman;serif" w:hAnsi="Times New Roman;serif"/>
          <w:b w:val="false"/>
          <w:color w:val="000000"/>
          <w:sz w:val="20"/>
        </w:rPr>
        <w:t>Business combination and valuation of acquired assets;</w:t>
      </w:r>
    </w:p>
    <w:p>
      <w:pPr>
        <w:pStyle w:val="TextBody"/>
        <w:bidi w:val="0"/>
        <w:spacing w:lineRule="auto" w:line="288" w:before="200" w:after="283"/>
        <w:ind w:left="0" w:right="0" w:firstLine="360"/>
        <w:jc w:val="left"/>
        <w:rPr/>
      </w:pPr>
      <w:r>
        <w:rPr>
          <w:color w:val="000000"/>
        </w:rPr>
        <w:t>•</w:t>
      </w:r>
      <w:r>
        <w:rPr>
          <w:rFonts w:ascii="Times New Roman;serif" w:hAnsi="Times New Roman;serif"/>
          <w:b w:val="false"/>
          <w:color w:val="000000"/>
          <w:sz w:val="20"/>
        </w:rPr>
        <w:t>Valuation of contingent consideration;</w:t>
      </w:r>
    </w:p>
    <w:p>
      <w:pPr>
        <w:pStyle w:val="TextBody"/>
        <w:bidi w:val="0"/>
        <w:spacing w:lineRule="auto" w:line="288" w:before="200" w:after="283"/>
        <w:ind w:left="0" w:right="0" w:firstLine="360"/>
        <w:jc w:val="left"/>
        <w:rPr/>
      </w:pPr>
      <w:r>
        <w:rPr>
          <w:color w:val="000000"/>
        </w:rPr>
        <w:t>•</w:t>
      </w:r>
      <w:r>
        <w:rPr>
          <w:rFonts w:ascii="Times New Roman;serif" w:hAnsi="Times New Roman;serif"/>
          <w:b w:val="false"/>
          <w:color w:val="000000"/>
          <w:sz w:val="20"/>
        </w:rPr>
        <w:t>Impairment of definite-lived intangible assets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source of revenue is product sales. Revenue from product sales is recognized when physical control of our products is transferred to our customers, who are primarily pharmaceutical wholesalers, specialty pharmacies, and distributors. Product sales are recorded net of various forms of variable consideration, including: estimated rebates; sales discounts; and an estimated liability for future product returns (collectively, "sales deductions").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The variability in the net transaction price for our products arises primarily from the aforementioned sales deductions. Significant judgment is required in estimating certain sales deductions, including rebates and returns. In making these estimates, we consider: historical experience; product price increases; current contractual arrangements under applicable payor programs; unbilled claims; processing time lags for claims; inventory levels in the wholesale, specialty pharmacy, and retail distribution channel; and product life cycle. We adjust our estimates at the earlier of when the most likely amount of consideration we expect to receive changes, or when the consideration becomes fixed. Variable consideration on product sales is only recognized when it is probable that a significant reversal will not occur. If actual results in the future vary from our estimates, we adjust our estimates in the period identified. These adjustments could materially affect net product sales and earnings in the period in which the adjustment(s) is recorded. Refer to Part I, Item 1— Financial Statements,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in the Notes to the Condensed Consolidated Financial Statements, for further discussion on each of the different sales deductions. While sales rebates have been relatively predictable based on historical experience such that there have not been material changes in estimates in prior periods, there have been critical estimates associated with rebates and returns that may result in significant variability as further discussed below</w:t>
      </w:r>
      <w:r>
        <w:rPr>
          <w:rFonts w:ascii="Times New Roman;serif" w:hAnsi="Times New Roman;serif"/>
          <w:b/>
          <w:color w:val="000000"/>
          <w:sz w:val="20"/>
        </w:rPr>
        <w: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Returns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a return policy that allows our customers to return products within a specified period of time. Sales of our products are not subject to a general right of return; however, we will accept return of expired product 6 months prior to, and up to 12 months subsequent to, the product's expiry date for certain products. Our products have a shelf life of up to 48 months from date of manufacture. The product return accrual is estimated principally based on historical experience, the level and estimated shelf life of inventory in the distribution channel, changes in the current wholesaler prices, our return policy and expected market events, including generic competition. The time lag from date of sale of our products when we accrue our provision for product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returns and the time at which we issue credit for expired product can occur up to several years after the sale of our product. Estimates associated with our provision for product returns are particularly susceptible to adjustment given the extensive time lag. The Company launched Qelbree in May 2021. The Company is actively monitoring returns activity in light of the timeline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the date of sale and the time at which we issue credit for expired products. We had favorable actual returns in 2024 and year to date 2025 for Qelbree and as a result, the Company changed its estimated provision for Qelbree product returns based on the most recent experience. The Company has entered into settlement and license agreements with third parties, permitting the sale of a generic version of Trokendi XR beginning in January 2023. In addition, the Company entered into settlement and license agreements with third parties, permitting the sale of a generic version of Oxtellar XR beginning in September 2024. The Company is actively monitoring returns activity in light of the loss of exclusivity and actual and possible further future sales decline based on timing of generic entry. The entry of a generic competitor may cause our future Trokendi XR and Oxtellar XR product return rates to change from historical trends, and this change could have a material effect on the future provision for product returns. Historically, we have experienced changes in estimates in return reserve calculations, but those adjustments have not been material to net earnings. However, given the extensive number of inputs and assumptions, described above, future changes in our return reserves could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Rebates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Rebates are discounts which we pay under either public sector or private sector health care programs. Rebates paid under public sector programs are generally mandated under law, whereas private sector rebates are generally contractually negotiated by us with managed care providers. Both types of rebates vary over time. Rebate amounts are typically based upon the volume of purchases using contractual or statutory prices, which may vary by product and by payer. For each type of rebate, the factors used in the calculations of the accruals for that rebate include the identification of the products subject to the rebate, applicable price terms and estimated lag time between sale and payment of the rebate, which can be significant. In order to establish the rebate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accruals, we use both internal and external data to estimate the level of inventory in the distribution channel and the rebate claims processing lag time for each type of rebate. To estimate the rebate percentage or net price, we track sales by product and by customer or payer. We evaluate inventory data reported by wholesalers, available prescription volume information, product pricing, historical experience and other factors in order to determine the adequacy of our accruals. We regularly monitor our accruals and record adjustments when rebate trends, rebate programs and contract terms, legislative changes, or other significant events indicate that a change in reserve is appropriate. Historically, adjustments to rebate accruals have not been material to net earnings.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Specifically, a significant portion of rebates we pay are on state Medicaid programs. We participate in state Medicaid programs wherein the lag time from the date of sale of our product when we accrue for provision for rebates and the ultimate invoicing by the individual state Medicaid program can occur up to several quarters after the sale of our product. Because of the time lag for Medicaid, in any particular quarter, our adjustments may incorporate revisions of accruals for prior periods. Estimates associated with our participation in state Medicaid programs are particularly susceptible to adjustment given the extensive time lag. Historically, adjustments to rebate accruals have not been material to net earnings, but there continues to be an extensive time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lag related to certain programs that could result in variability in future periods.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For a roll-forward of the accrued sales deductions, see the section entitled </w:t>
      </w:r>
      <w:r>
        <w:rPr>
          <w:rFonts w:ascii="Times New Roman;serif" w:hAnsi="Times New Roman;serif"/>
          <w:b w:val="false"/>
          <w:i/>
          <w:color w:val="000000"/>
          <w:sz w:val="20"/>
        </w:rPr>
        <w:t>Results of Operations - Revenues - Sales deductions and related accrual</w:t>
      </w:r>
      <w:r>
        <w:rPr>
          <w:rFonts w:ascii="Times New Roman;serif" w:hAnsi="Times New Roman;serif"/>
          <w:b w:val="false"/>
          <w:color w:val="000000"/>
          <w:sz w:val="20"/>
        </w:rPr>
        <w: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Business Combinations and Valuation of Acquired Assets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completed the Sage Acquisition on July 31, 2025. The transaction was accounted for as a business combination. To determine whether the acquisition should be accounted for as a business combination or as an asset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the Company made certain judgments regarding whether the acquired set of activities and assets met the definition of a business. Judgment is required in assessing whether the acquired processes or activities, along with their inputs, would be substantive to constitute a business, as defined by U.S. GAAP.</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acquisition method of accounting requires that we recognize the assets acquired and liabilities assumed at their acquisition date fair values. Goodwill is measured as the excess of consideration transferred over the acquisition date net fair values of the assets acquired and the liabilities assumed. The purchase price allocation is a critical accounting policy because the estimation of fair values of acquired assets and assumed liabilities is judgmental and requires various assumptions. Further, the amounts and useful lives assigned to depreciable and amortizable assets versus amounts assigned to Goodwill, which is not amortized, can significantly affect the results of operations in the period of and for periods subsequent to a business combination.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the price that would be received to sell an asset or paid to transfer a liability in an orderly transaction, and therefore represents an exit price. When identifiable intangible assets, are acquired, we determine the fair values of the assets as of the acquisition date. An income approach, which generally relies upon projected cash flow models, is used in estimating the fair value of the acquired intangible assets. These cash flow projections are based on management's estimates of economic and market conditions including: the estimated future cash flows from revenues of acquired assets; the timing and projection of costs and expenses, discount rates; and tax rates.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use our best estimates and assumptions as part of the process to value assets acquired and liabilities assumed at the acquisition date, our estimates are inherently uncertain and subject to refinement. During the measurement period, which occurs before finalization of the purchase price allocation, changes in assumptions and estimates that result in adjustments to the fair values of assets acquired and liabilities assumed, if based on facts and circumstances existing at the acquisition date, are recorded on a retroactive basis as of the acquisition date, with the corresponding offset to Goodwill. Any adjustments not based on facts and circumstances existing at the acquisition date, or if subsequent to the conclusion of the measurement period, will be recorded to our consolidated statements of earnings.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Refer to Note 3,</w:t>
      </w:r>
      <w:r>
        <w:rPr>
          <w:color w:val="000000"/>
        </w:rPr>
        <w:t xml:space="preserve"> </w:t>
      </w:r>
      <w:r>
        <w:rPr>
          <w:rFonts w:ascii="Times New Roman;serif" w:hAnsi="Times New Roman;serif"/>
          <w:b w:val="false"/>
          <w:i/>
          <w:color w:val="000000"/>
          <w:sz w:val="20"/>
        </w:rPr>
        <w:t>Sage Acquisition</w:t>
      </w:r>
      <w:r>
        <w:rPr>
          <w:rFonts w:ascii="Times New Roman;serif" w:hAnsi="Times New Roman;serif"/>
          <w:b w:val="false"/>
          <w:color w:val="000000"/>
          <w:sz w:val="20"/>
        </w:rPr>
        <w:t>, for further information.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Valuation of Contingent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contingent consideration resulting from a business combination at its fair value on the acquisition date. During the measurement period, if we obtain new information regarding facts and circumstances that existed as of the Sage Acquisition Closing Date that, if known, would have resulted in revised estimates of fair values of acquired assets, assumed liabilities or contingent consideration, the Company will accordingly revise its estimates of fair values and purchase price allocation. In addition, on a quarterly basis, we will revalue the contingent consideration liability and record increases or decreases in their fair value as an adjustment to operating earnings. The determination of the initial and subsequent value of the contingent consideration liability requires significant judgment by management. Changes in any of the inputs not related to facts and circumstances existing as of the acquisition date may result in a significant fair value adjustment, which can impact the results of operations in the period in which the adjustment is made.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reported contingent consideration liability of $11.4 million and $47.0 million, respectively, in its condensed consolidated balance sheets related to the Sage Acquisition, USWM Acquisition, and Adamas Acquisition.</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The Sage contingent consideration liability was $11.4 million as of September 30, 2025 is primarily associated with the fair value of the regulatory and commercial milestone and sale milestone contingent consideration payments. The key assumptions considered in estimating the fair value include the estimated probability and timing of milestone achievement, such as the probability and timing of obtaining regulatory approval in Japan. The drug regulatory approval process is inherently uncertain, and any adverse action taken by the Pharmaceuticals and Medical Devices Agency in Japan can potentially impact our estimated fair value of these regulatory and commercial activities milestones. The contingent consideration is related to one non-tradable contingent value right (CVR) which represents the contractual right to receive a contingent payment upon the achievement of the applicable regulatory and commercial milestones and sales-based milestones. The estimated fair value of the contingent consideration was determined using the Monte Carlo simulation. The key assumptions considered include the estimated amount and timing of projected cash flows, volatility, estimated discount rates and risk-free interest rate. The possible outcomes for the contingent consideration range from $0 to $234 million on an undiscounted basis. Refer to Note 3, </w:t>
      </w:r>
      <w:r>
        <w:rPr>
          <w:rFonts w:ascii="Times New Roman;serif" w:hAnsi="Times New Roman;serif"/>
          <w:b w:val="false"/>
          <w:i/>
          <w:color w:val="000000"/>
          <w:sz w:val="20"/>
        </w:rPr>
        <w:t>Sage Acquisition</w:t>
      </w:r>
      <w:r>
        <w:rPr>
          <w:rFonts w:ascii="Times New Roman;serif" w:hAnsi="Times New Roman;serif"/>
          <w:b w:val="false"/>
          <w:color w:val="000000"/>
          <w:sz w:val="20"/>
        </w:rPr>
        <w:t xml:space="preserve">, and Note 7, </w:t>
      </w:r>
      <w:r>
        <w:rPr>
          <w:rFonts w:ascii="Times New Roman;serif" w:hAnsi="Times New Roman;serif"/>
          <w:b w:val="false"/>
          <w:i/>
          <w:color w:val="000000"/>
          <w:sz w:val="20"/>
        </w:rPr>
        <w:t>Contingent Consideration</w:t>
      </w:r>
      <w:r>
        <w:rPr>
          <w:rFonts w:ascii="Times New Roman;serif" w:hAnsi="Times New Roman;serif"/>
          <w:b w:val="false"/>
          <w:color w:val="000000"/>
          <w:sz w:val="20"/>
        </w:rPr>
        <w:t>, for further information.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Impairment of Definite-Lived Intangible Assets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assesses the potential impairment of our finite-lived intangibles whenever events or changes in circumstances indicate that the carrying value may not be recoverable. The carrying amount of the definite-lived intangible assets, net was $623.5 million as of September 30, 2025. Changes that could prompt such an assessment may include significant or adverse changes in the legal and regulatory environment, the introduction or advancement of competitive products and product candidates, changes in market demand, declining revenue and/or other events that indicate it is more likely than not that fair value is less than its carrying value. If a review of the definite-lived intangibles indicates that the carrying value of certain of these assets is more than the estimated undiscounted future cash flows, an impairment charge is made, as required, to adjust the carrying value to the estimated fair value. Evaluating for impairment requires judgment, including evaluating current economic and competitive circumstances, estimating future cash flows, future growth rates and future profitability. The primary inputs and assumptions used in the model included timing and projections of estimated future revenues and cash flows, loss of exclusivity, and discount rate. If the carrying amount of the asset exceeds its fair value, the Company writes down the asset to its estimated fair value, and an impairment loss equal to the difference between the assets fair value and carrying value is recognized in the consolidated statement of earnings (loss) in the period at which such determination is made. The use of different assumptions could increase or decrease the estimated fair value of assets and could therefore affect any impairment measurement. There were no impairment charges for the three and nine months ended September 30,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the Three and Nine Months ended Months Ended September 30, 2025 and 2024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consist primarily of net product sales of our commercial products in the U.S., supplemented by royalty and licensing revenues from our collaborative licensing arrangements. The following table provides information regarding our revenues during the three and nine months ended months ended September 30, 2025 (dollars in thousands):</w:t>
      </w:r>
    </w:p>
    <w:tbl>
      <w:tblPr>
        <w:tblW w:w="11948" w:type="dxa"/>
        <w:jc w:val="left"/>
        <w:tblInd w:w="0" w:type="dxa"/>
        <w:tblLayout w:type="fixed"/>
        <w:tblCellMar>
          <w:top w:w="28" w:type="dxa"/>
          <w:left w:w="28" w:type="dxa"/>
          <w:bottom w:w="28" w:type="dxa"/>
          <w:right w:w="28" w:type="dxa"/>
        </w:tblCellMar>
      </w:tblPr>
      <w:tblGrid>
        <w:gridCol w:w="712"/>
        <w:gridCol w:w="324"/>
        <w:gridCol w:w="24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3"/>
        <w:gridCol w:w="233"/>
        <w:gridCol w:w="367"/>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3"/>
        <w:gridCol w:w="233"/>
        <w:gridCol w:w="418"/>
      </w:tblGrid>
      <w:tr>
        <w:trPr/>
        <w:tc>
          <w:tcPr>
            <w:tcW w:w="71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Qelbree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GOCOVRI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APOKYN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Trokendi XR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Oxtellar XR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ONAPGO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product sales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Collaboration revenue (ZURZUVAE)</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lineRule="auto" w:line="288" w:before="20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w:t>
      </w:r>
    </w:p>
    <w:p>
      <w:pPr>
        <w:pStyle w:val="TextBody"/>
        <w:bidi w:val="0"/>
        <w:spacing w:lineRule="auto" w:line="26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net product sales of MYOBLOC, XADAGO and Osmolex ER.</w:t>
      </w:r>
    </w:p>
    <w:p>
      <w:pPr>
        <w:pStyle w:val="TextBody"/>
        <w:bidi w:val="0"/>
        <w:spacing w:lineRule="auto" w:line="26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Includes the Company's proportionate share of sales of ZURZUVAE.</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Net Product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product sales were $168.5 million and $170.3 million for the three months ended September 30, 2025 and 2024, respectively. Net product sales were $468.5 million and $471.3 million for the nine months ended September 30, 2025 and 2024, respectively. The decrease in both periods was primarily due to the decline in net product sales of APOKYN due to lower volume and decline in net product sales of Oxtellar XR and Trokendi XR due to generic erosion, partially offset by the increases in net product sales from Qelbree and GOCOVRI due to higher volume and higher price, and ONAPGO which was launched in the second quarter of 2025.</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Adjustments related to prior year sales for the nine months period ended September 30, 2025 is approximately 4% of net product sales. The majority of the adjustments is attributable to Qelbree, reflecting favorable actual returns experienced in 2025. As a result, the Company changed its estimated provision for product returns based on the most recent experience. Adjustments related to prior year sales for the nine months period ended September 30, 2024 was approximately 2% of net product sales. Refer to discussion </w:t>
      </w:r>
      <w:r>
        <w:rPr>
          <w:rFonts w:ascii="Times New Roman;serif" w:hAnsi="Times New Roman;serif"/>
          <w:b w:val="false"/>
          <w:i/>
          <w:color w:val="000000"/>
          <w:sz w:val="20"/>
        </w:rPr>
        <w:t xml:space="preserve">Sales Deductions and Related Accruals </w:t>
      </w:r>
      <w:r>
        <w:rPr>
          <w:rFonts w:ascii="Times New Roman;serif" w:hAnsi="Times New Roman;serif"/>
          <w:b w:val="false"/>
          <w:color w:val="000000"/>
          <w:sz w:val="20"/>
        </w:rPr>
        <w:t xml:space="preserve">below.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currently own or operate manufacturing facilities for the commercial production of any of our commercial products. We currently depend on third-party clinical manufacturing organizations (CMOs), who offer a comprehensive range of contract manufacturing and packaging services, in various countries for the supply of active product ingredients (API), finished goods for our commercial products. For most of our commercial products, we rely on single source suppliers to produce and package final dosage forms for our products and raw materials, including API.</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4, 2025, the Company announced that due to stronger than expected demand for ONAPGO, supplier constraints are impacting the Company's ability to fully meet this demand. ONAPGO is manufactured in Europe, supplied to us by our ONAPGO licensing partner, and packaged in the U.S. by a third-party CMO. We rely on single source suppliers to produce and package final dosage forms for ONAPGO. A change in supplier would require regulatory approval which could cause a delay in manufacturing and a possible loss of sales, which could affect future operating results adversely.</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Sales Deductions and Related Accruals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pPr>
      <w:r>
        <w:rPr>
          <w:rFonts w:ascii="Times New Roman;serif" w:hAnsi="Times New Roman;serif"/>
          <w:b w:val="false"/>
          <w:color w:val="000000"/>
          <w:sz w:val="20"/>
        </w:rPr>
        <w:t>We record accrued product returns and accrued product rebates as current liabilities in</w:t>
      </w:r>
      <w:r>
        <w:rPr>
          <w:color w:val="000000"/>
        </w:rPr>
        <w:t xml:space="preserve"> </w:t>
      </w:r>
      <w:r>
        <w:rPr>
          <w:rFonts w:ascii="Times New Roman;serif" w:hAnsi="Times New Roman;serif"/>
          <w:b w:val="false"/>
          <w:i/>
          <w:color w:val="000000"/>
          <w:sz w:val="20"/>
        </w:rPr>
        <w:t xml:space="preserve">Accrued product returns and rebates, </w:t>
      </w:r>
      <w:r>
        <w:rPr>
          <w:rFonts w:ascii="Times New Roman;serif" w:hAnsi="Times New Roman;serif"/>
          <w:b w:val="false"/>
          <w:color w:val="000000"/>
          <w:sz w:val="20"/>
        </w:rPr>
        <w:t xml:space="preserve">on our condensed consolidated balance sheets. We record sales discounts as a reduction against </w:t>
      </w:r>
      <w:r>
        <w:rPr>
          <w:rFonts w:ascii="Times New Roman;serif" w:hAnsi="Times New Roman;serif"/>
          <w:b w:val="false"/>
          <w:i/>
          <w:color w:val="000000"/>
          <w:sz w:val="20"/>
        </w:rPr>
        <w:t xml:space="preserve">Accounts receivable, net </w:t>
      </w:r>
      <w:r>
        <w:rPr>
          <w:rFonts w:ascii="Times New Roman;serif" w:hAnsi="Times New Roman;serif"/>
          <w:b w:val="false"/>
          <w:color w:val="000000"/>
          <w:sz w:val="20"/>
        </w:rPr>
        <w:t>on the unaudited condensed consolidated balance sheets. Both amounts are generally affected by changes in gross product sales, changes in the provision for net product sales deductions, and the timing of payments/credits.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summary of activity with respect to accrued product returns and rebates and sales discounts during the periods indicated (dollars in thousands): </w:t>
      </w:r>
    </w:p>
    <w:tbl>
      <w:tblPr>
        <w:tblW w:w="8560" w:type="dxa"/>
        <w:jc w:val="left"/>
        <w:tblInd w:w="0" w:type="dxa"/>
        <w:tblLayout w:type="fixed"/>
        <w:tblCellMar>
          <w:top w:w="28" w:type="dxa"/>
          <w:left w:w="28" w:type="dxa"/>
          <w:bottom w:w="28" w:type="dxa"/>
          <w:right w:w="28" w:type="dxa"/>
        </w:tblCellMar>
      </w:tblPr>
      <w:tblGrid>
        <w:gridCol w:w="956"/>
        <w:gridCol w:w="839"/>
        <w:gridCol w:w="845"/>
        <w:gridCol w:w="241"/>
        <w:gridCol w:w="826"/>
        <w:gridCol w:w="124"/>
        <w:gridCol w:w="124"/>
        <w:gridCol w:w="124"/>
        <w:gridCol w:w="124"/>
        <w:gridCol w:w="241"/>
        <w:gridCol w:w="946"/>
        <w:gridCol w:w="124"/>
        <w:gridCol w:w="109"/>
        <w:gridCol w:w="109"/>
        <w:gridCol w:w="109"/>
        <w:gridCol w:w="243"/>
        <w:gridCol w:w="831"/>
        <w:gridCol w:w="127"/>
        <w:gridCol w:w="109"/>
        <w:gridCol w:w="109"/>
        <w:gridCol w:w="109"/>
        <w:gridCol w:w="211"/>
        <w:gridCol w:w="82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 Product Returns and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Returns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Sales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related to:</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sales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295,146 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Actual payments/credits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(269,286)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141,190 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60" w:type="dxa"/>
        <w:jc w:val="left"/>
        <w:tblInd w:w="0" w:type="dxa"/>
        <w:tblLayout w:type="fixed"/>
        <w:tblCellMar>
          <w:top w:w="28" w:type="dxa"/>
          <w:left w:w="28" w:type="dxa"/>
          <w:bottom w:w="28" w:type="dxa"/>
          <w:right w:w="28" w:type="dxa"/>
        </w:tblCellMar>
      </w:tblPr>
      <w:tblGrid>
        <w:gridCol w:w="956"/>
        <w:gridCol w:w="839"/>
        <w:gridCol w:w="845"/>
        <w:gridCol w:w="241"/>
        <w:gridCol w:w="826"/>
        <w:gridCol w:w="124"/>
        <w:gridCol w:w="124"/>
        <w:gridCol w:w="124"/>
        <w:gridCol w:w="124"/>
        <w:gridCol w:w="241"/>
        <w:gridCol w:w="946"/>
        <w:gridCol w:w="124"/>
        <w:gridCol w:w="109"/>
        <w:gridCol w:w="109"/>
        <w:gridCol w:w="109"/>
        <w:gridCol w:w="243"/>
        <w:gridCol w:w="831"/>
        <w:gridCol w:w="127"/>
        <w:gridCol w:w="109"/>
        <w:gridCol w:w="109"/>
        <w:gridCol w:w="109"/>
        <w:gridCol w:w="211"/>
        <w:gridCol w:w="82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 Product Returns and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Returns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Sales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57,290 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related to:</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sales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293,587 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Actual payments/credits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(278,876)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111,695 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Accrued Product Returns and Rebates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accrued product returns balance decreased to $43.3 million as of September 30, 2025 from $57.4 million as of September 30, 2024. This decrease was primarily due to the $16.3 million of estimated provision for product returns related to prior year sales. The majority of the provision for product returns related to prior year sales is attributable to Qelbree, reflecting continued favorable actual returns experienced in 2025 for Qelbree. As a result, the Company changed its estimated provision for product returns based on the most recent experience.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accrued product rebates balance increased to $141.2 million as of September 30, 2025 from $111.7 million as of September 30, 2024 primarily due to timing of payments associated with government programs. </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Provision for Product Returns and Rebates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product returns decreased to $(6.6) million for the three months ended September 30, 2025 from $8.3 million for the three months ended September 30, 2024. The decrease was primarily due to the aforementioned reduction of $16.3 million of estimated provision for product returns related to prior year sales.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provision for product rebates increased to $295.1 million for nine months ended September 30, 2025 from $293.6 million for the nine months ended September 30, 2024. The increase was primarily attributable to higher Qelbree sales and unfavorability in government programs as a result of product price increases in Q1 2025.</w:t>
      </w:r>
    </w:p>
    <w:p>
      <w:pPr>
        <w:pStyle w:val="TextBody"/>
        <w:bidi w:val="0"/>
        <w:spacing w:lineRule="auto" w:line="288" w:before="20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Collaboration Revenue (ZURZUVAE)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Collaboration revenue (ZURZUVAE) was $20.2 million for the three months ended September 30, 2025 and for the nine months ended September 30, 2025. The increase was due to the Sage Acquisition in July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Royalty, Licensing and Other Revenues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 were $3.4 million and $5.4 million for the three months ended September 30, 2025 and 2024, respectively. The decrease was primarily due to lower royalty revenues. Royalty, licensing and other revenues were $18.7 million and $16.4 million for the nine months ended September 30, 2025 and 2024, respectively. The increase was primarily due to an increase in licensing revenues related to the achievement of a milestone under a licensing agreement for Qelbree, and an increase in royalty revenues from Oxtellar XR. The Company entered into settlement and license agreements that allowed a third party to enter the Oxtellar XR market in September 2024.</w:t>
      </w:r>
    </w:p>
    <w:p>
      <w:pPr>
        <w:pStyle w:val="TextBody"/>
        <w:bidi w:val="0"/>
        <w:spacing w:lineRule="auto" w:line="288" w:before="20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Revenues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 was $19.0 million and $17.6 million for the three months ended September 30, 2025 and 2024, respectively. The increase was primarily driven by increases in Qelbree due to higher sales and ONAPGO which was launched in the second quarter of 2025 partially offset by lower APOKYN royalties due to lower sales offset. Cost of revenues was $51.6 million and $51.8 million for the nine months ended September 30, 2025 and 2024, respectively. The decrease in was primarily driven by lower APOKYN royalties due to lower sales and decrease in Oxtellar XR sales due to generic erosion, principally offset by increases in Qelbree due to higher sales and ONAPGO, which was launched in the second quarter of 2025. </w:t>
      </w:r>
    </w:p>
    <w:p>
      <w:pPr>
        <w:pStyle w:val="TextBody"/>
        <w:bidi w:val="0"/>
        <w:spacing w:lineRule="auto" w:line="288" w:before="20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Research and Development Expenses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(R&amp;D) expenses were $29.4 million and $29.0 million for the three months ended September 30, 2025 and 2024, respectively. R&amp;D expenses were $78.4 million and $80.1 million for the nine months ended September 30, 2025 and 2024, respectively. The decrease in the year to date period was primarily due to decreased clinical program costs on SPN-820, partially offset by the increase in clinical program costs on SPN-817 and the Company's share of R&amp;D expenses from the collaboration arrangement with Biogen. The Company acquired a collaboration agreement with Biogen as part of the acquisition of Sage in July 2025.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Selling, General and Administrative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selling, general and administrative (SG&amp;A) expenses during the periods indicated (dollars in thousands):</w:t>
      </w:r>
    </w:p>
    <w:tbl>
      <w:tblPr>
        <w:tblW w:w="11718" w:type="dxa"/>
        <w:jc w:val="left"/>
        <w:tblInd w:w="0" w:type="dxa"/>
        <w:tblLayout w:type="fixed"/>
        <w:tblCellMar>
          <w:top w:w="28" w:type="dxa"/>
          <w:left w:w="28" w:type="dxa"/>
          <w:bottom w:w="28" w:type="dxa"/>
          <w:right w:w="28" w:type="dxa"/>
        </w:tblCellMar>
      </w:tblPr>
      <w:tblGrid>
        <w:gridCol w:w="687"/>
        <w:gridCol w:w="301"/>
        <w:gridCol w:w="303"/>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20"/>
        <w:gridCol w:w="220"/>
        <w:gridCol w:w="22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06"/>
        <w:gridCol w:w="206"/>
        <w:gridCol w:w="294"/>
      </w:tblGrid>
      <w:tr>
        <w:trPr/>
        <w:tc>
          <w:tcPr>
            <w:tcW w:w="68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and marketing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Selling and marketing expenses were $77.1 million and $54.3 million for the three months ended September 30, 2025 and 2024, respectively. Selling and marketing expenses were $205.5 million and $172.7 million for the nine months ended September 30, 2025 and 2024, respectively. The increases in both periods were primarily due to higher professional and consulting expenses, higher employee-related expenses, higher marketing expense related to ONAPGO, which was launched in second quarter of 2025, and the Company's share of commercial expenses from the collaboration arrangement with Biogen.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were $102.6 million and $15.4 million for the three months ended September 30, 2025 and 2024, respectively. General and administrative expenses were $157.7 million and $69.5 million for the nine months ended September 30, 2025 and 2024, respectively. The increases in both periods were primarily due to the acquisition-related costs associated with the acquisition of Sage in July 2025.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Amortization of Intangible Assets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was $24.3 million and $19.5 million for the three months ended September 30, 2025 and 2024, respectively. Amortization of intangible assets was $64.9 million and $59.7 million for the nine months ended September 30, 2025 and 2024, respectively. The increase was primarily due to ONAPGO and ZURZUVAE intangible assets amortization expense in 2025 offset by amortization expense in 2024 for Oxtellar XR and Namzaric intangible assets, which were fully amortized in 2024. ONAPGO was previously accounted for as an indefinite-lived intangible asset not subject to amortization. ZURZUVAE intangible asset was acquired as part of the Sage Acquisition in July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Contingent Consideration Loss (Gain)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was $0.0 million and a gain of $1.0 million for the three months ended September 30, 2025 and 2024, respectively. The change was primarily due to the achievement of the milestones associated with the USWM contingent consideration liabilities in 2025.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was a loss of $7.7 million and a gain of $6.5 million for the nine months ended September 30, 2025 and 2024, respectively. The change to loss for the nine months ended September 30, 2025 was primarily driven by the accretion of the USWM contingent consideration liabilities to the full milestone payment amounts with the approval of ONAPGO by the FDA in February 2025.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 Income (Expense)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was an income of $2.3 million and $4.1 million for the three months ended September 30, 2025 and 2024, respectively. The decrease was due to lower interest income on marketable securities largely driven by sale of marketable securities holdings of which the proceeds were used to partially fund the Sage Acquisition in July 2025. Other income (expense) was an income of $11.2 million and $11.2 million for the nine months ended September 30, 2025 and 2024, respectively.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Income Tax Expense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was $12.8 million (22.2% effective tax rate) and income tax expense was $12.7 million (26.9% effective tax rate) for the three and nine months ended September 30, 2025, as compared to an income tax expense of $6.4 million (14.3% effective tax rate) and $13.0 million (18.1% effective tax rate) for the three and nine months ended September 30, 2024. The change in income tax expense (benefit) in both periods was primarily due to decreased pre-tax book income for the three and nine months ended September 30, 2025, and higher forecasted earnings before taxes, as compared to the same periods in 2024.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rates for the three months ended September 30, 2025 varies from the statutory federal tax rate in the United States (U.S. federal tax rate) of 21% primarily due to state taxes and non-deductible transaction costs, offset by tax benefits related to research and development tax credits. The Company's effective income tax rates for the nine months ended September 30, 2025 varies from the statutory federal tax rate in the United States (U.S. federal tax rate) of 21% primarily due to state taxes and non-deductible transaction costs, offset by tax benefits related to a state tax refund and research and development tax credits. The Company's effective income tax rates for the three and nine months ended September 30, 2024 vary from the statutory U.S. federal tax rate primarily due to state taxes, offset by tax benefits related to research and development tax credits.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The annual forecasted earnings represent the Company's best estimate as of September 30, 2025 and 2024, are subject to change and could have a material impact on the effective tax rate in subsequent periods. Accounting Standard Codification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(ASC 740), requires the Company to estimate the annual effective income tax rate for the full year and apply it to pre-tax income (loss) for each interim period, taking into account year-to-date amounts and projected results for the full year.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and Cash Equivalents, Marketable Securities and Restricted Cash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current marketable securities and restricted cash are comprised of the following (dollars in thousands): </w:t>
      </w:r>
    </w:p>
    <w:tbl>
      <w:tblPr>
        <w:tblW w:w="7464" w:type="dxa"/>
        <w:jc w:val="center"/>
        <w:tblInd w:w="0" w:type="dxa"/>
        <w:tblLayout w:type="fixed"/>
        <w:tblCellMar>
          <w:top w:w="28" w:type="dxa"/>
          <w:left w:w="28" w:type="dxa"/>
          <w:bottom w:w="28" w:type="dxa"/>
          <w:right w:w="28" w:type="dxa"/>
        </w:tblCellMar>
      </w:tblPr>
      <w:tblGrid>
        <w:gridCol w:w="820"/>
        <w:gridCol w:w="720"/>
        <w:gridCol w:w="724"/>
        <w:gridCol w:w="211"/>
        <w:gridCol w:w="826"/>
        <w:gridCol w:w="109"/>
        <w:gridCol w:w="109"/>
        <w:gridCol w:w="109"/>
        <w:gridCol w:w="109"/>
        <w:gridCol w:w="211"/>
        <w:gridCol w:w="826"/>
        <w:gridCol w:w="109"/>
        <w:gridCol w:w="109"/>
        <w:gridCol w:w="109"/>
        <w:gridCol w:w="109"/>
        <w:gridCol w:w="211"/>
        <w:gridCol w:w="901"/>
        <w:gridCol w:w="109"/>
        <w:gridCol w:w="109"/>
        <w:gridCol w:w="109"/>
        <w:gridCol w:w="109"/>
        <w:gridCol w:w="206"/>
        <w:gridCol w:w="206"/>
        <w:gridCol w:w="29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believes its balances of cash, cash equivalents, and unrestricted marketable securities, which totaled $281.2 million as of September 30, 2025, along with cash generated from ongoing operations and continued access to debt markets, will be sufficient to satisfy its cash requirements over the next 12 months and beyond.</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continued profitability in future years, we anticipate there may be significant variability from year to year in the level of our profits particularly due to continued market and payor pressures for our commercial products; the unfavorable impact of the loss of patent exclusivity for Trokendi XR in January 2023 and Oxtellar XR in September 2024; the potential unfavorable impact of the forthcoming loss of exclusivity of XADAGO; funding for research and development of our product candidates; the additional funding for the launch of ONAPGO, which was approved by the FDA in February 2025 and launched in April 2025, and the additional funding for the marketing of ZURZUVAE which was acquired as part of the Sage Acquisition in July 2025. During the third quarter of 2025 our marketable securities were lower than during the third quarter of 2024 as a portion of the marketable securities we held were sold to fund the Sage Acquisition.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from time to time, consider raising additional capital through: new collaborative arrangements; strategic alliances; additional equity and/or financings from debt or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flows are comprised of the following (dollars in thousands):</w:t>
      </w:r>
    </w:p>
    <w:tbl>
      <w:tblPr>
        <w:tblW w:w="9087" w:type="dxa"/>
        <w:jc w:val="left"/>
        <w:tblInd w:w="0" w:type="dxa"/>
        <w:tblLayout w:type="fixed"/>
        <w:tblCellMar>
          <w:top w:w="28" w:type="dxa"/>
          <w:left w:w="28" w:type="dxa"/>
          <w:bottom w:w="28" w:type="dxa"/>
          <w:right w:w="28" w:type="dxa"/>
        </w:tblCellMar>
      </w:tblPr>
      <w:tblGrid>
        <w:gridCol w:w="1766"/>
        <w:gridCol w:w="1549"/>
        <w:gridCol w:w="1560"/>
        <w:gridCol w:w="211"/>
        <w:gridCol w:w="826"/>
        <w:gridCol w:w="109"/>
        <w:gridCol w:w="109"/>
        <w:gridCol w:w="109"/>
        <w:gridCol w:w="109"/>
        <w:gridCol w:w="211"/>
        <w:gridCol w:w="826"/>
        <w:gridCol w:w="109"/>
        <w:gridCol w:w="109"/>
        <w:gridCol w:w="109"/>
        <w:gridCol w:w="109"/>
        <w:gridCol w:w="211"/>
        <w:gridCol w:w="901"/>
        <w:gridCol w:w="154"/>
      </w:tblGrid>
      <w:tr>
        <w:trPr/>
        <w:tc>
          <w:tcPr>
            <w:tcW w:w="176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in):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activities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Investing activities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Financing activities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$27.5 million compared to $127.5 million for the nine months ended September 30, 2025, and 2024, respectively. The decrease in cash flows provided by operating activities is primarily due to the decrease in net earnings as well as changes in working capital. The Company reported net loss of $34.4 million and net earnings of $58.5 million for the nine months ended September 30, 2025 and and 2024, respectively. The decline in earnings is principally due to $70.9 million acquisition-related costs incurred related to the to the Sage Acquisition in July 2025.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$55.4 million for the nine months ended September 30, 2025 compared to net cash used in investing activities of $177.2 million during the same period in 2024. The change was primarily due to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Cash outflows related to the Sage Acquisition in 2025 (net of cash acquired) of $293.1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cash inflows from marketable securities activity were higher in 2025 compared to the same period in 2024 due to maturities of the marketable securities, whereby the proceeds were used to fund the Sage Acquisition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$0.6 million for the nine months ended September 30, 2025 compared to $6.3 million provided by during the same period in 2024. The change was primarily due to the payment of USWM contingent consideration milestones, offset by higher proceeds from the issuances of common stock in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Material Cash Requirements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Refer to "Part II, Item 7 — Management's Discussion and Analysis of Liquidity and Capital Resources" of our Annual Report on Form 10-K for the year ended December 31, 2024, and Note 17,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xml:space="preserve">, in the Notes to the Condensed Consolidated Financial Statements in Part I, Item 1, Unaudited Condensed Consolidated Financial Statements, of this Quarterly Report on Form 10-Q for the discussion of our contractual obligations.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Milestone Payment Obligations from Sage Acquisition</w:t>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contingent consideration milestones payable related to the Sage Acquisition. As of September 30, 2025, all milestone payments remain outstanding and payable upon achievement.</w:t>
      </w:r>
    </w:p>
    <w:p>
      <w:pPr>
        <w:pStyle w:val="TextBody"/>
        <w:bidi w:val="0"/>
        <w:spacing w:lineRule="auto" w:line="276"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terms of the Sage CVR Agreement, $1.00 per share ($66.9 million) would be payable if in any calendar year between closing and end of 2027, annual net sales (as defined in the Sage CVR Agreement) of ZURZUVAE allocable to Supernus or any of its affiliates reach $250 million or more in the U.S., $1.00 per share ($66.9 million) would be payable if in any calendar year between closing and end of 2028, annual net sales (as defined in the Sage CVR Agreement) of ZURZUVAE allocable to Supernus or any of its affiliates reach $300 million or more in the U.S., (3) $1.00 per share ($66.9 million) would be payable if in any calendar year between closing and end of 2030, annual net sales (as defined in the Sage CVR Agreement) of ZURZUVAE allocable to Supernus or any of its affiliates reach $375 million or more in the U.S., and (4) $0.50 per share ($33.4 million) per share would be payable upon the first commercial sale in Japan to a third-party customer after regulatory approval for ZURZUVAE for the treatment of major depressive disorder (MDD) in Japan by June 30, 2026.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possible outcomes for the contingent consideration range, on an undiscounted basis, range from $0 to $234 million.</w:t>
      </w:r>
    </w:p>
    <w:p>
      <w:pPr>
        <w:pStyle w:val="TextBody"/>
        <w:bidi w:val="0"/>
        <w:spacing w:lineRule="auto" w:line="268" w:before="200" w:after="200"/>
        <w:ind w:left="0" w:right="0" w:firstLine="720"/>
        <w:jc w:val="left"/>
        <w:rPr/>
      </w:pPr>
      <w:r>
        <w:rPr>
          <w:rFonts w:ascii="Times New Roman;serif" w:hAnsi="Times New Roman;serif"/>
          <w:b w:val="false"/>
          <w:color w:val="000000"/>
          <w:sz w:val="20"/>
        </w:rPr>
        <w:t>Further, with the Sage Acquisition in the third quarter of 2025, our investment balance decreased as marketable securities were sold to fund the acquisition of Sage. Refer to Part II, Item 2 -</w:t>
      </w:r>
      <w:r>
        <w:rPr>
          <w:color w:val="000000"/>
        </w:rPr>
        <w:t xml:space="preserve"> </w:t>
      </w:r>
      <w:r>
        <w:rPr>
          <w:rFonts w:ascii="Times New Roman;serif" w:hAnsi="Times New Roman;serif"/>
          <w:b w:val="false"/>
          <w:i/>
          <w:color w:val="000000"/>
          <w:sz w:val="20"/>
        </w:rPr>
        <w:t>M</w:t>
      </w:r>
      <w:r>
        <w:rPr>
          <w:rFonts w:ascii="Times New Roman;serif" w:hAnsi="Times New Roman;serif"/>
          <w:b/>
          <w:i/>
          <w:color w:val="000000"/>
          <w:sz w:val="20"/>
        </w:rPr>
        <w:t>a</w:t>
      </w:r>
      <w:r>
        <w:rPr>
          <w:rFonts w:ascii="Times New Roman;serif" w:hAnsi="Times New Roman;serif"/>
          <w:b w:val="false"/>
          <w:i/>
          <w:color w:val="000000"/>
          <w:sz w:val="20"/>
        </w:rPr>
        <w:t>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and Management's discussion on </w:t>
      </w:r>
      <w:r>
        <w:rPr>
          <w:rFonts w:ascii="Times New Roman;serif" w:hAnsi="Times New Roman;serif"/>
          <w:b w:val="false"/>
          <w:i/>
          <w:color w:val="000000"/>
          <w:sz w:val="20"/>
        </w:rPr>
        <w:t>Financial Condition, Liquidity and Capital Resources</w:t>
      </w:r>
      <w:r>
        <w:rPr>
          <w:color w:val="000000"/>
        </w:rPr>
        <w:t xml:space="preserve"> </w:t>
      </w:r>
      <w:r>
        <w:rPr>
          <w:rFonts w:ascii="Times New Roman;serif" w:hAnsi="Times New Roman;serif"/>
          <w:b w:val="false"/>
          <w:color w:val="000000"/>
          <w:sz w:val="20"/>
        </w:rPr>
        <w:t xml:space="preserve">of this Quarterly Report on Form 10-Q for the period ended September 30, 2025, and Note 1, </w:t>
      </w:r>
      <w:r>
        <w:rPr>
          <w:rFonts w:ascii="Times New Roman;serif" w:hAnsi="Times New Roman;serif"/>
          <w:b w:val="false"/>
          <w:i/>
          <w:color w:val="000000"/>
          <w:sz w:val="20"/>
        </w:rPr>
        <w:t>Business Organization</w:t>
      </w:r>
      <w:r>
        <w:rPr>
          <w:rFonts w:ascii="Times New Roman;serif" w:hAnsi="Times New Roman;serif"/>
          <w:b w:val="false"/>
          <w:color w:val="000000"/>
          <w:sz w:val="20"/>
        </w:rPr>
        <w:t>, in the Notes to the Unaudited Condensed Consolidated Financial Statements in Part I, Item 1, Unaudited Condensed Consolidated Financial Statements, of this Quarterly Report on Form 10-Q for discussion of the acquisition of Sage Therapeutics, Inc.</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Manufacturing Purchase Obligations from Acquisitions</w:t>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USWM Acquisition in June 2020, the Company assumed the annual minimum purchase requirement of MYOBLOC, amounting to an estimated €3.0 million annually, under the contract manufacturing agreement with Merz for manufacture and supply. An amendment to the contract manufacturing agreement with Merz was executed in July 2025. Amendments to the contract manufacturing agreement included among other things, the removal of the annual minimum purchase requirement of MYOBLOC, and the Company's agreement to pay a nonrefundable annual fee of €3.0 million to cover general maintenance and reservation costs for the manufacturing facilities. </w:t>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other obligations in which the timing, likelihood, and, in some situations, the amount of such payments are not known, which include the following: any milestone payments which may become payable to third parties under license agreements or contractual agreements regarding our clinical trials, or those which may become payable to third parties under license agreements or contractual agreements regarding our clinical trials, or those which may become payable upon achieving sales, regulatory, and developmental milestones per contractual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For a discussion of new accounting pronouncements, see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in the Notes to the Condensed Consolidated Financial Statements in Part I, Item 1, Unaudited Condensed Consolidated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and cash equivalents and marketable securities. As of September 30, 2025, we had cash and cash equivalents and marketable securities of $281.2 million. </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we may borrow funds under the Credit Line. Variable rate borrowing, which may occur under the Credit Line, exposes us to interest rate risk as increases in interest rates would increase our borrowing costs. Any borrowed funds pursuant to our Credit Line are subject to a collateral maintenance requirement. The Credit Line is secured primarily by our portfolio of marketable securities, which is primarily comprised of corporate and U.S. government agency and municipal debt securities and may fluctuate in value. The fluctuations may be driven by, among other things, changes in interest rates, economic conditions, and other financial conditions as well as idiosyncratic factors related to a security's issuer. To the extent a fluctuation in value results in the value of the collateral decreasing below the required collateral maintenance requirements we may be required to promptly post additional collateral. Additionally, our Credit Line is an uncommitted facility that may be terminated by the lender at any time. During periods of rapidly changing interest rates, economic conditions or other financial conditions, the Credit Line may be terminated by the lender and/or the lender may declare that all borrowings thereunder are immediately due. </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consist primarily of cash held at banks and investments in highly liquid financial instruments with an original maturity of three months or less. Our marketable securities, which are reported at fair value, consist of investments in U.S. Treasury bills and notes; bank certificates of deposit; various U.S. governmental agency debt securities; and corporate and municipal debt securities. We place all investments with governmental, industrial, or financial institutions whose debt is rated as investment grade. We generally hold these securities to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have any currency or derivative financial instruments.</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contract with clinical research organizations (CROs) and investigational sites globally. Currently, we have ongoing clinical trials being conducted outside of the U.S. We do not hedge our foreign currency exchange rate risk. Transactions denominated in currencies other than the U.S. dollar are recorded based on exchange rates at the time such transactions arise. As of September 30, 2025 and December 31, 2024, substantially all of our liabilities were denominated in the U.S. dollar.</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Inflation generally affects us by increasing our cost of labor and the cost of services provided by our vendors. We do not believe that inflation and changing prices over the year ended December 31, 2024, and the nine months ended September 30, 2025 had a significant impact on our consolidated results of operations. While we expect significant year-to-year variability in labor and vendor service costs due to uncontrollable inflation factors like natural disasters, geopolitical conflicts, tariffs, and government regulations, we strive to mitigate future price risks. We do this by forming strong partnerships with key suppliers and our CMOs, and by directly managing the procurement and supply levels of key raw materials for our commercial products. However, these efforts may not fully protect us from cost increases, which could adversely impact our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conducted an evaluation of the effectiveness of the design and operation of our disclosure controls and procedures as of September 30, 2025, the end of the period covered by this report. Based on that evaluation, under the supervision and with the participation of our management, including our CEO and CFO, we concluded that our disclosure controls and procedures are effective as of September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CEO and CFO, evaluated changes in our internal control over financial reporting that occurred during the quarter ended September 30, 2025.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September 30, 2025, the Company completed its acquisition of Sage Therapeutics, Inc. (Sage). Other than the implementation of 1) controls related to the accounting of the Sage Acquisition, 2) integrating the Sage business where certain controls will be evaluated and may change, and 3) the related financial statement reporting, there have been no changes in our internal control over financial reporting that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and in the ordinary course of business, Supernus Pharmaceuticals, Inc. (the "Company") and any of its subsidiaries may be subject to various claims, charges and litigation. The Company and any of its subsidiaries may be required to file infringement claims against third parties for the infringement of our patents.</w:t>
      </w:r>
    </w:p>
    <w:p>
      <w:pPr>
        <w:pStyle w:val="TextBody"/>
        <w:bidi w:val="0"/>
        <w:spacing w:lineRule="auto" w:line="288" w:before="200" w:after="200"/>
        <w:jc w:val="left"/>
        <w:rPr/>
      </w:pPr>
      <w:r>
        <w:rPr>
          <w:rFonts w:ascii="Times New Roman;serif" w:hAnsi="Times New Roman;serif"/>
          <w:b/>
          <w:i/>
          <w:color w:val="000000"/>
          <w:sz w:val="20"/>
        </w:rPr>
        <w:t>Qelbree</w:t>
      </w:r>
      <w:r>
        <w:rPr>
          <w:rFonts w:ascii="Times New Roman;serif" w:hAnsi="Times New Roman;serif"/>
          <w:b/>
          <w:i/>
          <w:color w:val="000000"/>
          <w:sz w:val="13"/>
        </w:rPr>
        <w:t>®</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I.Supernus Pharmaceuticals, Inc. v. Appco Pharma LLC and Somerset Therapeutics LLC, No. 2:25-cv-12183 (MEF)(MAH) (D.N.J.)</w:t>
      </w:r>
    </w:p>
    <w:p>
      <w:pPr>
        <w:pStyle w:val="TextBody"/>
        <w:bidi w:val="0"/>
        <w:spacing w:lineRule="auto" w:line="268" w:before="0" w:after="0"/>
        <w:ind w:left="0" w:right="0" w:firstLine="720"/>
        <w:jc w:val="left"/>
        <w:rPr/>
      </w:pPr>
      <w:r>
        <w:rPr>
          <w:rFonts w:ascii="Times New Roman;serif" w:hAnsi="Times New Roman;serif"/>
          <w:b w:val="false"/>
          <w:color w:val="000000"/>
          <w:sz w:val="20"/>
        </w:rPr>
        <w:t>The Company received Paragraph IV Notice Letters from generic drug makers Appco Pharma LLC ("Appco") and Somerset Therapeutics LLC ("Somerset") dated May 21, 2025, and June 9,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June 26, 2025, the Company filed a lawsuit against Appco and Somerset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New Jersey—alleges, inter alia, that Appco and Somerset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prior to the expiration of the Company's patents. Filing its June 26, 2025, Complaint within 45 days of receiving Appco and Somerset's Paragraph IV certification notice entitles Supernus to an automatic stay preventing the FDA from approving Appco and Somerset's ANDA until October 2, 2028. On September 22, 2025, Appco and Somerset answered the Complaint and denied the substantive allegations of the Complaint, asserting affirmative defenses that include non-infringement and invalidity. Appco and Somerset also asserted Counterclaims that include requests for declaratory judgments of non-infringement and invalidity. On October 28, 2025, the Company filed its reply, denying the substantive allegations of Appco’s and Somerset’s Counterclaims. As of the date of this submission, the Court has not issued a Scheduling Order.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II. Supernus Pharmaceuticals, Inc. v. Appco Pharma LLC, et al., C.A. No. 25-cv-807 (JLH) (D. Del.)</w:t>
      </w:r>
    </w:p>
    <w:p>
      <w:pPr>
        <w:pStyle w:val="TextBody"/>
        <w:bidi w:val="0"/>
        <w:spacing w:lineRule="auto" w:line="268" w:before="0" w:after="0"/>
        <w:ind w:left="0" w:right="0" w:firstLine="720"/>
        <w:jc w:val="left"/>
        <w:rPr/>
      </w:pPr>
      <w:r>
        <w:rPr>
          <w:rFonts w:ascii="Times New Roman;serif" w:hAnsi="Times New Roman;serif"/>
          <w:b w:val="false"/>
          <w:color w:val="000000"/>
          <w:sz w:val="20"/>
        </w:rPr>
        <w:t>The Company received Paragraph IV Notice Letters from generic drug makers Appco Pharma LLC ("Appco") and Somerset Therapeutics LLC ("Somerset") dated May 21, 2025, and June 9,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 2025, the Company filed a lawsuit against Appco and Somerset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Delaware—alleges, inter alia, that Appco and Somerset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July 1, 2025, Complaint within 45 days of receiving Appco and Somerset's Paragraph IV certification notice entitles Supernus to an automatic stay preventing the FDA from approving Appco and Somerset's ANDA until October 2, 2028. On September 29, 2025, Supernus filed a notice of voluntary dismissal of the Complaint without prejudice. The dismissal will not impact the co</w:t>
        <w:noBreakHyphen/>
        <w:t>pending matter against Appco and Somerset, C.A. No. 25-cv-12183 (MEF)(MAH) (D.N.J.), discussed in Section I, above.</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III. Supernus Pharmaceuticals, Inc. v. Apotex Inc., No. 2:25-cv-12184 (MEF)(MAH) (D.N.J.)</w:t>
      </w:r>
    </w:p>
    <w:p>
      <w:pPr>
        <w:pStyle w:val="TextBody"/>
        <w:bidi w:val="0"/>
        <w:spacing w:lineRule="auto" w:line="268" w:before="0" w:after="0"/>
        <w:ind w:left="0" w:right="0" w:firstLine="720"/>
        <w:jc w:val="left"/>
        <w:rPr/>
      </w:pPr>
      <w:r>
        <w:rPr>
          <w:rFonts w:ascii="Times New Roman;serif" w:hAnsi="Times New Roman;serif"/>
          <w:b w:val="false"/>
          <w:color w:val="000000"/>
          <w:sz w:val="20"/>
        </w:rPr>
        <w:t>The Company received a Paragraph IV Notice Letter from generic drug maker Apotex Inc. ("Apotex") dated May 22,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Orange Book patents. Supernus's U.S. Patent Nos. 9,358,204; 9,603,853; 9,662,338;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June 26, 2025, the Company filed a lawsuit against Apotex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New Jersey—alleges, inter alia, that Apotex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June 26, 2025, Complaint within 45 days of receiving Apotex's Paragraph IV certification notice entitles Supernus to an automatic stay preventing the FDA from approving Apotex's ANDA until October 2, 2028. On September 19, 2025, Apotex answered the Complaint and denied the substantive allegations of the Complaint, asserting affirmative defenses that include non-infringement and invalidity. Apotex also asserted Counterclaims that include requests for declaratory judgments of non-infringement and invalidity. On October 24, 2025, the Company filed its reply, denying the substantive allegations of Apotex’s Counterclaims. As of the date of this submission, the Court has not issued a Scheduling Order.</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IV. Supernus Pharmaceuticals, Inc. v. Aurobindo Pharma Limited and Aurobindo Pharma U.S.A., Inc., No. 2:25 cv-12186 (MEF)(MAH) (D.N.J.)</w:t>
      </w:r>
    </w:p>
    <w:p>
      <w:pPr>
        <w:pStyle w:val="TextBody"/>
        <w:bidi w:val="0"/>
        <w:spacing w:lineRule="auto" w:line="268" w:before="0" w:after="0"/>
        <w:ind w:left="0" w:right="0" w:firstLine="720"/>
        <w:jc w:val="left"/>
        <w:rPr/>
      </w:pPr>
      <w:r>
        <w:rPr>
          <w:rFonts w:ascii="Times New Roman;serif" w:hAnsi="Times New Roman;serif"/>
          <w:b w:val="false"/>
          <w:color w:val="000000"/>
          <w:sz w:val="20"/>
        </w:rPr>
        <w:t>The Company received a Paragraph IV Notice Letter from generic drug makers Aurobindo Pharma Limited and Aurobindo Pharma U.S.A., Inc. (collectively, "Aurobindo") dated May 29,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June 26, 2025, the Company filed a lawsuit against Aurobindo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New Jersey—alleges, inter alia, that Aurobindo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June 26, 2025, Complaint within 45 days of receiving Aurobindo's Paragraph IV certification notice entitles Supernus to an automatic stay preventing the FDA from approving Aurobindo's ANDA until October 2, 2028. On August 29, 2025, Aurobindo answered the Complaint and denied the substantive allegations of the Complaint, asserting affirmative defenses that include non-infringement and invalidity. As of the date of this submission, the Court has not issued a Scheduling Order.</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 Supernus Pharmaceuticals, Inc. v. Aurobindo Pharma Ltd., et al., C.A. No. 25-cv-808 (JLH) (D. Del.)</w:t>
      </w:r>
    </w:p>
    <w:p>
      <w:pPr>
        <w:pStyle w:val="TextBody"/>
        <w:bidi w:val="0"/>
        <w:spacing w:lineRule="auto" w:line="268" w:before="0" w:after="0"/>
        <w:ind w:left="0" w:right="0" w:firstLine="720"/>
        <w:jc w:val="left"/>
        <w:rPr/>
      </w:pPr>
      <w:r>
        <w:rPr>
          <w:rFonts w:ascii="Times New Roman;serif" w:hAnsi="Times New Roman;serif"/>
          <w:b w:val="false"/>
          <w:color w:val="000000"/>
          <w:sz w:val="20"/>
        </w:rPr>
        <w:t>The Company received a Paragraph IV Notice Letter from generic drug makers Aurobindo Pharma Limited and Aurobindo Pharma U.S.A., Inc. (collectively, "Aurobindo") dated May 29,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 2025, the Company filed a lawsuit against Aurobindo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Delaware—alleges, inter alia, that Aurobindo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July 1, 2025, Complaint within 45 days of receiving Aurobindo's Paragraph IV certification notice entitles Supernus to an automatic stay preventing the FDA from approving Aurobindo's ANDA until October 2, 2028. On September 29, 2025, Supernus filed a notice of voluntary dismissal of the Complaint without prejudice. The dismissal will not impact the co</w:t>
        <w:noBreakHyphen/>
        <w:t>pending matter against Aurobindo, C.A. No. 25-cv-12186 (MEF)(MAH) (D.N.J.), discussed in Section IV, above.</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VI. Supernus Pharmaceuticals, Inc. v. Zydus Lifesciences Global FZE, Zydus Pharmaceuticals (USA) Inc., and Zydus Lifesciences Limited, No. 2:25-cv-12188 (MEF)(MAH) (D.N.J.)</w:t>
      </w:r>
    </w:p>
    <w:p>
      <w:pPr>
        <w:pStyle w:val="TextBody"/>
        <w:bidi w:val="0"/>
        <w:spacing w:lineRule="auto" w:line="268" w:before="0" w:after="0"/>
        <w:ind w:left="0" w:right="0" w:firstLine="720"/>
        <w:jc w:val="left"/>
        <w:rPr/>
      </w:pPr>
      <w:r>
        <w:rPr>
          <w:rFonts w:ascii="Times New Roman;serif" w:hAnsi="Times New Roman;serif"/>
          <w:b w:val="false"/>
          <w:color w:val="000000"/>
          <w:sz w:val="20"/>
        </w:rPr>
        <w:t>The Company received a Paragraph IV Notice Letter from generic drug maker Zydus Lifesciences Global FZE ("Zydus FZE") dated May 27, 2025, directed to three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9,358,204; 9,603,853; and 9,662,338 generally cover viloxazine formulations and methods of using those formulations. The FDA Orange Book currently lists United States Patent Nos. 9,358,204 and 9,603,853 as expiring on February 7, 2033, and United States Patent No. 9,662,338 as expiring on April 2, 2035. On June 26, 2025, the Company filed a lawsuit against Zydus FZE, Zydus Pharmaceuticals (USA) Inc., and Zydus Lifesciences Limited (collectively, "Zydus")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New Jersey—alleges, inter alia, that Zydus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prior to the expiration of the Company's patents. Filing its June 26, 2025, Complaint within 45 days of receiving Zydus FZE's Paragraph IV certification notice entitles Supernus to an automatic stay preventing the FDA from approving Zydus's ANDA until October 2, 2028. On September 22, 2025, Zydus answered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Complaint and denied the substantive allegations of the Complaint, asserting affirmative defenses that include non-infringement and invalidity. Zydus also asserted Counterclaims that include requests for declaratory judgments of non-infringement and invalidity. On October 28, 2025, the Company filed its reply, denying the substantive allegations of Zydus’s Counterclaims. As of the date of this submission, the Court has not issued a Scheduling Order.</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VII. Supernus Pharmaceuticals, Inc. v. Creekwood Pharmaceuticals, LLC, C.A. No. 25-cv-13201 (MEF)(MAH) (D.N.J.)</w:t>
      </w:r>
    </w:p>
    <w:p>
      <w:pPr>
        <w:pStyle w:val="TextBody"/>
        <w:bidi w:val="0"/>
        <w:spacing w:lineRule="auto" w:line="268" w:before="0" w:after="0"/>
        <w:ind w:left="0" w:right="0" w:firstLine="720"/>
        <w:jc w:val="left"/>
        <w:rPr/>
      </w:pPr>
      <w:r>
        <w:rPr>
          <w:rFonts w:ascii="Times New Roman;serif" w:hAnsi="Times New Roman;serif"/>
          <w:b w:val="false"/>
          <w:color w:val="000000"/>
          <w:sz w:val="20"/>
        </w:rPr>
        <w:t>The Company received a Paragraph IV Notice Letter from generic drug maker Creekwood Pharmaceuticals, LLC ("Creekwood") dated June 4,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11, 2025, the Company filed a lawsuit against Creekwood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New Jersey—alleges, inter alia, that Creekwood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July 11, 2025, Complaint within 45 days of receiving Creekwood's Paragraph IV certification notice entitles Supernus to an automatic stay preventing the FDA from approving Creekwood's ANDA until October 2, 2028. On September 19, 2025, Creekwood answered the Complaint and denied the substantive allegations of the Complaint, asserting affirmative defenses that include non-infringement and invalidity. Creekwood also asserted Counterclaims that include requests for declaratory judgments of non-infringement and invalidity. On October 24, 2025, the Company filed its reply, denying the substantive allegations of Creekwood’s Counterclaims. As of the date of this submission, the Court has not issued a Scheduling Order.</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VIII. Supernus Pharmaceuticals, Inc. v. Creekwood Pharmaceuticals, LLC, C.A. No. 25-cv-880 (D. Del.)</w:t>
      </w:r>
    </w:p>
    <w:p>
      <w:pPr>
        <w:pStyle w:val="TextBody"/>
        <w:bidi w:val="0"/>
        <w:spacing w:lineRule="auto" w:line="268" w:before="0" w:after="0"/>
        <w:ind w:left="0" w:right="0" w:firstLine="720"/>
        <w:jc w:val="left"/>
        <w:rPr/>
      </w:pPr>
      <w:r>
        <w:rPr>
          <w:rFonts w:ascii="Times New Roman;serif" w:hAnsi="Times New Roman;serif"/>
          <w:b w:val="false"/>
          <w:color w:val="000000"/>
          <w:sz w:val="20"/>
        </w:rPr>
        <w:t>The Company received a Paragraph IV Notice Letter from generic drug maker Creekwood Pharmaceuticals, LLC ("Creekwood") dated June 4,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15, 2025, the Company filed a lawsuit against Creekwood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Delaware—alleges, inter alia, that Creekwood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July 15, 2025, Complaint within 45 days of receiving Creekwood's Paragraph IV certification notice entitles Supernus to an automatic stay preventing the FDA from approving Creekwood's ANDA until October 2, 2028. On September 30, 2025, Supernus filed a notice of voluntary dismissal of the Complaint without prejudice. The dismissal will not impact the co</w:t>
        <w:noBreakHyphen/>
        <w:t>pending matter against Creekwood, C.A. No. 25-cv-13201 (MEF)(MAH) (D.N.J.), discussed in Section VII, above.</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IX. Supernus Pharmaceuticals, Inc. v. MSN Pharmaceuticals Inc., C.A. No. 25-cv-13204 (MEF)(MAH) (D.N.J.)</w:t>
      </w:r>
    </w:p>
    <w:p>
      <w:pPr>
        <w:pStyle w:val="TextBody"/>
        <w:bidi w:val="0"/>
        <w:spacing w:lineRule="auto" w:line="268" w:before="0" w:after="0"/>
        <w:ind w:left="0" w:right="0" w:firstLine="720"/>
        <w:jc w:val="left"/>
        <w:rPr/>
      </w:pPr>
      <w:r>
        <w:rPr>
          <w:rFonts w:ascii="Times New Roman;serif" w:hAnsi="Times New Roman;serif"/>
          <w:b w:val="false"/>
          <w:color w:val="000000"/>
          <w:sz w:val="20"/>
        </w:rPr>
        <w:t>The Company received a Paragraph IV Notice Letter from generic drug maker MSN Pharmaceuticals Inc. ("MSN") dated June 5,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11, 2025, the Company filed a lawsuit against MSN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New Jersey—alleges, inter alia, that MSN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July 11, 2025, Complaint within 45 days of receiving MSN's Paragraph IV certification notice entitles Supernus to an automatic stay preventing the FDA from approving MSN's ANDA until October 2, 2028. On September 22, 2025, MSN answered the Complaint and denied the substantive allegations of the Complaint, asserting affirmative defenses that include non-infringement and invalidity. MSN also asserted Counterclaims that include requests for declaratory judgments of non-infringement and invalidity. On October 28, 2025, the Company filed its reply, denying the substantive allegations of MSN’s Counterclaims. As of the date of this submission, the Court has not issued a Scheduling Order.</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 Supernus Pharmaceuticals, Inc. v. MSN Pharmaceuticals Inc., C.A. No. 25-cv-879 (D. Del.)</w:t>
      </w:r>
    </w:p>
    <w:p>
      <w:pPr>
        <w:pStyle w:val="TextBody"/>
        <w:bidi w:val="0"/>
        <w:spacing w:lineRule="auto" w:line="268" w:before="0" w:after="0"/>
        <w:ind w:left="0" w:right="0" w:firstLine="720"/>
        <w:jc w:val="left"/>
        <w:rPr/>
      </w:pPr>
      <w:r>
        <w:rPr>
          <w:rFonts w:ascii="Times New Roman;serif" w:hAnsi="Times New Roman;serif"/>
          <w:b w:val="false"/>
          <w:color w:val="000000"/>
          <w:sz w:val="20"/>
        </w:rPr>
        <w:t>The Company received a Paragraph IV Notice Letter from generic drug maker MSN Pharmaceuticals Inc. ("MSN") dated June 5,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Orange Book patents. Supernus's U.S. Patent Nos. 9,358,204; 9,603,853;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15, 2025, the Company filed a lawsuit against MSN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Delaware—alleges, inter alia, that MSN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July 15, 2025, Complaint within 45 days of receiving MSN's Paragraph IV certification notice entitles Supernus to an automatic stay preventing the FDA from approving MSN's ANDA until October 2, 2028. On October 16, 2025, Supernus filed a notice of voluntary dismissal of the Complaint without prejudice. The dismissal will not impact the co-pending matter against MSN, C.A. No. 25-cv-13204 (MEF)(MAH) (D.N.J.), discussed in Section IX, above.</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XI. Supernus Pharmaceuticals, Inc. v. Zenara Pharma Private Ltd., et al. , C.A. No. 25-cv-13207 (MEF)(MAH) (D.N.J.)</w:t>
      </w:r>
    </w:p>
    <w:p>
      <w:pPr>
        <w:pStyle w:val="TextBody"/>
        <w:bidi w:val="0"/>
        <w:spacing w:lineRule="auto" w:line="268" w:before="0" w:after="0"/>
        <w:ind w:left="0" w:right="0" w:firstLine="720"/>
        <w:jc w:val="left"/>
        <w:rPr/>
      </w:pPr>
      <w:r>
        <w:rPr>
          <w:rFonts w:ascii="Times New Roman;serif" w:hAnsi="Times New Roman;serif"/>
          <w:b w:val="false"/>
          <w:color w:val="000000"/>
          <w:sz w:val="20"/>
        </w:rPr>
        <w:t>The Company received a Paragraph IV Notice Letter from generic drug maker Zenara Pharma Private Limited ("Zenara") dated June 9, 2025, directed to six of its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11, 2025, the Company filed a lawsuit against Zenara and Biophore Pharma Inc. ("Biophore," and collectively with Zenara, "Defendants") alleging infringement of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New Jersey—alleges, inter alia, that Defendants infringed the Company's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July 11, 2025, Complaint within 45 days of receiving Defendants' Paragraph IV certification notice entitles Supernus to an automatic stay preventing the FDA from approving Defendants' ANDA until October 2, 2028. On September 16, 2025, Defendants answered the Complaint and denied the substantive allegations of the Complaint, asserting affirmative defenses that include non-infringement and invalidity. As of the date of this submission, the Court has not issued a Scheduling Order.</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XII. Supernus Pharmaceuticals, Inc. v. Macleods Pharmaceuticals Ltd., et al., C.A. No. 25-cv-15399 (MEF)(MAH) (D.N.J.)</w:t>
      </w:r>
    </w:p>
    <w:p>
      <w:pPr>
        <w:pStyle w:val="TextBody"/>
        <w:bidi w:val="0"/>
        <w:spacing w:before="0" w:after="0"/>
        <w:ind w:left="0" w:right="0" w:hanging="36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a Paragraph IV Notice Letter from generic drug maker Macleods Pharmaceuticals Ltd. (“Macleods Ltd.”) dated August 01,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07, 2033; United States Patent No. 9,662,338 as expiring on April 02, 2035; and United States Patent Nos. 11,324,753; 11,458,143; and 12,121,523 as expiring on September 04, 2029. On September 09, 2025, the Company filed a lawsuit against Zenara and Macleods Pharma USA, Inc. (“Macleods USA” and collectively with Macleods Ltd., “Defendants”) alleging infringement of the Company’s Qelbree® Orange Book patents. The Complaint—filed in the U.S. District Court for the District of New Jersey—alleges, inter alia, that Defendants infringed the Company’s Qelbree® patents by submitting to the FDA an Abbreviated New Drug Application (“ANDA”) seeking to market a generic version of Qelbree® prior to the expiration of the Company’s patents. Filing its September 9, 2025, Complaint within 45 days of receiving Defendants’ Paragraph IV certification notice entitles Supernus to an automatic stay preventing the FDA from approving Defendants’ ANDA until October 02, 2028. On September 29, 2025, Defendants answered the Complaint and denied the substantive allegations of the Complaint, asserting affirmative defenses that include non-infringement and invalidity. Defendants also asserted Counterclaims that include requests for declaratory judgments of non-infringement and invalidity. As of the date of this submission, the Court has not issued a Scheduling Order.</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XIII. Supernus Pharmaceuticals, Inc. v. Macleods Pharmaceuticals Ltd., et al. , C.A. No. 25-cv-1146 (JLH) (D. Del.)</w:t>
      </w:r>
    </w:p>
    <w:p>
      <w:pPr>
        <w:pStyle w:val="TextBody"/>
        <w:bidi w:val="0"/>
        <w:spacing w:before="0" w:after="0"/>
        <w:ind w:left="0" w:right="0" w:hanging="36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received a Paragraph IV Notice Letter from generic drug maker Macleods Pharmaceuticals Ltd. (“Macleods Ltd.”) dated August 01,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07, 2033; United States Patent No. 9,662,338 as expiring on April 02, 2035; and United States Patent Nos. 11,324,753; 11,458,143; and 12,121,523 as expiring on September 04, 2029. On September 15, 2025, the Company filed a lawsuit against Zenara and Macleods Pharma USA, Inc. (“Macleods USA” and collectively with Macleods Ltd., “Defendants”) alleging infringement of the Company’s Qelbree® Orange Book patents. The Complaint—filed in the U.S. District Court for the District of Delaware—alleges, inter alia, that Defendants infringed the Company’s Qelbree® patents by submitting to the FDA an Abbreviated New Drug Application (“ANDA”) seeking to market a generic version of Qelbree® prior to the expiration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Company’s patents. Filing its September 15, 2025, Complaint within 45 days of receiving Defendants’ Paragraph IV certification notice entitles Supernus to an automatic stay preventing the FDA from approving Defendants’ ANDA until October 02, 2028. On October 22, 2025, Supernus filed a notice of voluntary dismissal of the Complaint without prejudice. The dismissal will not impact the co-pending matter against Defendants, C.A. No. 25-cv-15399 (MEF)(MAH) (D.N.J.), discussed in Section XII above.</w:t>
      </w:r>
    </w:p>
    <w:p>
      <w:pPr>
        <w:pStyle w:val="TextBody"/>
        <w:bidi w:val="0"/>
        <w:spacing w:lineRule="auto" w:line="288" w:before="200" w:after="200"/>
        <w:jc w:val="left"/>
        <w:rPr/>
      </w:pPr>
      <w:r>
        <w:rPr>
          <w:rFonts w:ascii="Times New Roman;serif" w:hAnsi="Times New Roman;serif"/>
          <w:b/>
          <w:i/>
          <w:color w:val="000000"/>
          <w:sz w:val="20"/>
        </w:rPr>
        <w:t>Trokendi XR</w:t>
      </w:r>
      <w:r>
        <w:rPr>
          <w:rFonts w:ascii="Times New Roman;serif" w:hAnsi="Times New Roman;serif"/>
          <w:b/>
          <w:i/>
          <w:color w:val="000000"/>
          <w:sz w:val="13"/>
        </w:rPr>
        <w:t>®</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XIV. Supernus Pharmaceuticals, Inc. v. Ajanta Pharma Limited, et al., C.A. No. 21-cv-6964 (GC)(DEA) (D.N.J.)</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received a Paragraph IV Notice Letter from generic drug maker Ajanta Pharma Limited dated February 10, 2021, directed to ten of its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March 26, 2021, the Company filed a lawsuit against Ajanta Pharma Limited and Ajanta Pharma USA Inc. (collectively "Ajanta") alleging infringement of the Company's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New Jersey—alleges, among other things, that Ajanta infringed the Company's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March 26, 2021, Complaint within 45 days of receiving Ajanta's Paragraph IV certification notice entitles Supernus to an automatic stay preventing the FDA from approving Ajanta's ANDA for 30 months from the date of the Company's receipt of the Paragraph IV Notice Letter. On June 7, 2021, Ajanta answered the Complaint and denied the substantive allegations of the Complaint, asserting affirmative defenses that include non-infringement and invalidity. Ajanta also asserted Counterclaims seeking declaratory judgments of non</w:t>
        <w:noBreakHyphen/>
        <w:t>infringement and invalidity for the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On June 28, 2021, the Company filed its reply, denying the substantive allegations of Ajanta's Counterclaims. Following the initial Rule 16 Scheduling Conference, the Court issued a case schedule. On December 17, 2021, the Court issued an order consolidating this lawsuit with the lawsuit against Torrent, discussed in Section XV, below. The consolidation order extended the 30</w:t>
        <w:noBreakHyphen/>
        <w:t>month stay preventing the FDA from approving Ajanta's ANDA to December 16, 2023. The Company entered into a settlement agreement with Ajanta, and on April 4, 2023, a stipulation of dismissal without prejudice was entered by the U.S. District Court for the District of New Jersey. The agreement has been submitted to the applicable governmental agencies.</w:t>
      </w:r>
    </w:p>
    <w:p>
      <w:pPr>
        <w:pStyle w:val="TextBody"/>
        <w:bidi w:val="0"/>
        <w:spacing w:lineRule="auto" w:line="26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XV. Supernus Pharmaceuticals, Inc. v. Torrent Pharmaceuticals Ltd., et al., C.A. No. 21-cv-14268 (GC)(DEA) (D.N.J.); Supernus Pharmaceuticals, Inc. v. Ajanta Pharma Limited, et al., Appeal No. 2024-1606 (Fed. Cir.)</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received a Paragraph IV Notice Letter from generic drug maker Torrent Pharmaceuticals Ltd. dated June 15, 2021, directed to ten of its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28, 2021, the Company filed a lawsuit against Torrent Pharmaceuticals Ltd. and Torrent Pharma Inc. (collectively, "Torrent") alleging infringement of the Company's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The Complaint—filed in the U.S. District Court for the District of New Jersey—alleges, among other things, that Torrent infringed the Company's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patents by submitting to the FDA an Abbreviated New Drug Application ("ANDA") seeking to market a generic version of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prior to the expiration of the Company's patents. Filing its July 28, 2021 Complaint within 45 days of receiving Torrent's Paragraph IV certification notice entitles Supernus to an automatic stay preventing the FDA from approving Torrent's ANDA for 30 months from the date of the Company's receipt of the Paragraph IV Notice Letter. On September 29, 2021, Torrent answered the Complaint and denied the substantive allegations of the Complaint, asserting affirmative defenses that include non-infringement and invalidity. Torrent also asserted Counterclaims seeking declaratory judgments of non</w:t>
        <w:noBreakHyphen/>
        <w:t>infringement for the 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Orange Book patents. On November 3, 2021, the Company filed its reply, denying the substantive allegations of Torrent's Counterclaims. Following the initial Rule 16 Scheduling Conference, the Court issued a case schedule. On December 17, 2021, the Court issued an order consolidating this lawsuit with the lawsuit against Ajanta, discussed in Section XIV, above. The Court held a bench trial between July 31, 2023, and August 3, 2023. Closing arguments for the trial were held on October 4, 2023. On December 12, 2023, the Court issued an Order enjoining Torrent from launching its generic drug product through January 31, 2024, or until the Court's trial decision issues, whichever is sooner. On January 30, 2024, the Court issued a Trial Opinion and Order, deciding in Supernus's favor that the patent claims that Supernus asserted at trial against Torrent are both valid and infringed. The District Court entered a Final Judgment in Supernus's favor on February 22,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On March 4, 2024, Torrent filed a Notice of Appeal of the Final Judgment with the U.S. Court of Appeals for the Federal Circuit. The Federal Circuit docketed the appeal as </w:t>
      </w:r>
      <w:r>
        <w:rPr>
          <w:rFonts w:ascii="Times New Roman;serif" w:hAnsi="Times New Roman;serif"/>
          <w:b w:val="false"/>
          <w:i/>
          <w:color w:val="000000"/>
          <w:sz w:val="20"/>
        </w:rPr>
        <w:t>Supernus Pharmaceuticals, Inc. v. Ajanta Pharma Limited</w:t>
      </w:r>
      <w:r>
        <w:rPr>
          <w:color w:val="000000"/>
        </w:rPr>
        <w:t xml:space="preserve"> </w:t>
      </w:r>
      <w:r>
        <w:rPr>
          <w:rFonts w:ascii="Times New Roman;serif" w:hAnsi="Times New Roman;serif"/>
          <w:b w:val="false"/>
          <w:color w:val="000000"/>
          <w:sz w:val="20"/>
        </w:rPr>
        <w:t xml:space="preserve">because the lawsuit against Torrent was previously consolidated with the lawsuit against Ajanta (see Section XIV above). The Company entered into a settlement agreement with Torrent on November 3, 2025. </w:t>
      </w:r>
    </w:p>
    <w:p>
      <w:pPr>
        <w:pStyle w:val="TextBody"/>
        <w:bidi w:val="0"/>
        <w:spacing w:lineRule="auto" w:line="288" w:before="200" w:after="200"/>
        <w:jc w:val="left"/>
        <w:rPr/>
      </w:pPr>
      <w:r>
        <w:rPr>
          <w:rFonts w:ascii="Times New Roman;serif" w:hAnsi="Times New Roman;serif"/>
          <w:b/>
          <w:i/>
          <w:color w:val="000000"/>
          <w:sz w:val="20"/>
        </w:rPr>
        <w:t>APOKYN</w:t>
      </w:r>
      <w:r>
        <w:rPr>
          <w:rFonts w:ascii="Times New Roman;serif" w:hAnsi="Times New Roman;serif"/>
          <w:b/>
          <w:i/>
          <w:color w:val="000000"/>
          <w:sz w:val="13"/>
        </w:rPr>
        <w:t>®</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XIV. Sage Chemical, Inc., et al. v. Supernus Pharmaceuticals, Inc., et al., C.A. No. 22-cv-1302 (CJB) (D. Del.)</w:t>
      </w:r>
    </w:p>
    <w:p>
      <w:pPr>
        <w:pStyle w:val="TextBody"/>
        <w:bidi w:val="0"/>
        <w:spacing w:lineRule="auto" w:line="288" w:before="0" w:after="0"/>
        <w:ind w:left="0" w:right="0" w:firstLine="720"/>
        <w:jc w:val="left"/>
        <w:rPr/>
      </w:pPr>
      <w:r>
        <w:rPr>
          <w:rFonts w:ascii="Times New Roman;serif" w:hAnsi="Times New Roman;serif"/>
          <w:b w:val="false"/>
          <w:color w:val="000000"/>
          <w:sz w:val="20"/>
        </w:rPr>
        <w:t>On October 3, 2022, Sage Chemical, Inc. and TruPharma, LLC filed a lawsuit in the United States District Court for the District of Delaware alleging that Supernus Pharmaceuticals, Inc., Britannia Pharmaceuticals Limited ("Britannia"), and US WorldMeds Partners, LLC ("US WorldMeds") violated state and federal antitrust law in connection with APOKYN</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(apomorphine HCl). On October 16, 2022, Plaintiffs amended their complaint to add additional defendants MDD US Enterprises, LLC, MDD US Operations, LLC (each a subsidiary of Supernus Pharmaceuticals, Inc.), USWM, LLC ("USWM"), and individual defendants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On March 12, 2024, following oral argument before the Court on the afternoon of March 11, 2024, the Court issued an Oral Order granting Defendants' motion to stay depositions until the court resolved Defendants' motions to dismiss. On May 9, 2024, and May 28, 2024, respectively, the Court denied the Defendants' omnibus motion and the Britannia motion to dismiss. The Court lifted the stay on fact depositions, which are now mostly completed. The time period for completion of fact discovery concluded in February 2025, but Plaintiffs continue to seek depositions from two US WorldMeds’ executives, including its former CEO. Briefing on this dispute has been completed and a hearing is scheduled for August 4, 2025. Plaintiffs also are seeking to take international depositions of a Britannia employee and a former Britannia employee. Plaintiffs also are actively pursuing additional document production from the Company to which the Company objects. On May 31, 2024, and June 4, 2024, respectively, the Court granted the individual defendants' motion to dismiss and the US WorldMeds and USWM motion to dismiss on August 29, 2024. The Court entered an Order that revived the claims against US WorldMeds Partners, LLC and USWM, LLC on December 5, 2024. On December 6, 2024, Plaintiffs filed a second amended complaint, which added US WorldMeds and USWM back to the case. US WorldMeds Partners, LLC and USWM, LLC have filed a Motion for Leave to File an Early Summary Judgment Motion. This Motion has been briefed but the Court has not made a ruling to date. On November 4, 2024, the Court issued a scheduling order that provides for a Pretrial Conference on December 10, 2025, and a jury trial beginning on January 5, 2026. On January 3, 2025, the Court issued an Oral Order requiring the parties to "engage in in-person mediation in good faith" and jointly select an agreed-upon mediator. The parties agreed jointly to a mediator and mediation was held in April 2025 that did not result in settlement for any of the parties. On May 12, 2025, after expert reports have been exchanged but prior to the start of the majority of expert depositions, Plaintiffs moved to strike or limit the testimony of seven of Defendant's ten experts. On same day, the parties jointly submitted a stipulation to suspend the operative Scheduling Order as to all dates related to discovery, dispositive motions, and Daubert motions. The Court approved this stipulation in its entirety on May 13, 2025 by issuance of an Oral Order reading "SO ORDERED" and listing the docket number for the stipulation. The parties did not explicitly stipulate to suspending pre-trial deadlines or the scheduled trial dates, which are currently set for two weeks beginning on January 5, 2026. In the stipulation, the parties jointly committed to submitting a proposed Amended Scheduling Orders as to all remaining deadlines, including trial, within ten business days of the Court's decision on the motion to strike. Briefing has concluded on the motion to Strike and the parties are awaiting a ruling from the Court.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XV. US WorldMeds Partners, LLC v. Federal Insurance Company, et al, Case Nos. 24-CI-2529; 24-CI-4195; 24-CI-4631; and 24-CI-6988) (D.Del)</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Alleged competitors of Supernus filed a lawsuit against the Company, MDD US Enterprises, LLC, and MDD Operations, LLC (collectively "Enterprises") and others in the United States District Court for the District of Delaware (the "Underlying Action"). After a dispute over coverage under certain insurance policies arose, Enterprises commenced a declaratory judgment action against Federal Insurance Company, RSUI Indemnity Company, and StarStone Specialty Insurance Company and others to recover insurance benefits. US WorldMeds Partners, LLC, RSUI and StarStone commenced similar declaratory judgment actions in connection with the Underlying Action. These related actions were recently consolidated. This case is in its early stages. Supernus awaits responsive pleadings to its Complaint. Discovery has not yet commenced in the consolidated action. A court conference was held on May 14, 2025, and the next conference was scheduled for August 4, 2025. On August 4, 2025, after discussing the issues in the case, the judge ordered the parties to submit a joint proposed scheduling order outlining deadlines for the amendment of pleadings and completion of discovery on the coverage issues by August 22, 2025. A tentative status conference was scheduled for January 21,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XVI. Supernus Pharmaceuticals, Inc. v. Old Republic Insurance Company, 8:24-cv-03733-PJM) (D.Maryland)</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action seeks recovery of insurance benefits in connection with the Underlying Action in the US WorldMeds Partners, LLC v Federal Insurance Company case. This case is in its early stages. The defendant insurer made a pre-answer motion to dismiss the Complaint. Supernus's opposition to the motion was filed in May 2025. The Court has not yet ruled on defendant's motion. Discovery has not yet commenced. There are no pending court conferences.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XVII. US WorldMeds Partners, LLC v. Supernus Pharmaceuticals, Inc., [Case No. Pending] (Delaware Superior Court)</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30, 2025, the Company informed US WorldMeds Partners, LLC (“Partners”), the seller of US WorldMeds Enterprises, LLC n/k/a MDD US Enterprises, LLC that it would be withholding $27.7 million of a $30.0 million milestone payment pursuant to the set-off provision of the Sale and Purchase Agreement between the parties. On May 21, 2025, Partners filed a one-count complaint for specific performance in the Delaware Court of Chancery, seeking payment of the withheld amount, plus interest, attorneys’ fees, and costs. On June 16, 2025, the Company filed a motion to dismiss Partners’ complaint on the grounds that the Court of Chancery lacked subject matter jurisdiction. On July 15, 2025, Partners dismissed its complaint and re-filed in the Delaware Superior Court with a companion motion to seal, seeking identical relief. The Company timely filed an Answer under seal on August 6, 2025. On October 3, 2025, Partners filed a motion for summary judgment and related briefing. The parties reached agreement on a stipulated briefing schedule, which the Court entered as an order. The Company’s opposition and cross motion for summary judgment is due to be filed November 21, 2025; Partners is to file a reply and opposition to the cross motion by December 22, 2025; the Company is to file a reply by January 21, 2026. Oral argument is yet to be scheduled.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Adamas Litigation</w:t>
      </w:r>
    </w:p>
    <w:p>
      <w:pPr>
        <w:pStyle w:val="TextBody"/>
        <w:bidi w:val="0"/>
        <w:spacing w:lineRule="auto" w:line="288" w:before="200" w:after="200"/>
        <w:ind w:left="0" w:right="0" w:firstLine="820"/>
        <w:jc w:val="left"/>
        <w:rPr>
          <w:rFonts w:ascii="Times New Roman;serif" w:hAnsi="Times New Roman;serif"/>
          <w:b w:val="false"/>
          <w:color w:val="000000"/>
          <w:sz w:val="20"/>
        </w:rPr>
      </w:pPr>
      <w:r>
        <w:rPr>
          <w:rFonts w:ascii="Times New Roman;serif" w:hAnsi="Times New Roman;serif"/>
          <w:b w:val="false"/>
          <w:color w:val="000000"/>
          <w:sz w:val="20"/>
        </w:rPr>
        <w:t>In November 2012, Adamas Pharmaceuticals, Inc. (Adamas) granted Forest Laboratories Holdings Limited, an indirect wholly-owned subsidiary of Allergan plc (Forest), an exclusive license to certain of Adamas's intellectual property rights relating to human therapeutics containing memantine in the United States. Under the terms of that license agreement, Forest has the right to enforce such intellectual property rights which are related to its right to market and sell Namzaric and NAMENDA XR for the treatment of moderate to severe dementia related to Alzheimer's disease. Adamas has a right to participate in, but not control, such enforcement actions by Forest.</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2018 multiple generic companies have launched generic versions of NAMENDA XR. A number of companies have submitted ANDAs including one or more certifications to the FDA, pursuant to 21 U.S.C. § 355(j)(2)(A)(vii)(iv), requesting approval to manufacture and market generic versions of Namzaric, on which Adamas became entitled to receive royalties from Forest beginning in May 2020.</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Adamas and Forest have settled with all such Namzaric ANDA filers, including all first filers on all the available dosage forms of Namzaric. Subject to those agreements, the earliest date on which any of these agreements grant a license to market a Namzaric ANDA filer's generic version of Namzaric is January 1, 2025 (or earlier in certain circumstances). Alternatively, the Namzaric ANDA filers with the earliest date have the option to launch an authorized generic version of Namzaric beginning on January 1, 2026 instead of launching their own generic version of Namzaric on January 1, 2025. Adamas and Forest intend to continue to enforce the patents associated with Namzaric.</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 2019, Adamas was served with a complaint filed in the United States District Court for the Northern District of California (Case No. 3:18-cv-03018-JCS) against it and several Forest and Allergan entities alleging violations of federal and state false claims acts (FCA) in connection with the commercialization of NAMENDA XR and Namzaric by Allergan. The lawsuit is a qui tam complaint brought by a named individual, Zachary Silbersher,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prices being charged to government payors.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Adamas's patents in question were licensed exclusively to Forest.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motions to dismiss the complaint. The appeal was heard by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petition for rehearing with the Ninth Circuit, which was denied. On December 23, 2022, defendants filed renewed motions to dismiss directed to the remaining unresolved issue. On March 20, 2023, the District Court entered an order and final judgment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 On February 20, 2024, the plaintiff filed a motion for an indicative ruling and to set aside the judgment in the District Court, based on the same arguments raised in his appeal. That motion was fully briefed and the District Court determined that the motion for an indicative ruling was suitable for determination without a hearing. On May 7, 2024, the District Court denied the plaintiff's motion for an indicative ruling. The appeal is fully briefed, and the Ninth Circuit heard oral argument on November 21, 2024. On January 29, 2025, the Ninth Circuit affirmed the District Court's order dismissing the litigation. On March 31, 2025, the plaintiff filed a petition for rehearing by the Ninth Circuit, but the Ninth Circuit denied the Petition on April 15, 2025. The plaintiff opted not to seek review from the U.S. Supreme Court. It remains to be seen whether he will attempt to refile any of his state-law FCA claims.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Adamas believes it has strong factual and legal defenses to all actions and intends to defend itself vigorously.</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Sage Litigation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28, 2024, named plaintiff Darren Korver filed a purported federal securities class action lawsuit in the Southern District of New York against Sage Therapuetics, Inc. and individuals, Barry E. Greene and Kimi Iguchi (the “Securities Class Action”), both of whom are former officers of Sage. Pursuant to a statutorily prescribed process, the court appointed two new class representatives, Steamfitters Local 449 Pension &amp; Retirement Security Funds and Trust of the Retirement System of the UPR, who filed an amended complaint on March 3, 2025, against the original defendants and five additional former officers of Sage. The amended complaint in the Securities Class Action alleges violations of U.S. securities laws under Sections 10(b) and 20(a) of the Securities Exchange Act of 1934, as amended (the “Exchange Act”) and Rule 10b-5 promulgated thereunder and seeks an as-yet unspecified amount of damages allegedly sustained by parties who purchased the Sage Therapeutic’s stock between April 12, 2021 and July 23, 2024, as well as applicable attorneys’ fees and costs. On April 17, 2025, Sage Therapeutics, along with all of the individual defendants, filed a motion to dismiss the Securities Class Action in the Southern District of New York. Sage denies any allegations of wrongdoing and intends to vigorously defend against the Securities Class 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16, 2024, Sage Therapeutics received a subpoena from the Enforcement Division of the SEC requesting documents and information related to Sage's NDA for zuranolone for the treatment of MDD, including communications with the FDA and any communications containing material nonpublic information. Sage Therapeutics is cooperating with the SEC and intends to continue to provide information responsive to the SEC’s requests.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26, 2025, plaintiff shareholder Qingping Zhu commenced derivative litigation in the Southern District of New York, purportedly on behalf of Sage, against sixteen current and former officers and directors of Sage (the “Zhu Derivative Litigation”). Based significantly on the allegations underlying the Securities Class Action, the Zhu Derivative Litigation alleges violations of Section 14(a) of the Exchange Act and Rule 14a-9 promulgated thereunder, breaches of fiduciary duty, unjust enrichment, and waste of corporate assets, and seeks unspecified damages and various equitable relief. On April 14, 2025, the Southern District of New York granted a stay of the Zhu Derivative Litigation pending the resolution of the motion to dismiss the amended complaint in the Securities Class 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13, 2025, plaintiff shareholder Jurgen Matton commenced derivative litigation in the Southern District of New York, purportedly on behalf of Sage Therapeutics, against sixteen current and former officers and directors of Sage Therapeutics (the “Matton Derivative Litigation”). Based significantly on the allegations underlying the Securities Class Action, the Matton Derivative Litigation alleges violations of Section 14(a) of the Exchange Act and Rule 14a-9 promulgated thereunder, breaches of fiduciary duty, unjust enrichment, and waste of corporate assets, and seeks unspecified damages and various equitable relief.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22, 2025, plaintiff shareholder Joseph Pizzelanti commenced derivative litigation in the Southern District of New York, purportedly on behalf of Sage Therapeutics, against sixteen current and former officers and directors of the Company (the “Pizzelanti Derivative Litigation”). Based significantly on the allegations underlying the Securities Class Action, the Pizzelanti Derivative Litigation alleges violations of Section 14(a) of the Exchange Act and Rule 14a-9 promulgated thereunder, breaches of fiduciary duty, unjust enrichment, and waste of corporate assets, and seeks unspecified damages and various equitable relief.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20, 2025, Sage, along with other relevant parties, submitted for the Southern District of New York’s approval of a consolidation of the Zhu Derivative Litigation with the Matton Derivative Litigation and the Pizzelanti Derivative Litigation (the “Consolidated Derivative Litigation”).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two complaints have been filed in state court by purported stockholders of Sage regarding the Agreement and Plan of Merger (the “Merger Agreement”), dated as of June 13, 2025, by and among Sage, Supernus Pharmaceuticals, Inc., a Delaware corporation, and Saphire, Inc., a Delaware corporation. On July 8, 2025, a purported stockholder of Sage Therapeutics filed a complaint against Sage Therapeutics and each member of the Board in the Supreme Court of the State of New York, County of New York, captioned Taylor v. Sage Therapeutics, Inc., et al., Index No. 654060/2025 (the “Taylor Complaint”). On July 9, 2025, a purported stockholder of Sage Therapeutics filed a complaint against Sage Therapeutics and each member of the Board in the Supreme Court of the State of New York, County of New York, captioned Morgan v. Sage Therapeutics, Inc., et al., Index No. 654094/2025 (together with the Taylor Complaint, the “Merger Complaints”). The Merger Complaints assert, among other things, claims for negligent misrepresentation and concealment and negligence under New York common law against all defendants. The Merger Complaints allege that Sage Therapeutic’s Solicitation/Recommendation Statement on Schedule 14D-9 filed with the SEC on July 2, 2025, together with the exhibits and annexes thereto (the “Schedule 14D-9”), omitted certain purportedly material information. Among other relief, the Merger Complaints seek (i) an injunction prohibiting consummation of the transactions contemplated by the Merger Agreement (the “Transactions”), (ii) rescission or actual and punitive damages if the Transactions are consummated, and (iii) an award of the plaintiffs’ fees and expenses, including reasonable attorneys’ and experts’ fees and expenses. Sage Therapeutics has also received certain demand letters from purported stockholders making allegations similar to those contained in the Merger Complaints. Additional lawsuits arising out of or relating to the Merger Agreement may be filed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this time, the Company is unable to predict the outcome of the Securities Class Action, the SEC investigation, the Consolidated Derivative Litigation, or the Merger Complaints, or reasonably estimate a range of possible losses.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2024 and quarterly report on Form 10-Q for the period ended September 30, 2025. These risks may result in material harm to our business and our financial condition and results of operations. If a material, adverse event was to occur, the market price of our common stock may decline, and you could lose part or all of your investment.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risks described below reflect substantive changes from, or additions to, the risks described in our Annual Report on Form 10-K for the year ended December 31, 2024.</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Tariffs may increase our costs.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suppliers and other vendors located outside of the United States, including third-party clinical manufacturing organizations for the supply of active product ingredients for our products and product candidates, including raw materials and drug substances for our preclinical research and clinical trials. The United States and other countries have recently announced the imposition of tariffs on the import of a wide variety of products and services, including pharmaceutical products. Certain countries have also announced changes to previously announced tariffs. The United States has also announced the possibility of imposing additional tariffs. These tariffs may increase the costs we bear when importing products into the United States and may also increase our vendors' production costs, which may be passed on to us. We are assessing the potential impact of recently announced tariffs on our financial results. </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Recent Executive Orders May Impact our Financial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2025 several Executive Orders were issued by the President of the United States, which generally aim to lower the price paid for certain pharmaceutical products in the United States. Aspects of these orders direct the Secretary of Health and Human Services to develop implementation plans to issue related rules. We are monitoring these developments and assessing the potential impact of the executive orders which may impact our financial results if they result in reduction in the price paid for any of our commercial products. </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Ongoing legal actions and proceedings could distract management and could result in substantial costs or large judgments against Supernus or one or more of its subsidiaries.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and in the ordinary course of business, Supernus Pharmaceuticals, Inc. (“Parent”) and any of its subsidiaries are and may be subject to additional claims, charges, enforcement actions and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example, prior to Parent’s acquisition of Sage Therapeutics, Inc. (“Sage”) on July 31, 2025, in August 2024, a plaintiff filed a purported federal securities class action lawsuit in the Southern District of New York, or the Securities Class Action, against Sage and certain of its executive officers, or the Securities Class Action. Pursuant to a statutorily prescribed process, the court appointed two new class representatives, Steamfitters Local 449 Pension &amp; Retirement Security Funds and Trust of the Retirement System of the UPR, who filed an amended complaint in March 2025 against the original defendants and certain additional former officers of Sage. The amended complaint in the Securities Class Action alleges violations of U.S. securities laws under Sections 10(b) and 20(a) of the Securities Exchange Act of 1934, as amended, or the Exchange Act, and Rule 10b-5 promulgated thereunder and seeks an as-yet unspecified amount of damages allegedly sustained by parties who purchased Sage stock between April 12, 2021 and July 23, 2024, as well as applicable attorneys’ fees and costs. On April 17, 2025, Sage, along with all of the individual defendants, filed a motion to dismiss the Securities Class Action in the Southern District of New York.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Sage received a subpoena from the Enforcement Division of the SEC in October 2024, requesting documents and information related to its NDA for zuranolone for the treatment of MDD, including communications with the FDA and any communications containing material nonpublic information.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Also, in March 2025, plaintiff shareholder Qingping Zhu commenced derivative litigation in the Southern District of New York, purportedly on behalf of Sage, against fifteen of its current and former officers and directors (the “Zhu Derivative Litigation”). Based significantly on the allegations underlying the Securities Class Action, the Zhu Derivative Litigation alleges violations of Section 14(a) of the Exchange Act and Rule 14a-9 promulgated thereunder, breaches of fiduciary duty, unjust enrichment, and waste of corporate assets, and seeks unspecified damages and various equitable relief. On April 14, 2025, the Southern District of New York granted a stay of the Zhu Derivative Litigation pending the resolution of the motion to dismiss the amended complaint in the Securities Class Action. On June 20, 2025, Sage, along with other relevant parties, submitted for the Southern District of New York’s approval a consolidation of the Zhu Derivative Litigation with two other related derivative litigations (the “Consolidated Derivative Litigation”).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in July 2025, two purported stockholder of Sage each filed a complaint against Sage and each member of its Board of Directors in the Supreme Court of the State of New York, County of New York, (the first captioned Taylor v. Sage Therapeutics, Inc., et al., Index No. 654060/2025 (the “Taylor Complaint”) and the second captioned Morgan v. Sage Therapeutics, Inc., et al., Index No. 654094/2025 (together with the Taylor Complaint, the “Complaints”).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Complaints assert, among other things, claims for negligent misrepresentation and concealment and negligence under New York common law against all defendants. The Complaints allege that the Schedule 14D-9 filed by SEC with the Securities and Exchange Commission in July 2025 omitted certain purportedly material information. Among other relief, the Complaints seek [(i) an injunction prohibiting consummation of the Transactions, (ii) rescission or actual and punitive damages if the Transactions are consummated, and (iii) an award of the plaintiffs’ fees and expenses, including reasonable attorneys’ and experts’ fees and expenses. Sage has also received certain demand letters from purported stockholders making allegations similar to those contained in the Complaints.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this time, neither Parent nor Sage are able to predict the outcome of the Securities Class Action, the SEC investigation, the Consolidated Derivative Litigation, or the Complaints, or reasonably estimate a range of possible losses. If any of these matters are concluded in a manner adverse to Parent or any of its subsidiaries and for which the relevant entity incur substantial costs or damages not covered by liability insurance, such a conclusion could have a material adverse effect on our consolidated financial condition and business. In addition, any of these matters could adversely impact Parent or the relevant subsidiary’s reputation and divert management’s attention and resources from other priorities, including the execution of business plans and strategies that are important to our ability to grow our business, any of which could have a material adverse effect on our business.</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Our future business prospects for ZURZUVAE® (zuranolone) depend on our ability, with our collaboration partner, Biogen MA Inc., and Biogen International GmbH, or together, Biogen, to successfully commercialize ZURZUVAE® (zuranolone) for the treatment of women with postpartum depression, or PPD, in the U.S. There is no assurance that our commercialization efforts in the U.S. with respect to ZURZUVAE for the treatment of women with PPD will be successful or that we will be able to generate revenues at the levels or on the timing we expect or at levels or on the timing necessary to support our goals.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prospects for ZURZUVAE currently depends on our ability, along with our collaboration partner, Biogen, to successfully continue to commercialize ZURZUVAE in the U.S. for the treatment of women with PPD. ZURZUVAE was approved by the United States Food and Drug Administration, or FDA, in August 2023 as a treatment for adults with PPD and became commercially available in the U.S. in December 2023. ZURZUVAE is the first oral treatment specifically indicated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adults with PPD. We may never be able to meet our expectations with respect to revenues or profits from sales. ZURZUVAE may not achieve, or, even if achieved, maintain, broad market acceptance. Healthcare professionals may decide not to use ZURZUVAE as a treatment option for their patients with PPD or may only consider prescribing ZURZUVAE for a subset of women with PPD in their practice who they consider to have particularly severe symptoms relative to other patients suffering from this disease. ZURZUVAE may not achieve broad brand awareness and adoption among healthcare professionals, including OBGYNs, and our beliefs about the potential for OBGYNs to utilize ZURZUVAE at the forefront of postpartum care may prove to be incorrect. ZURZUVAE also may not achieve or, even if achieved, maintain broad market acceptance among women with PPD who may decide that they do not want to be treated with ZURZUVAE, including due to concern about the safety and tolerability profile of ZURZUVAE or use of ZURZUVAE while breastfeeding. ZURZUVAE includes a boxed warning that instructs healthcare professionals to advise patients that ZURZUVAE causes driving impairment due to central nervous system depressant effects, and that people who take ZURZUVAE should not drive a motor vehicle or engage in other potentially hazardous activities requiring complete mental alertness until at least 12 hours after ZURZUVAE administration for the duration of the once-daily, 14-day treatment course, which could decrease willingness to prescribe or use ZURZUVAE. The label also includes information about adverse events and other warnings and precautions that may cause a woman with PPD not to consider ZURZUVAE as a treatment option.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ZURZUVAE also may not achieve or, even if achieved, maintain broad market acceptance for the treatment of women with PPD if payors are not willing to cover and provide reimbursement for the treatment or impose significant restrictions on reimbursement. Payors that currently have favorable coverage for ZURZUVAE for the treatment of women with PPD may decide to change their policies and limit coverage or reimbursement for ZURZUVAE, including by requiring women with PPD to try other treatments prior to ZURZUVAE, requiring a specific showing of symptom severity with the use of measurement scales, requiring prior consultation with a psychiatrist or other specialist, or imposing other onerous prior authorization requirements, or they may deny coverage or reimbursement for other reasons or in all cases. Some payors currently require that healthcare professionals attest that the women with PPD for whom they have prescribed ZURZUVAE have severe symptoms. In addition, even if a healthcare professional writes a prescription for ZURZUVAE for the treatment of a woman with PPD, the prescription may not result in product being shipped to the patient and/or the patient taking ZURZUVAE. The healthcare professional or the patient may, for example, not take the steps necessary to obtain reimbursement or to have the prescription filled at the specialty pharmacy or may find the process of obtaining a prescription through the specialty pharmacy too slow or complicated. There is no guarantee that the infrastructure, systems, processes, policies, relationships or materials we and Biogen have built for the commercialization of ZURZUVAE for the treatment of women with PPD in the U.S. will be sufficient for us to achieve or, even if achieved, maintain success. ZURZUVAE also may not achieve the clinical benefit we expect in women with PPD. Our commercialization of ZURZUVAE in PPD may be negatively impacted by competition from other drugs currently on the market or that may be approved in the future. The number of women with PPD, the unmet need for additional treatment options for women with PPD, and the potential market for ZURZUVAE may be significantly smaller than we expect, or we may encounter other market-related issues in the commercialization of ZURZUVAE for the treatment of women with PPD, including as a result of the price we charge. We and our collaboration partner, Biogen, may not be applying the optimal resources to the launch of ZURZUVAE or we or Biogen may not be able or willing to scale our resources at the right time or at an effective level.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(a)    Sales of Unregistered Securities.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ind w:left="0" w:right="0" w:hanging="720"/>
        <w:jc w:val="left"/>
        <w:rPr/>
      </w:pPr>
      <w:r>
        <w:rPr>
          <w:rFonts w:ascii="Times New Roman;serif" w:hAnsi="Times New Roman;serif"/>
          <w:b/>
          <w:color w:val="000000"/>
          <w:sz w:val="20"/>
        </w:rPr>
        <w:t>(a)     </w:t>
      </w:r>
      <w:r>
        <w:rPr>
          <w:rFonts w:ascii="Times New Roman;serif" w:hAnsi="Times New Roman;serif"/>
          <w:b w:val="false"/>
          <w:color w:val="000000"/>
          <w:sz w:val="20"/>
        </w:rPr>
        <w:t>None.</w:t>
      </w:r>
    </w:p>
    <w:p>
      <w:pPr>
        <w:pStyle w:val="TextBody"/>
        <w:bidi w:val="0"/>
        <w:spacing w:lineRule="auto" w:line="288" w:before="200" w:after="283"/>
        <w:ind w:left="0" w:right="0" w:hanging="720"/>
        <w:jc w:val="left"/>
        <w:rPr/>
      </w:pPr>
      <w:r>
        <w:rPr>
          <w:rFonts w:ascii="Times New Roman;serif" w:hAnsi="Times New Roman;serif"/>
          <w:b/>
          <w:color w:val="000000"/>
          <w:sz w:val="20"/>
        </w:rPr>
        <w:t>(b)    </w:t>
      </w:r>
      <w:r>
        <w:rPr>
          <w:rFonts w:ascii="Times New Roman;serif" w:hAnsi="Times New Roman;serif"/>
          <w:b w:val="false"/>
          <w:color w:val="000000"/>
          <w:sz w:val="20"/>
        </w:rPr>
        <w:t>None.</w:t>
      </w: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(c)    Insider Trading Arrangements and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The table below lists the insider trading arrangements adopted or terminated during the third quarter of 2025:</w:t>
      </w:r>
    </w:p>
    <w:p>
      <w:pPr>
        <w:pStyle w:val="TextBody"/>
        <w:bidi w:val="0"/>
        <w:spacing w:before="200" w:after="283"/>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654"/>
        <w:gridCol w:w="355"/>
        <w:gridCol w:w="356"/>
        <w:gridCol w:w="474"/>
        <w:gridCol w:w="474"/>
        <w:gridCol w:w="475"/>
        <w:gridCol w:w="478"/>
        <w:gridCol w:w="478"/>
        <w:gridCol w:w="479"/>
        <w:gridCol w:w="433"/>
        <w:gridCol w:w="433"/>
        <w:gridCol w:w="435"/>
        <w:gridCol w:w="455"/>
        <w:gridCol w:w="455"/>
        <w:gridCol w:w="456"/>
        <w:gridCol w:w="549"/>
        <w:gridCol w:w="549"/>
        <w:gridCol w:w="550"/>
        <w:gridCol w:w="485"/>
        <w:gridCol w:w="485"/>
        <w:gridCol w:w="697"/>
      </w:tblGrid>
      <w:tr>
        <w:trPr/>
        <w:tc>
          <w:tcPr>
            <w:tcW w:w="6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and Title of Director or Officer</w:t>
            </w:r>
          </w:p>
        </w:tc>
        <w:tc>
          <w:tcPr>
            <w:tcW w:w="14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Rule 10b5-1 Trading Arrangement</w:t>
            </w:r>
            <w:r>
              <w:rPr>
                <w:rFonts w:ascii="Times New Roman;serif" w:hAnsi="Times New Roman;serif"/>
                <w:b/>
                <w:color w:val="000000"/>
                <w:sz w:val="13"/>
              </w:rPr>
              <w:t>(1)</w:t>
            </w:r>
          </w:p>
        </w:tc>
        <w:tc>
          <w:tcPr>
            <w:tcW w:w="1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Arrangement Adopted or Terminated</w:t>
            </w:r>
          </w:p>
        </w:tc>
        <w:tc>
          <w:tcPr>
            <w:tcW w:w="13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Adoption or Termination</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Duration of Trading Arrangement</w:t>
            </w:r>
          </w:p>
        </w:tc>
        <w:tc>
          <w:tcPr>
            <w:tcW w:w="16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Number of Securities to be Purchased Pursuant to Trading Arrangement</w:t>
            </w:r>
          </w:p>
        </w:tc>
        <w:tc>
          <w:tcPr>
            <w:tcW w:w="16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Number of Securities to be Sold Pursuant to Trading Arrangement</w:t>
            </w:r>
          </w:p>
        </w:tc>
      </w:tr>
      <w:tr>
        <w:trPr/>
        <w:tc>
          <w:tcPr>
            <w:tcW w:w="13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Frank Mottola SVP, Chief Technology Operations Officer </w:t>
            </w:r>
          </w:p>
        </w:tc>
        <w:tc>
          <w:tcPr>
            <w:tcW w:w="142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14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Adopted</w:t>
            </w:r>
          </w:p>
        </w:tc>
        <w:tc>
          <w:tcPr>
            <w:tcW w:w="13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15, 2025</w:t>
            </w:r>
          </w:p>
        </w:tc>
        <w:tc>
          <w:tcPr>
            <w:tcW w:w="13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14, 2026</w:t>
            </w:r>
          </w:p>
        </w:tc>
        <w:tc>
          <w:tcPr>
            <w:tcW w:w="164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66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20,000</w:t>
            </w:r>
          </w:p>
        </w:tc>
      </w:tr>
    </w:tbl>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Indicates whether the trading arrangement is intended to satisfy the affirmative defense conditions of Rule 10b5-1(c).</w:t>
      </w:r>
    </w:p>
    <w:p>
      <w:pPr>
        <w:pStyle w:val="TextBody"/>
        <w:bidi w:val="0"/>
        <w:spacing w:lineRule="auto" w:line="288" w:before="0" w:after="0"/>
        <w:jc w:val="left"/>
        <w:rPr/>
      </w:pPr>
      <w:r>
        <w:rPr>
          <w:rFonts w:ascii="Times New Roman;serif" w:hAnsi="Times New Roman;serif"/>
          <w:b w:val="false"/>
          <w:color w:val="000000"/>
          <w:sz w:val="12"/>
        </w:rPr>
        <w:t>(2)</w:t>
      </w:r>
      <w:r>
        <w:rPr>
          <w:rFonts w:ascii="Times New Roman;serif" w:hAnsi="Times New Roman;serif"/>
          <w:b w:val="false"/>
          <w:color w:val="000000"/>
          <w:sz w:val="18"/>
        </w:rPr>
        <w:t>This trading arrangement covers the exercise and sale of stock options, with a portion of such sales limited to an amount reasonably estimated such that the net proceeds from the sale are sufficient to cover the exercise cost and taxes associated with the exercise of the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or furnished as part of this Quarterly Report on Form 10-Q:</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50"/>
        <w:gridCol w:w="2638"/>
        <w:gridCol w:w="378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Biogen Collaboration and License Agreement by and among Sage Therapeutics, Inc., Biogen MA Inc. and Biogen International GmbH, dated November 27, 2020 (incorporated by reference to Exhibit 10.30 of Sage Therapeutics, Inc.'s Registration Statement on Form 10-K (File No. 001-36544) filed on February 16, 2023).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 xml:space="preserve">Side Letter to Biogen Collaboration and License Agreement,, by and among Sage Therapeutics, Inc., Biogen MA Inc. and Biogen International GmbH, dated October 21, 2021 (incorporated by reference to Exhibit 10.4 of Sage Therapeutics, Inc.'s Quarterly Report on Form 10-Q (File No. 001-36544) filed on November 2, 2021). </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11.htm">
              <w:r>
                <w:rPr>
                  <w:rStyle w:val="InternetLink"/>
                  <w:rFonts w:ascii="Times New Roman;serif" w:hAnsi="Times New Roman;serif"/>
                  <w:b w:val="false"/>
                  <w:color w:val="0000FF"/>
                  <w:sz w:val="20"/>
                  <w:u w:val="single"/>
                </w:rPr>
                <w:t>Certification of Chief Executive Officer pursuant to Rule 13a-14(a).</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12.htm">
              <w:r>
                <w:rPr>
                  <w:rStyle w:val="InternetLink"/>
                  <w:rFonts w:ascii="Times New Roman;serif" w:hAnsi="Times New Roman;serif"/>
                  <w:b w:val="false"/>
                  <w:color w:val="0000FF"/>
                  <w:sz w:val="20"/>
                  <w:u w:val="single"/>
                </w:rPr>
                <w:t>Certification of Chief Financial Officer pursuant to Rule 13a-14(a).</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Company's Quarterly Report on Form 10-Q for the quarter ended September 30, 2025, formatted in Inline XBRL: (i) Cover Page, (ii) Condensed Consolidated Statements of Earnings (Loss), (iii) Condensed Consolidated Statements of Comprehensive Earnings (Loss), (iv) Condensed Consolidated Balance Sheets, (v) Condensed Consolidated Statements of Changes in Stockholders' Equity, (vi) Condensed Consolidated Statements of Cash Flows, and (vii) the Notes to Condensed Consolidated Financial Statements, tagged in summary and detail.</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of the Company's Quarterly Report on Form 10-Q for the quarter ended September 30, 2025, formatted in Inline XBRL (included with the Exhibit 101 attachments).</w:t>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810"/>
        <w:jc w:val="left"/>
        <w:rPr>
          <w:rFonts w:ascii="Times New Roman;serif" w:hAnsi="Times New Roman;serif"/>
          <w:b w:val="false"/>
          <w:color w:val="000000"/>
          <w:sz w:val="16"/>
        </w:rPr>
      </w:pPr>
      <w:r>
        <w:rPr>
          <w:rFonts w:ascii="Times New Roman;serif" w:hAnsi="Times New Roman;serif"/>
          <w:b w:val="false"/>
          <w:color w:val="000000"/>
          <w:sz w:val="16"/>
        </w:rPr>
        <w:t xml:space="preserve">______________________________________________________________________________ </w:t>
      </w:r>
    </w:p>
    <w:p>
      <w:pPr>
        <w:pStyle w:val="TextBody"/>
        <w:bidi w:val="0"/>
        <w:spacing w:lineRule="auto" w:line="288" w:before="200" w:after="283"/>
        <w:ind w:left="0" w:right="0" w:hanging="810"/>
        <w:jc w:val="left"/>
        <w:rPr>
          <w:color w:val="000000"/>
        </w:rPr>
      </w:pPr>
      <w:r>
        <w:rPr>
          <w:color w:val="000000"/>
        </w:rPr>
        <w:t>†    </w:t>
      </w:r>
      <w:r>
        <w:rPr>
          <w:rFonts w:ascii="Times New Roman;serif" w:hAnsi="Times New Roman;serif"/>
          <w:b w:val="false"/>
          <w:color w:val="000000"/>
          <w:sz w:val="20"/>
        </w:rPr>
        <w:t>Scheduled omitted pursuant to Item 601 of Regulation S-K. The Company agrees to furnish supplementally a copy of any omitted schedule to the SEC upon request.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810"/>
        <w:jc w:val="left"/>
        <w:rPr>
          <w:color w:val="000000"/>
        </w:rPr>
      </w:pPr>
      <w:r>
        <w:rPr>
          <w:color w:val="000000"/>
        </w:rPr>
        <w:t xml:space="preserve">†† </w:t>
      </w:r>
      <w:r>
        <w:rPr>
          <w:rFonts w:ascii="Times New Roman;serif" w:hAnsi="Times New Roman;serif"/>
          <w:b w:val="false"/>
          <w:color w:val="000000"/>
          <w:sz w:val="20"/>
        </w:rPr>
        <w:t>Certain portions of this exhibit that constitute confidential information have been omitted in accordance with Regulation S-K, Item 601(b)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168" w:type="dxa"/>
        <w:jc w:val="left"/>
        <w:tblInd w:w="0" w:type="dxa"/>
        <w:tblLayout w:type="fixed"/>
        <w:tblCellMar>
          <w:top w:w="28" w:type="dxa"/>
          <w:left w:w="28" w:type="dxa"/>
          <w:bottom w:w="28" w:type="dxa"/>
          <w:right w:w="28" w:type="dxa"/>
        </w:tblCellMar>
      </w:tblPr>
      <w:tblGrid>
        <w:gridCol w:w="858"/>
        <w:gridCol w:w="754"/>
        <w:gridCol w:w="757"/>
        <w:gridCol w:w="548"/>
        <w:gridCol w:w="548"/>
        <w:gridCol w:w="548"/>
        <w:gridCol w:w="1212"/>
        <w:gridCol w:w="1212"/>
        <w:gridCol w:w="1731"/>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SUPERNUS PHARMACEUTICALS, INC.</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November 6, 2025</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Jack A. Khattar</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A. Khattar</w:t>
              <w:br/>
              <w:t>President and Chief Executive Officer</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November 6, 2025</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C. Dec</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C. Dec</w:t>
              <w:br/>
              <w:t>Senior Vice-President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 Jack A. Khattar, certify that:</w:t>
      </w:r>
    </w:p>
    <w:p>
      <w:pPr>
        <w:pStyle w:val="TextBody"/>
        <w:bidi w:val="0"/>
        <w:spacing w:lineRule="auto" w:line="288" w:before="200" w:after="283"/>
        <w:ind w:left="0" w:right="0" w:hanging="720"/>
        <w:jc w:val="left"/>
        <w:rPr/>
      </w:pPr>
      <w:r>
        <w:rPr>
          <w:rFonts w:ascii="Times New Roman;serif" w:hAnsi="Times New Roman;serif"/>
          <w:b w:val="false"/>
          <w:color w:val="000000"/>
          <w:sz w:val="18"/>
        </w:rPr>
        <w:t>1.</w:t>
      </w:r>
      <w:r>
        <w:rPr>
          <w:rFonts w:ascii="Times New Roman;serif" w:hAnsi="Times New Roman;serif"/>
          <w:b w:val="false"/>
          <w:color w:val="000000"/>
          <w:sz w:val="20"/>
        </w:rPr>
        <w:t>I have reviewed this Quarterly Report on Form 10-Q of Supernus Pharmaceuticals, Inc.;</w:t>
      </w:r>
    </w:p>
    <w:p>
      <w:pPr>
        <w:pStyle w:val="TextBody"/>
        <w:bidi w:val="0"/>
        <w:spacing w:lineRule="auto" w:line="288" w:before="200" w:after="283"/>
        <w:ind w:left="0" w:right="0" w:hanging="720"/>
        <w:jc w:val="left"/>
        <w:rPr/>
      </w:pPr>
      <w:r>
        <w:rPr>
          <w:rFonts w:ascii="Times New Roman;serif" w:hAnsi="Times New Roman;serif"/>
          <w:b w:val="false"/>
          <w:color w:val="000000"/>
          <w:sz w:val="18"/>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pPr>
      <w:r>
        <w:rPr>
          <w:rFonts w:ascii="Times New Roman;serif" w:hAnsi="Times New Roman;serif"/>
          <w:b w:val="false"/>
          <w:color w:val="000000"/>
          <w:sz w:val="18"/>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pPr>
      <w:r>
        <w:rPr>
          <w:rFonts w:ascii="Times New Roman;serif" w:hAnsi="Times New Roman;serif"/>
          <w:b w:val="false"/>
          <w:color w:val="000000"/>
          <w:sz w:val="18"/>
        </w:rPr>
        <w:t>(b)</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pPr>
      <w:r>
        <w:rPr>
          <w:rFonts w:ascii="Times New Roman;serif" w:hAnsi="Times New Roman;serif"/>
          <w:b w:val="false"/>
          <w:color w:val="000000"/>
          <w:sz w:val="18"/>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pPr>
      <w:r>
        <w:rPr>
          <w:rFonts w:ascii="Times New Roman;serif" w:hAnsi="Times New Roman;serif"/>
          <w:b w:val="false"/>
          <w:color w:val="000000"/>
          <w:sz w:val="18"/>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pPr>
      <w:r>
        <w:rPr>
          <w:rFonts w:ascii="Times New Roman;serif" w:hAnsi="Times New Roman;serif"/>
          <w:b w:val="false"/>
          <w:color w:val="000000"/>
          <w:sz w:val="18"/>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69" w:type="dxa"/>
        <w:jc w:val="left"/>
        <w:tblInd w:w="0" w:type="dxa"/>
        <w:tblLayout w:type="fixed"/>
        <w:tblCellMar>
          <w:top w:w="28" w:type="dxa"/>
          <w:left w:w="28" w:type="dxa"/>
          <w:bottom w:w="28" w:type="dxa"/>
          <w:right w:w="28" w:type="dxa"/>
        </w:tblCellMar>
      </w:tblPr>
      <w:tblGrid>
        <w:gridCol w:w="759"/>
        <w:gridCol w:w="668"/>
        <w:gridCol w:w="672"/>
        <w:gridCol w:w="120"/>
        <w:gridCol w:w="120"/>
        <w:gridCol w:w="120"/>
        <w:gridCol w:w="940"/>
        <w:gridCol w:w="940"/>
        <w:gridCol w:w="133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Jack A. Khattar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A. Khattar</w:t>
              <w:br/>
              <w:t>President and 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 Timothy C. Dec, certify that:</w:t>
      </w:r>
    </w:p>
    <w:p>
      <w:pPr>
        <w:pStyle w:val="TextBody"/>
        <w:bidi w:val="0"/>
        <w:spacing w:lineRule="auto" w:line="288" w:before="200" w:after="283"/>
        <w:ind w:left="0" w:right="0" w:hanging="720"/>
        <w:jc w:val="left"/>
        <w:rPr/>
      </w:pPr>
      <w:r>
        <w:rPr>
          <w:rFonts w:ascii="Times New Roman;serif" w:hAnsi="Times New Roman;serif"/>
          <w:b w:val="false"/>
          <w:color w:val="000000"/>
          <w:sz w:val="18"/>
        </w:rPr>
        <w:t>1.</w:t>
      </w:r>
      <w:r>
        <w:rPr>
          <w:rFonts w:ascii="Times New Roman;serif" w:hAnsi="Times New Roman;serif"/>
          <w:b w:val="false"/>
          <w:color w:val="000000"/>
          <w:sz w:val="20"/>
        </w:rPr>
        <w:t>I have reviewed this Quarterly Report on Form 10-Q of Supernus Pharmaceuticals, Inc.;</w:t>
      </w:r>
    </w:p>
    <w:p>
      <w:pPr>
        <w:pStyle w:val="TextBody"/>
        <w:bidi w:val="0"/>
        <w:spacing w:lineRule="auto" w:line="288" w:before="200" w:after="283"/>
        <w:ind w:left="0" w:right="0" w:hanging="720"/>
        <w:jc w:val="left"/>
        <w:rPr/>
      </w:pPr>
      <w:r>
        <w:rPr>
          <w:rFonts w:ascii="Times New Roman;serif" w:hAnsi="Times New Roman;serif"/>
          <w:b w:val="false"/>
          <w:color w:val="000000"/>
          <w:sz w:val="18"/>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pPr>
      <w:r>
        <w:rPr>
          <w:rFonts w:ascii="Times New Roman;serif" w:hAnsi="Times New Roman;serif"/>
          <w:b w:val="false"/>
          <w:color w:val="000000"/>
          <w:sz w:val="18"/>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pPr>
      <w:r>
        <w:rPr>
          <w:rFonts w:ascii="Times New Roman;serif" w:hAnsi="Times New Roman;serif"/>
          <w:b w:val="false"/>
          <w:color w:val="000000"/>
          <w:sz w:val="18"/>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133" w:type="dxa"/>
        <w:jc w:val="left"/>
        <w:tblInd w:w="0" w:type="dxa"/>
        <w:tblLayout w:type="fixed"/>
        <w:tblCellMar>
          <w:top w:w="28" w:type="dxa"/>
          <w:left w:w="28" w:type="dxa"/>
          <w:bottom w:w="28" w:type="dxa"/>
          <w:right w:w="28" w:type="dxa"/>
        </w:tblCellMar>
      </w:tblPr>
      <w:tblGrid>
        <w:gridCol w:w="759"/>
        <w:gridCol w:w="668"/>
        <w:gridCol w:w="672"/>
        <w:gridCol w:w="120"/>
        <w:gridCol w:w="120"/>
        <w:gridCol w:w="120"/>
        <w:gridCol w:w="1072"/>
        <w:gridCol w:w="1072"/>
        <w:gridCol w:w="153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C. Dec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Timothy C. Dec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and Chief Financial Officer</w:t>
            </w:r>
          </w:p>
        </w:tc>
      </w:tr>
    </w:tbl>
    <w:p>
      <w:pPr>
        <w:pStyle w:val="TextBody"/>
        <w:bidi w:val="0"/>
        <w:spacing w:before="200" w:after="283"/>
        <w:ind w:left="0" w:right="0" w:hanging="36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SUPERNUS PHARMACEUTICALS, INC.</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18 U.S.C. sec. 1350,</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00" w:after="283"/>
        <w:jc w:val="left"/>
        <w:rPr/>
      </w:pPr>
      <w:r>
        <w:rPr>
          <w:rFonts w:ascii="Times New Roman;serif" w:hAnsi="Times New Roman;serif"/>
          <w:b w:val="false"/>
          <w:color w:val="000000"/>
          <w:sz w:val="18"/>
        </w:rPr>
        <w:t xml:space="preserve">In connection with the Quarterly Report of Supernus Pharmaceuticals, Inc. (the “Company”) on Form 10-Q for the period ended </w:t>
      </w:r>
      <w:r>
        <w:rPr>
          <w:rFonts w:ascii="Times New Roman;serif" w:hAnsi="Times New Roman;serif"/>
          <w:b w:val="false"/>
          <w:color w:val="000000"/>
          <w:sz w:val="20"/>
        </w:rPr>
        <w:t>September 30, 2025</w:t>
      </w:r>
      <w:r>
        <w:rPr>
          <w:color w:val="000000"/>
        </w:rPr>
        <w:t xml:space="preserve"> </w:t>
      </w:r>
      <w:r>
        <w:rPr>
          <w:rFonts w:ascii="Times New Roman;serif" w:hAnsi="Times New Roman;serif"/>
          <w:b w:val="false"/>
          <w:color w:val="000000"/>
          <w:sz w:val="18"/>
        </w:rPr>
        <w:t>as filed with the Securities and Exchange Commission on the date hereof (the “Report”), I, Jack A. Khattar, President and Chief Executive Officer of the Company, certify, pursuant to 18 U.S.C. sec. 1350, as adopted pursuant to Section 906 of the Sarbanes-Oxley Act of 2002, that:</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tbl>
      <w:tblPr>
        <w:tblW w:w="5070" w:type="dxa"/>
        <w:jc w:val="left"/>
        <w:tblInd w:w="0" w:type="dxa"/>
        <w:tblLayout w:type="fixed"/>
        <w:tblCellMar>
          <w:top w:w="28" w:type="dxa"/>
          <w:left w:w="28" w:type="dxa"/>
          <w:bottom w:w="28" w:type="dxa"/>
          <w:right w:w="28" w:type="dxa"/>
        </w:tblCellMar>
      </w:tblPr>
      <w:tblGrid>
        <w:gridCol w:w="677"/>
        <w:gridCol w:w="597"/>
        <w:gridCol w:w="601"/>
        <w:gridCol w:w="120"/>
        <w:gridCol w:w="120"/>
        <w:gridCol w:w="120"/>
        <w:gridCol w:w="830"/>
        <w:gridCol w:w="830"/>
        <w:gridCol w:w="1175"/>
      </w:tblGrid>
      <w:tr>
        <w:trPr/>
        <w:tc>
          <w:tcPr>
            <w:tcW w:w="67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Date: November 6, 2025</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Jack A. Khattar</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Jack A. Khattar</w:t>
              <w:br/>
              <w:t>President and 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SUPERNUS PHARMACEUTICALS, INC.</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18 U.S.C. sec. 1350,</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00" w:after="283"/>
        <w:jc w:val="left"/>
        <w:rPr/>
      </w:pPr>
      <w:r>
        <w:rPr>
          <w:rFonts w:ascii="Times New Roman;serif" w:hAnsi="Times New Roman;serif"/>
          <w:b w:val="false"/>
          <w:color w:val="000000"/>
          <w:sz w:val="18"/>
        </w:rPr>
        <w:t xml:space="preserve">In connection with the Quarterly Report of Supernus Pharmaceuticals, Inc. (the “Company”) on Form 10-Q for the period ended </w:t>
      </w:r>
      <w:r>
        <w:rPr>
          <w:rFonts w:ascii="Times New Roman;serif" w:hAnsi="Times New Roman;serif"/>
          <w:b w:val="false"/>
          <w:color w:val="000000"/>
          <w:sz w:val="20"/>
        </w:rPr>
        <w:t>September 30, 2025</w:t>
      </w:r>
      <w:r>
        <w:rPr>
          <w:color w:val="000000"/>
        </w:rPr>
        <w:t xml:space="preserve"> </w:t>
      </w:r>
      <w:r>
        <w:rPr>
          <w:rFonts w:ascii="Times New Roman;serif" w:hAnsi="Times New Roman;serif"/>
          <w:b w:val="false"/>
          <w:color w:val="000000"/>
          <w:sz w:val="18"/>
        </w:rPr>
        <w:t>as filed with the Securities and Exchange Commission on the date hereof (the “Report”), I, Timothy C. Dec, Senior Vice President and Chief Financial Officer of the Company, certify, pursuant to 18 U.S.C. sec. 1350, as adopted pursuant to Section 906 of the Sarbanes-Oxley Act of 2002, that:</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tbl>
      <w:tblPr>
        <w:tblW w:w="6133" w:type="dxa"/>
        <w:jc w:val="left"/>
        <w:tblInd w:w="0" w:type="dxa"/>
        <w:tblLayout w:type="fixed"/>
        <w:tblCellMar>
          <w:top w:w="28" w:type="dxa"/>
          <w:left w:w="28" w:type="dxa"/>
          <w:bottom w:w="28" w:type="dxa"/>
          <w:right w:w="28" w:type="dxa"/>
        </w:tblCellMar>
      </w:tblPr>
      <w:tblGrid>
        <w:gridCol w:w="759"/>
        <w:gridCol w:w="668"/>
        <w:gridCol w:w="672"/>
        <w:gridCol w:w="120"/>
        <w:gridCol w:w="120"/>
        <w:gridCol w:w="120"/>
        <w:gridCol w:w="1070"/>
        <w:gridCol w:w="1070"/>
        <w:gridCol w:w="153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Timothy C. Dec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Timothy C. Dec</w:t>
              <w:br/>
              <w:t>Senior Vice President and Chief Financial Officer</w:t>
            </w:r>
          </w:p>
        </w:tc>
      </w:tr>
    </w:tbl>
    <w:p>
      <w:pPr>
        <w:pStyle w:val="TextBody"/>
        <w:bidi w:val="0"/>
        <w:ind w:left="0" w:right="0" w:hanging="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597553/000095017023002964/sage-20221231.htm" TargetMode="External"/><Relationship Id="rId4" Type="http://schemas.openxmlformats.org/officeDocument/2006/relationships/hyperlink" Target="https://www.sec.gov/Archives/edgar/data/1597553/000156459021053304/sage-ex104_17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40754</Words>
  <Characters>230517</Characters>
  <CharactersWithSpaces>269730</CharactersWithSpaces>
  <Paragraphs>2899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