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415925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 w:lineRule="exact"/>
        <w:rPr>
          <w:sz w:val="24"/>
          <w:szCs w:val="24"/>
          <w:color w:val="auto"/>
        </w:rPr>
      </w:pPr>
    </w:p>
    <w:p>
      <w:pPr>
        <w:ind w:left="360" w:right="860" w:hanging="340"/>
        <w:spacing w:after="0" w:line="236"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31" w:lineRule="exact"/>
        <w:rPr>
          <w:sz w:val="24"/>
          <w:szCs w:val="24"/>
          <w:color w:val="auto"/>
        </w:rPr>
      </w:pPr>
    </w:p>
    <w:p>
      <w:pPr>
        <w:ind w:left="560" w:right="660" w:hanging="340"/>
        <w:spacing w:after="0" w:line="236" w:lineRule="auto"/>
        <w:tabs>
          <w:tab w:leader="none" w:pos="5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153" w:lineRule="exact"/>
        <w:rPr>
          <w:sz w:val="24"/>
          <w:szCs w:val="24"/>
          <w:color w:val="auto"/>
        </w:rPr>
      </w:pPr>
    </w:p>
    <w:p>
      <w:pPr>
        <w:ind w:left="378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000" w:space="720"/>
            <w:col w:w="452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Commission File Number: 001-35518</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SUPERNUS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30" w:right="339" w:bottom="1440" w:gutter="0" w:footer="0" w:header="0"/>
          <w:type w:val="continuous"/>
        </w:sectPr>
      </w:pPr>
    </w:p>
    <w:p>
      <w:pPr>
        <w:spacing w:after="0" w:line="26"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5"/>
          <w:szCs w:val="15"/>
          <w:color w:val="auto"/>
        </w:rPr>
        <w:t>(State or other jurisdiction of</w:t>
      </w:r>
    </w:p>
    <w:p>
      <w:pPr>
        <w:ind w:left="106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20-2590184</w:t>
      </w:r>
    </w:p>
    <w:p>
      <w:pPr>
        <w:spacing w:after="0" w:line="11"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(I.R.S. Employer</w:t>
      </w:r>
    </w:p>
    <w:p>
      <w:pPr>
        <w:jc w:val="center"/>
        <w:ind w:right="1460"/>
        <w:spacing w:after="0"/>
        <w:rPr>
          <w:sz w:val="20"/>
          <w:szCs w:val="20"/>
          <w:color w:val="auto"/>
        </w:rPr>
      </w:pPr>
      <w:r>
        <w:rPr>
          <w:rFonts w:ascii="Arial" w:cs="Arial" w:eastAsia="Arial" w:hAnsi="Arial"/>
          <w:sz w:val="15"/>
          <w:szCs w:val="15"/>
          <w:color w:val="auto"/>
        </w:rPr>
        <w:t>Identification No.)</w:t>
      </w:r>
    </w:p>
    <w:p>
      <w:pPr>
        <w:spacing w:after="0" w:line="67" w:lineRule="exact"/>
        <w:rPr>
          <w:sz w:val="24"/>
          <w:szCs w:val="24"/>
          <w:color w:val="auto"/>
        </w:rPr>
      </w:pPr>
    </w:p>
    <w:p>
      <w:pPr>
        <w:sectPr>
          <w:pgSz w:w="11900" w:h="16838" w:orient="portrait"/>
          <w:cols w:equalWidth="0" w:num="2">
            <w:col w:w="7840" w:space="720"/>
            <w:col w:w="2680"/>
          </w:cols>
          <w:pgMar w:left="320" w:top="230" w:right="339" w:bottom="1440" w:gutter="0" w:footer="0" w:header="0"/>
          <w:type w:val="continuous"/>
        </w:sectPr>
      </w:pPr>
    </w:p>
    <w:p>
      <w:pPr>
        <w:ind w:left="1260"/>
        <w:spacing w:after="0"/>
        <w:rPr>
          <w:sz w:val="20"/>
          <w:szCs w:val="20"/>
          <w:color w:val="auto"/>
        </w:rPr>
      </w:pPr>
      <w:r>
        <w:rPr>
          <w:rFonts w:ascii="Arial" w:cs="Arial" w:eastAsia="Arial" w:hAnsi="Arial"/>
          <w:sz w:val="14"/>
          <w:szCs w:val="14"/>
          <w:b w:val="1"/>
          <w:bCs w:val="1"/>
          <w:color w:val="auto"/>
        </w:rPr>
        <w:t>9715 Key West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20850</w:t>
      </w:r>
    </w:p>
    <w:p>
      <w:pPr>
        <w:spacing w:after="0" w:line="49" w:lineRule="exact"/>
        <w:rPr>
          <w:sz w:val="24"/>
          <w:szCs w:val="24"/>
          <w:color w:val="auto"/>
        </w:rPr>
      </w:pPr>
    </w:p>
    <w:p>
      <w:pPr>
        <w:sectPr>
          <w:pgSz w:w="11900" w:h="16838" w:orient="portrait"/>
          <w:cols w:equalWidth="0" w:num="4">
            <w:col w:w="3760" w:space="720"/>
            <w:col w:w="1040" w:space="720"/>
            <w:col w:w="2020" w:space="720"/>
            <w:col w:w="2260"/>
          </w:cols>
          <w:pgMar w:left="320" w:top="230" w:right="339" w:bottom="1440" w:gutter="0" w:footer="0" w:header="0"/>
          <w:type w:val="continuous"/>
        </w:sectPr>
      </w:pPr>
    </w:p>
    <w:p>
      <w:pPr>
        <w:ind w:left="7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09" w:lineRule="exact"/>
        <w:rPr>
          <w:sz w:val="24"/>
          <w:szCs w:val="24"/>
          <w:color w:val="auto"/>
        </w:rPr>
      </w:pPr>
    </w:p>
    <w:p>
      <w:pPr>
        <w:sectPr>
          <w:pgSz w:w="11900" w:h="16838" w:orient="portrait"/>
          <w:cols w:equalWidth="0" w:num="2">
            <w:col w:w="8100" w:space="720"/>
            <w:col w:w="242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(301) 838-2500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52" w:lineRule="exact"/>
        <w:rPr>
          <w:sz w:val="24"/>
          <w:szCs w:val="24"/>
          <w:color w:val="auto"/>
        </w:rPr>
      </w:pPr>
    </w:p>
    <w:p>
      <w:pPr>
        <w:ind w:right="20" w:firstLine="309"/>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2" w:lineRule="exact"/>
        <w:rPr>
          <w:sz w:val="24"/>
          <w:szCs w:val="24"/>
          <w:color w:val="auto"/>
        </w:rPr>
      </w:pPr>
    </w:p>
    <w:p>
      <w:pPr>
        <w:ind w:right="480" w:firstLine="309"/>
        <w:spacing w:after="0" w:line="279" w:lineRule="auto"/>
        <w:rPr>
          <w:sz w:val="20"/>
          <w:szCs w:val="20"/>
          <w:color w:val="auto"/>
        </w:rPr>
      </w:pPr>
      <w:r>
        <w:rPr>
          <w:rFonts w:ascii="Arial" w:cs="Arial" w:eastAsia="Arial" w:hAnsi="Arial"/>
          <w:sz w:val="17"/>
          <w:szCs w:val="17"/>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3" w:lineRule="exact"/>
        <w:rPr>
          <w:sz w:val="24"/>
          <w:szCs w:val="24"/>
          <w:color w:val="auto"/>
        </w:rPr>
      </w:pPr>
    </w:p>
    <w:p>
      <w:pPr>
        <w:ind w:left="200" w:hanging="197"/>
        <w:spacing w:after="0" w:line="196"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Yes No </w:t>
      </w:r>
      <w:r>
        <w:rPr>
          <w:rFonts w:ascii="MS PGothic" w:cs="MS PGothic" w:eastAsia="MS PGothic" w:hAnsi="MS PGothic"/>
          <w:sz w:val="17"/>
          <w:szCs w:val="17"/>
          <w:color w:val="auto"/>
        </w:rPr>
        <w:t>☐</w:t>
      </w:r>
    </w:p>
    <w:p>
      <w:pPr>
        <w:spacing w:after="0" w:line="133" w:lineRule="exact"/>
        <w:rPr>
          <w:sz w:val="24"/>
          <w:szCs w:val="24"/>
          <w:color w:val="auto"/>
        </w:rPr>
      </w:pPr>
    </w:p>
    <w:p>
      <w:pPr>
        <w:ind w:right="200" w:firstLine="309"/>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80" w:type="dxa"/>
        <w:tblCellMar>
          <w:top w:w="0" w:type="dxa"/>
          <w:left w:w="0" w:type="dxa"/>
          <w:bottom w:w="0" w:type="dxa"/>
          <w:right w:w="0" w:type="dxa"/>
        </w:tblCellMar>
      </w:tblPr>
      <w:tr>
        <w:trPr>
          <w:trHeight w:val="266"/>
        </w:trPr>
        <w:tc>
          <w:tcPr>
            <w:tcW w:w="2060" w:type="dxa"/>
            <w:vAlign w:val="bottom"/>
          </w:tcPr>
          <w:p>
            <w:pPr>
              <w:jc w:val="center"/>
              <w:ind w:right="434"/>
              <w:spacing w:after="0"/>
              <w:rPr>
                <w:sz w:val="20"/>
                <w:szCs w:val="20"/>
                <w:color w:val="auto"/>
              </w:rPr>
            </w:pPr>
            <w:r>
              <w:rPr>
                <w:rFonts w:ascii="Arial" w:cs="Arial" w:eastAsia="Arial" w:hAnsi="Arial"/>
                <w:sz w:val="17"/>
                <w:szCs w:val="17"/>
                <w:color w:val="auto"/>
                <w:w w:val="91"/>
              </w:rPr>
              <w:t>Large accelerated filer</w:t>
            </w:r>
          </w:p>
        </w:tc>
        <w:tc>
          <w:tcPr>
            <w:tcW w:w="13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jc w:val="center"/>
              <w:ind w:right="174"/>
              <w:spacing w:after="0"/>
              <w:rPr>
                <w:sz w:val="20"/>
                <w:szCs w:val="20"/>
                <w:color w:val="auto"/>
              </w:rPr>
            </w:pPr>
            <w:r>
              <w:rPr>
                <w:rFonts w:ascii="Arial" w:cs="Arial" w:eastAsia="Arial" w:hAnsi="Arial"/>
                <w:sz w:val="17"/>
                <w:szCs w:val="17"/>
                <w:color w:val="auto"/>
                <w:w w:val="93"/>
              </w:rPr>
              <w:t>Accelerated filer</w:t>
            </w:r>
          </w:p>
        </w:tc>
        <w:tc>
          <w:tcPr>
            <w:tcW w:w="108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060" w:type="dxa"/>
            <w:vAlign w:val="bottom"/>
          </w:tcPr>
          <w:p>
            <w:pPr>
              <w:jc w:val="center"/>
              <w:ind w:right="434"/>
              <w:spacing w:after="0"/>
              <w:rPr>
                <w:sz w:val="20"/>
                <w:szCs w:val="20"/>
                <w:color w:val="auto"/>
              </w:rPr>
            </w:pPr>
            <w:r>
              <w:rPr>
                <w:rFonts w:ascii="Arial" w:cs="Arial" w:eastAsia="Arial" w:hAnsi="Arial"/>
                <w:sz w:val="17"/>
                <w:szCs w:val="17"/>
                <w:color w:val="auto"/>
                <w:w w:val="93"/>
              </w:rPr>
              <w:t>Non-accelerated filer</w:t>
            </w:r>
          </w:p>
        </w:tc>
        <w:tc>
          <w:tcPr>
            <w:tcW w:w="13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560" w:type="dxa"/>
            <w:vAlign w:val="bottom"/>
          </w:tcPr>
          <w:p>
            <w:pPr>
              <w:jc w:val="center"/>
              <w:ind w:right="154"/>
              <w:spacing w:after="0"/>
              <w:rPr>
                <w:sz w:val="20"/>
                <w:szCs w:val="20"/>
                <w:color w:val="auto"/>
              </w:rPr>
            </w:pPr>
            <w:r>
              <w:rPr>
                <w:rFonts w:ascii="Arial" w:cs="Arial" w:eastAsia="Arial" w:hAnsi="Arial"/>
                <w:sz w:val="17"/>
                <w:szCs w:val="17"/>
                <w:color w:val="auto"/>
                <w:w w:val="92"/>
              </w:rPr>
              <w:t>Smaller reporting company</w:t>
            </w:r>
          </w:p>
        </w:tc>
        <w:tc>
          <w:tcPr>
            <w:tcW w:w="108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1"/>
        </w:trPr>
        <w:tc>
          <w:tcPr>
            <w:tcW w:w="2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560" w:type="dxa"/>
            <w:vAlign w:val="bottom"/>
          </w:tcPr>
          <w:p>
            <w:pPr>
              <w:jc w:val="center"/>
              <w:ind w:right="114"/>
              <w:spacing w:after="0"/>
              <w:rPr>
                <w:sz w:val="20"/>
                <w:szCs w:val="20"/>
                <w:color w:val="auto"/>
              </w:rPr>
            </w:pPr>
            <w:r>
              <w:rPr>
                <w:rFonts w:ascii="Arial" w:cs="Arial" w:eastAsia="Arial" w:hAnsi="Arial"/>
                <w:sz w:val="17"/>
                <w:szCs w:val="17"/>
                <w:color w:val="auto"/>
                <w:w w:val="92"/>
              </w:rPr>
              <w:t>Emerging growth company</w:t>
            </w:r>
          </w:p>
        </w:tc>
        <w:tc>
          <w:tcPr>
            <w:tcW w:w="108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37" w:lineRule="exact"/>
        <w:rPr>
          <w:sz w:val="24"/>
          <w:szCs w:val="24"/>
          <w:color w:val="auto"/>
        </w:rPr>
      </w:pPr>
    </w:p>
    <w:p>
      <w:pPr>
        <w:ind w:right="180" w:firstLine="309"/>
        <w:spacing w:after="0" w:line="27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left="320" w:right="2100"/>
        <w:spacing w:after="0" w:line="25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Securities registered pursuant to Section 12(b)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w w:val="84"/>
              </w:rPr>
              <w:t>Title of each class</w:t>
            </w:r>
          </w:p>
        </w:tc>
        <w:tc>
          <w:tcPr>
            <w:tcW w:w="120" w:type="dxa"/>
            <w:vAlign w:val="bottom"/>
          </w:tcPr>
          <w:p>
            <w:pPr>
              <w:spacing w:after="0"/>
              <w:rPr>
                <w:sz w:val="16"/>
                <w:szCs w:val="16"/>
                <w:color w:val="auto"/>
              </w:rPr>
            </w:pPr>
          </w:p>
        </w:tc>
        <w:tc>
          <w:tcPr>
            <w:tcW w:w="260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0"/>
              </w:rPr>
              <w:t>Outstanding at April 30, 2021</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88"/>
              </w:rPr>
              <w:t>Trading Symbol</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jc w:val="center"/>
              <w:ind w:left="120"/>
              <w:spacing w:after="0" w:line="167" w:lineRule="exact"/>
              <w:rPr>
                <w:sz w:val="20"/>
                <w:szCs w:val="20"/>
                <w:color w:val="auto"/>
              </w:rPr>
            </w:pPr>
            <w:r>
              <w:rPr>
                <w:rFonts w:ascii="Arial" w:cs="Arial" w:eastAsia="Arial" w:hAnsi="Arial"/>
                <w:sz w:val="17"/>
                <w:szCs w:val="17"/>
                <w:color w:val="auto"/>
                <w:w w:val="91"/>
              </w:rPr>
              <w:t>Common Stock, $0.001 par value per</w:t>
            </w:r>
          </w:p>
        </w:tc>
        <w:tc>
          <w:tcPr>
            <w:tcW w:w="2600" w:type="dxa"/>
            <w:vAlign w:val="bottom"/>
            <w:vMerge w:val="restart"/>
          </w:tcPr>
          <w:p>
            <w:pPr>
              <w:jc w:val="right"/>
              <w:ind w:right="683"/>
              <w:spacing w:after="0"/>
              <w:rPr>
                <w:sz w:val="20"/>
                <w:szCs w:val="20"/>
                <w:color w:val="auto"/>
              </w:rPr>
            </w:pPr>
            <w:r>
              <w:rPr>
                <w:rFonts w:ascii="Arial" w:cs="Arial" w:eastAsia="Arial" w:hAnsi="Arial"/>
                <w:sz w:val="17"/>
                <w:szCs w:val="17"/>
                <w:color w:val="auto"/>
              </w:rPr>
              <w:t>53,018,637</w:t>
            </w:r>
          </w:p>
        </w:tc>
        <w:tc>
          <w:tcPr>
            <w:tcW w:w="100" w:type="dxa"/>
            <w:vAlign w:val="bottom"/>
          </w:tcPr>
          <w:p>
            <w:pPr>
              <w:spacing w:after="0"/>
              <w:rPr>
                <w:sz w:val="14"/>
                <w:szCs w:val="14"/>
                <w:color w:val="auto"/>
              </w:rPr>
            </w:pPr>
          </w:p>
        </w:tc>
        <w:tc>
          <w:tcPr>
            <w:tcW w:w="1660" w:type="dxa"/>
            <w:vAlign w:val="bottom"/>
            <w:gridSpan w:val="2"/>
            <w:vMerge w:val="restart"/>
          </w:tcPr>
          <w:p>
            <w:pPr>
              <w:jc w:val="center"/>
              <w:ind w:left="143"/>
              <w:spacing w:after="0"/>
              <w:rPr>
                <w:sz w:val="20"/>
                <w:szCs w:val="20"/>
                <w:color w:val="auto"/>
              </w:rPr>
            </w:pPr>
            <w:r>
              <w:rPr>
                <w:rFonts w:ascii="Arial" w:cs="Arial" w:eastAsia="Arial" w:hAnsi="Arial"/>
                <w:sz w:val="17"/>
                <w:szCs w:val="17"/>
                <w:color w:val="auto"/>
                <w:w w:val="93"/>
              </w:rPr>
              <w:t>SUPN</w:t>
            </w:r>
          </w:p>
        </w:tc>
        <w:tc>
          <w:tcPr>
            <w:tcW w:w="3600" w:type="dxa"/>
            <w:vAlign w:val="bottom"/>
            <w:vMerge w:val="restart"/>
          </w:tcPr>
          <w:p>
            <w:pPr>
              <w:jc w:val="center"/>
              <w:ind w:left="243"/>
              <w:spacing w:after="0"/>
              <w:rPr>
                <w:sz w:val="20"/>
                <w:szCs w:val="20"/>
                <w:color w:val="auto"/>
              </w:rPr>
            </w:pPr>
            <w:r>
              <w:rPr>
                <w:rFonts w:ascii="Arial" w:cs="Arial" w:eastAsia="Arial" w:hAnsi="Arial"/>
                <w:sz w:val="17"/>
                <w:szCs w:val="17"/>
                <w:color w:val="auto"/>
                <w:w w:val="92"/>
              </w:rPr>
              <w:t>The Nasdaq Global Market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260" w:type="dxa"/>
            <w:vAlign w:val="bottom"/>
            <w:gridSpan w:val="2"/>
            <w:vMerge w:val="restart"/>
          </w:tcPr>
          <w:p>
            <w:pPr>
              <w:ind w:left="1400"/>
              <w:spacing w:after="0"/>
              <w:rPr>
                <w:sz w:val="20"/>
                <w:szCs w:val="20"/>
                <w:color w:val="auto"/>
              </w:rPr>
            </w:pPr>
            <w:r>
              <w:rPr>
                <w:rFonts w:ascii="Arial" w:cs="Arial" w:eastAsia="Arial" w:hAnsi="Arial"/>
                <w:sz w:val="17"/>
                <w:szCs w:val="17"/>
                <w:color w:val="auto"/>
              </w:rPr>
              <w:t>share</w:t>
            </w:r>
          </w:p>
        </w:tc>
        <w:tc>
          <w:tcPr>
            <w:tcW w:w="2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26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 — QUARTERLY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Page No.</w:t>
            </w:r>
          </w:p>
        </w:tc>
      </w:tr>
      <w:tr>
        <w:trPr>
          <w:trHeight w:val="168"/>
        </w:trPr>
        <w:tc>
          <w:tcPr>
            <w:tcW w:w="10380" w:type="dxa"/>
            <w:vAlign w:val="bottom"/>
            <w:gridSpan w:val="20"/>
          </w:tcPr>
          <w:p>
            <w:pPr>
              <w:spacing w:after="0" w:line="167" w:lineRule="exact"/>
              <w:rPr>
                <w:rFonts w:ascii="Arial" w:cs="Arial" w:eastAsia="Arial" w:hAnsi="Arial"/>
                <w:sz w:val="17"/>
                <w:szCs w:val="17"/>
                <w:color w:val="0000FF"/>
              </w:rPr>
            </w:pPr>
            <w:hyperlink w:anchor="page2">
              <w:r>
                <w:rPr>
                  <w:rFonts w:ascii="Arial" w:cs="Arial" w:eastAsia="Arial" w:hAnsi="Arial"/>
                  <w:sz w:val="17"/>
                  <w:szCs w:val="17"/>
                  <w:color w:val="0000FF"/>
                </w:rPr>
                <w:t>PART I — FINANCIAL INFORMATION</w:t>
              </w:r>
            </w:hyperlink>
          </w:p>
        </w:tc>
        <w:tc>
          <w:tcPr>
            <w:tcW w:w="840" w:type="dxa"/>
            <w:vAlign w:val="bottom"/>
          </w:tcPr>
          <w:p>
            <w:pPr>
              <w:spacing w:after="0"/>
              <w:rPr>
                <w:sz w:val="14"/>
                <w:szCs w:val="1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p>
        </w:tc>
        <w:tc>
          <w:tcPr>
            <w:tcW w:w="9880" w:type="dxa"/>
            <w:vAlign w:val="bottom"/>
            <w:gridSpan w:val="19"/>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Item 1. Unaudited Condensed Consolidated Financial Statements</w:t>
              </w:r>
            </w:hyperlink>
          </w:p>
        </w:tc>
        <w:tc>
          <w:tcPr>
            <w:tcW w:w="840" w:type="dxa"/>
            <w:vAlign w:val="bottom"/>
          </w:tcPr>
          <w:p>
            <w:pPr>
              <w:spacing w:after="0"/>
              <w:rPr>
                <w:sz w:val="20"/>
                <w:szCs w:val="20"/>
                <w:color w:val="auto"/>
              </w:rPr>
            </w:pPr>
          </w:p>
        </w:tc>
      </w:tr>
      <w:tr>
        <w:trPr>
          <w:trHeight w:val="182"/>
        </w:trPr>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tcBorders>
              <w:bottom w:val="single" w:sz="8" w:color="0000FF"/>
            </w:tcBorders>
            <w:gridSpan w:val="10"/>
          </w:tcPr>
          <w:p>
            <w:pPr>
              <w:spacing w:after="0" w:line="182" w:lineRule="exact"/>
              <w:rPr>
                <w:rFonts w:ascii="Arial" w:cs="Arial" w:eastAsia="Arial" w:hAnsi="Arial"/>
                <w:sz w:val="17"/>
                <w:szCs w:val="17"/>
                <w:color w:val="0000FF"/>
                <w:w w:val="88"/>
              </w:rPr>
            </w:pPr>
            <w:hyperlink w:anchor="page3">
              <w:r>
                <w:rPr>
                  <w:rFonts w:ascii="Arial" w:cs="Arial" w:eastAsia="Arial" w:hAnsi="Arial"/>
                  <w:sz w:val="17"/>
                  <w:szCs w:val="17"/>
                  <w:color w:val="0000FF"/>
                  <w:w w:val="88"/>
                </w:rPr>
                <w:t>Condensed Consolidated Balance Sheets</w:t>
              </w:r>
            </w:hyperlink>
          </w:p>
        </w:tc>
        <w:tc>
          <w:tcPr>
            <w:tcW w:w="6840" w:type="dxa"/>
            <w:vAlign w:val="bottom"/>
            <w:gridSpan w:val="8"/>
          </w:tcPr>
          <w:p>
            <w:pPr>
              <w:spacing w:after="0"/>
              <w:rPr>
                <w:sz w:val="15"/>
                <w:szCs w:val="15"/>
                <w:color w:val="auto"/>
              </w:rPr>
            </w:pPr>
          </w:p>
        </w:tc>
        <w:tc>
          <w:tcPr>
            <w:tcW w:w="840" w:type="dxa"/>
            <w:vAlign w:val="bottom"/>
          </w:tcPr>
          <w:p>
            <w:pPr>
              <w:jc w:val="right"/>
              <w:spacing w:after="0" w:line="182" w:lineRule="exact"/>
              <w:rPr>
                <w:rFonts w:ascii="Arial" w:cs="Arial" w:eastAsia="Arial" w:hAnsi="Arial"/>
                <w:sz w:val="17"/>
                <w:szCs w:val="17"/>
                <w:color w:val="1E39C6"/>
              </w:rPr>
            </w:pPr>
            <w:hyperlink w:anchor="page3">
              <w:r>
                <w:rPr>
                  <w:rFonts w:ascii="Arial" w:cs="Arial" w:eastAsia="Arial" w:hAnsi="Arial"/>
                  <w:sz w:val="17"/>
                  <w:szCs w:val="17"/>
                  <w:color w:val="1E39C6"/>
                </w:rPr>
                <w:t>3</w:t>
              </w:r>
            </w:hyperlink>
          </w:p>
        </w:tc>
      </w:tr>
      <w:tr>
        <w:trPr>
          <w:trHeight w:val="199"/>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18"/>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Earnings</w:t>
              </w:r>
            </w:hyperlink>
          </w:p>
        </w:tc>
        <w:tc>
          <w:tcPr>
            <w:tcW w:w="84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Comprehensive Earnings</w:t>
              </w:r>
            </w:hyperlink>
          </w:p>
        </w:tc>
        <w:tc>
          <w:tcPr>
            <w:tcW w:w="84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FF"/>
            </w:tcBorders>
            <w:gridSpan w:val="16"/>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Condensed Consolidated Statements of Changes in Stockholders' Equity</w:t>
              </w:r>
            </w:hyperlink>
          </w:p>
        </w:tc>
        <w:tc>
          <w:tcPr>
            <w:tcW w:w="4660" w:type="dxa"/>
            <w:vAlign w:val="bottom"/>
            <w:gridSpan w:val="2"/>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r>
      <w:tr>
        <w:trPr>
          <w:trHeight w:val="431"/>
        </w:trPr>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w:t>
              </w:r>
            </w:hyperlink>
          </w:p>
        </w:tc>
        <w:tc>
          <w:tcPr>
            <w:tcW w:w="84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Notes to Condensed Consolidated Financial Statements</w:t>
              </w:r>
            </w:hyperlink>
          </w:p>
        </w:tc>
        <w:tc>
          <w:tcPr>
            <w:tcW w:w="84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500" w:type="dxa"/>
            <w:vAlign w:val="bottom"/>
          </w:tcPr>
          <w:p>
            <w:pPr>
              <w:spacing w:after="0"/>
              <w:rPr>
                <w:sz w:val="17"/>
                <w:szCs w:val="17"/>
                <w:color w:val="auto"/>
              </w:rPr>
            </w:pPr>
          </w:p>
        </w:tc>
        <w:tc>
          <w:tcPr>
            <w:tcW w:w="6700" w:type="dxa"/>
            <w:vAlign w:val="bottom"/>
            <w:tcBorders>
              <w:bottom w:val="single" w:sz="8" w:color="0000FF"/>
            </w:tcBorders>
            <w:gridSpan w:val="18"/>
          </w:tcPr>
          <w:p>
            <w:pPr>
              <w:spacing w:after="0"/>
              <w:rPr>
                <w:rFonts w:ascii="Arial" w:cs="Arial" w:eastAsia="Arial" w:hAnsi="Arial"/>
                <w:sz w:val="17"/>
                <w:szCs w:val="17"/>
                <w:color w:val="0000FF"/>
                <w:w w:val="92"/>
              </w:rPr>
            </w:pPr>
            <w:hyperlink w:anchor="page26">
              <w:r>
                <w:rPr>
                  <w:rFonts w:ascii="Arial" w:cs="Arial" w:eastAsia="Arial" w:hAnsi="Arial"/>
                  <w:sz w:val="17"/>
                  <w:szCs w:val="17"/>
                  <w:color w:val="0000FF"/>
                  <w:w w:val="92"/>
                </w:rPr>
                <w:t>Item 2. Management’s Discussion and Analysis of Financial Condition and Results of Operations</w:t>
              </w:r>
            </w:hyperlink>
          </w:p>
        </w:tc>
        <w:tc>
          <w:tcPr>
            <w:tcW w:w="3180" w:type="dxa"/>
            <w:vAlign w:val="bottom"/>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27</w:t>
              </w:r>
            </w:hyperlink>
          </w:p>
        </w:tc>
      </w:tr>
      <w:tr>
        <w:trPr>
          <w:trHeight w:val="199"/>
        </w:trPr>
        <w:tc>
          <w:tcPr>
            <w:tcW w:w="500" w:type="dxa"/>
            <w:vAlign w:val="bottom"/>
          </w:tcPr>
          <w:p>
            <w:pPr>
              <w:spacing w:after="0"/>
              <w:rPr>
                <w:sz w:val="17"/>
                <w:szCs w:val="17"/>
                <w:color w:val="auto"/>
              </w:rPr>
            </w:pPr>
          </w:p>
        </w:tc>
        <w:tc>
          <w:tcPr>
            <w:tcW w:w="9880" w:type="dxa"/>
            <w:vAlign w:val="bottom"/>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Item 3. Quantitative and Qualitative Disclosures about Market Risk</w:t>
              </w:r>
            </w:hyperlink>
          </w:p>
        </w:tc>
        <w:tc>
          <w:tcPr>
            <w:tcW w:w="840" w:type="dxa"/>
            <w:vAlign w:val="bottom"/>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r>
      <w:tr>
        <w:trPr>
          <w:trHeight w:val="199"/>
        </w:trPr>
        <w:tc>
          <w:tcPr>
            <w:tcW w:w="500" w:type="dxa"/>
            <w:vAlign w:val="bottom"/>
          </w:tcPr>
          <w:p>
            <w:pPr>
              <w:spacing w:after="0"/>
              <w:rPr>
                <w:sz w:val="17"/>
                <w:szCs w:val="17"/>
                <w:color w:val="auto"/>
              </w:rPr>
            </w:pPr>
          </w:p>
        </w:tc>
        <w:tc>
          <w:tcPr>
            <w:tcW w:w="4640" w:type="dxa"/>
            <w:vAlign w:val="bottom"/>
            <w:tcBorders>
              <w:top w:val="single" w:sz="8" w:color="0000FF"/>
            </w:tcBorders>
            <w:gridSpan w:val="15"/>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Item 4. Controls and Procedures</w:t>
              </w:r>
            </w:hyperlink>
          </w:p>
        </w:tc>
        <w:tc>
          <w:tcPr>
            <w:tcW w:w="5240" w:type="dxa"/>
            <w:vAlign w:val="bottom"/>
            <w:gridSpan w:val="4"/>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r>
      <w:tr>
        <w:trPr>
          <w:trHeight w:val="20"/>
        </w:trPr>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10380" w:type="dxa"/>
            <w:vAlign w:val="bottom"/>
            <w:gridSpan w:val="20"/>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PART II — OTHER INFORMATION</w:t>
              </w:r>
            </w:hyperlink>
          </w:p>
        </w:tc>
        <w:tc>
          <w:tcPr>
            <w:tcW w:w="840" w:type="dxa"/>
            <w:vAlign w:val="bottom"/>
          </w:tcPr>
          <w:p>
            <w:pPr>
              <w:spacing w:after="0"/>
              <w:rPr>
                <w:sz w:val="17"/>
                <w:szCs w:val="17"/>
                <w:color w:val="auto"/>
              </w:rPr>
            </w:pPr>
          </w:p>
        </w:tc>
      </w:tr>
      <w:tr>
        <w:trPr>
          <w:trHeight w:val="199"/>
        </w:trPr>
        <w:tc>
          <w:tcPr>
            <w:tcW w:w="50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gridSpan w:val="7"/>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Item 1. Legal Proceedings</w:t>
              </w:r>
            </w:hyperlink>
          </w:p>
        </w:tc>
        <w:tc>
          <w:tcPr>
            <w:tcW w:w="7760" w:type="dxa"/>
            <w:vAlign w:val="bottom"/>
            <w:gridSpan w:val="12"/>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36</w:t>
              </w:r>
            </w:hyperlink>
          </w:p>
        </w:tc>
      </w:tr>
      <w:tr>
        <w:trPr>
          <w:trHeight w:val="199"/>
        </w:trPr>
        <w:tc>
          <w:tcPr>
            <w:tcW w:w="500" w:type="dxa"/>
            <w:vAlign w:val="bottom"/>
          </w:tcPr>
          <w:p>
            <w:pPr>
              <w:spacing w:after="0"/>
              <w:rPr>
                <w:sz w:val="17"/>
                <w:szCs w:val="17"/>
                <w:color w:val="auto"/>
              </w:rPr>
            </w:pPr>
          </w:p>
        </w:tc>
        <w:tc>
          <w:tcPr>
            <w:tcW w:w="1800" w:type="dxa"/>
            <w:vAlign w:val="bottom"/>
            <w:tcBorders>
              <w:top w:val="single" w:sz="8" w:color="0000FF"/>
            </w:tcBorders>
            <w:gridSpan w:val="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1A. Risk Factors</w:t>
              </w:r>
            </w:hyperlink>
          </w:p>
        </w:tc>
        <w:tc>
          <w:tcPr>
            <w:tcW w:w="8080" w:type="dxa"/>
            <w:vAlign w:val="bottom"/>
            <w:gridSpan w:val="13"/>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r>
      <w:tr>
        <w:trPr>
          <w:trHeight w:val="20"/>
        </w:trPr>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500" w:type="dxa"/>
            <w:vAlign w:val="bottom"/>
          </w:tcPr>
          <w:p>
            <w:pPr>
              <w:spacing w:after="0"/>
              <w:rPr>
                <w:sz w:val="17"/>
                <w:szCs w:val="17"/>
                <w:color w:val="auto"/>
              </w:rPr>
            </w:pPr>
          </w:p>
        </w:tc>
        <w:tc>
          <w:tcPr>
            <w:tcW w:w="9880" w:type="dxa"/>
            <w:vAlign w:val="bottom"/>
            <w:gridSpan w:val="19"/>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Item 2. Unregistered Sales of Equity Securities and Use of Proceeds</w:t>
              </w:r>
            </w:hyperlink>
          </w:p>
        </w:tc>
        <w:tc>
          <w:tcPr>
            <w:tcW w:w="84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r>
      <w:tr>
        <w:trPr>
          <w:trHeight w:val="199"/>
        </w:trPr>
        <w:tc>
          <w:tcPr>
            <w:tcW w:w="5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0"/>
          </w:tcPr>
          <w:p>
            <w:pPr>
              <w:spacing w:after="0"/>
              <w:rPr>
                <w:rFonts w:ascii="Arial" w:cs="Arial" w:eastAsia="Arial" w:hAnsi="Arial"/>
                <w:sz w:val="17"/>
                <w:szCs w:val="17"/>
                <w:color w:val="0000FF"/>
                <w:w w:val="92"/>
              </w:rPr>
            </w:pPr>
            <w:hyperlink w:anchor="page49">
              <w:r>
                <w:rPr>
                  <w:rFonts w:ascii="Arial" w:cs="Arial" w:eastAsia="Arial" w:hAnsi="Arial"/>
                  <w:sz w:val="17"/>
                  <w:szCs w:val="17"/>
                  <w:color w:val="0000FF"/>
                  <w:w w:val="92"/>
                </w:rPr>
                <w:t>Item 3. Defaults Upon Senior Securities</w:t>
              </w:r>
            </w:hyperlink>
          </w:p>
        </w:tc>
        <w:tc>
          <w:tcPr>
            <w:tcW w:w="1940" w:type="dxa"/>
            <w:vAlign w:val="bottom"/>
            <w:tcBorders>
              <w:top w:val="single" w:sz="8" w:color="0000FF"/>
            </w:tcBorders>
            <w:gridSpan w:val="6"/>
          </w:tcPr>
          <w:p>
            <w:pPr>
              <w:spacing w:after="0"/>
              <w:rPr>
                <w:sz w:val="17"/>
                <w:szCs w:val="17"/>
                <w:color w:val="auto"/>
              </w:rPr>
            </w:pPr>
          </w:p>
        </w:tc>
        <w:tc>
          <w:tcPr>
            <w:tcW w:w="5180" w:type="dxa"/>
            <w:vAlign w:val="bottom"/>
            <w:gridSpan w:val="3"/>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r>
      <w:tr>
        <w:trPr>
          <w:trHeight w:val="199"/>
        </w:trPr>
        <w:tc>
          <w:tcPr>
            <w:tcW w:w="500" w:type="dxa"/>
            <w:vAlign w:val="bottom"/>
          </w:tcPr>
          <w:p>
            <w:pPr>
              <w:spacing w:after="0"/>
              <w:rPr>
                <w:sz w:val="17"/>
                <w:szCs w:val="17"/>
                <w:color w:val="auto"/>
              </w:rPr>
            </w:pPr>
          </w:p>
        </w:tc>
        <w:tc>
          <w:tcPr>
            <w:tcW w:w="9880" w:type="dxa"/>
            <w:vAlign w:val="bottom"/>
            <w:gridSpan w:val="19"/>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Item 4. Mine Safety Disclosures</w:t>
              </w:r>
            </w:hyperlink>
          </w:p>
        </w:tc>
        <w:tc>
          <w:tcPr>
            <w:tcW w:w="84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r>
      <w:tr>
        <w:trPr>
          <w:trHeight w:val="199"/>
        </w:trPr>
        <w:tc>
          <w:tcPr>
            <w:tcW w:w="500" w:type="dxa"/>
            <w:vAlign w:val="bottom"/>
          </w:tcPr>
          <w:p>
            <w:pPr>
              <w:spacing w:after="0"/>
              <w:rPr>
                <w:sz w:val="17"/>
                <w:szCs w:val="17"/>
                <w:color w:val="auto"/>
              </w:rPr>
            </w:pPr>
          </w:p>
        </w:tc>
        <w:tc>
          <w:tcPr>
            <w:tcW w:w="2220" w:type="dxa"/>
            <w:vAlign w:val="bottom"/>
            <w:tcBorders>
              <w:top w:val="single" w:sz="8" w:color="0000FF"/>
            </w:tcBorders>
            <w:gridSpan w:val="8"/>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Item 5. Other Information</w:t>
              </w:r>
            </w:hyperlink>
          </w:p>
        </w:tc>
        <w:tc>
          <w:tcPr>
            <w:tcW w:w="7660" w:type="dxa"/>
            <w:vAlign w:val="bottom"/>
            <w:gridSpan w:val="11"/>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r>
      <w:tr>
        <w:trPr>
          <w:trHeight w:val="199"/>
        </w:trPr>
        <w:tc>
          <w:tcPr>
            <w:tcW w:w="500" w:type="dxa"/>
            <w:vAlign w:val="bottom"/>
          </w:tcPr>
          <w:p>
            <w:pPr>
              <w:spacing w:after="0"/>
              <w:rPr>
                <w:sz w:val="17"/>
                <w:szCs w:val="17"/>
                <w:color w:val="auto"/>
              </w:rPr>
            </w:pPr>
          </w:p>
        </w:tc>
        <w:tc>
          <w:tcPr>
            <w:tcW w:w="1780" w:type="dxa"/>
            <w:vAlign w:val="bottom"/>
            <w:tcBorders>
              <w:top w:val="single" w:sz="8" w:color="0000FF"/>
            </w:tcBorders>
            <w:gridSpan w:val="5"/>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Item 6. Exhibits</w:t>
              </w:r>
            </w:hyperlink>
          </w:p>
        </w:tc>
        <w:tc>
          <w:tcPr>
            <w:tcW w:w="8100" w:type="dxa"/>
            <w:vAlign w:val="bottom"/>
            <w:gridSpan w:val="14"/>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50</w:t>
              </w:r>
            </w:hyperlink>
          </w:p>
        </w:tc>
      </w:tr>
      <w:tr>
        <w:trPr>
          <w:trHeight w:val="20"/>
        </w:trPr>
        <w:tc>
          <w:tcPr>
            <w:tcW w:w="5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78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1060" w:type="dxa"/>
            <w:vAlign w:val="bottom"/>
            <w:tcBorders>
              <w:bottom w:val="single" w:sz="8" w:color="0000FF"/>
            </w:tcBorders>
            <w:gridSpan w:val="3"/>
          </w:tcPr>
          <w:p>
            <w:pPr>
              <w:spacing w:after="0"/>
              <w:rPr>
                <w:rFonts w:ascii="Arial" w:cs="Arial" w:eastAsia="Arial" w:hAnsi="Arial"/>
                <w:sz w:val="17"/>
                <w:szCs w:val="17"/>
                <w:color w:val="0000FF"/>
                <w:w w:val="94"/>
              </w:rPr>
            </w:pPr>
            <w:hyperlink w:anchor="page50">
              <w:r>
                <w:rPr>
                  <w:rFonts w:ascii="Arial" w:cs="Arial" w:eastAsia="Arial" w:hAnsi="Arial"/>
                  <w:sz w:val="17"/>
                  <w:szCs w:val="17"/>
                  <w:color w:val="0000FF"/>
                  <w:w w:val="94"/>
                </w:rPr>
                <w:t>SIGNATURES</w:t>
              </w:r>
            </w:hyperlink>
          </w:p>
        </w:tc>
        <w:tc>
          <w:tcPr>
            <w:tcW w:w="9320" w:type="dxa"/>
            <w:vAlign w:val="bottom"/>
            <w:gridSpan w:val="17"/>
          </w:tcPr>
          <w:p>
            <w:pPr>
              <w:spacing w:after="0"/>
              <w:rPr>
                <w:sz w:val="17"/>
                <w:szCs w:val="17"/>
                <w:color w:val="auto"/>
              </w:rPr>
            </w:pPr>
          </w:p>
        </w:tc>
        <w:tc>
          <w:tcPr>
            <w:tcW w:w="84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51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6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288,640</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133,893</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Accounts receivable,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140,877</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Inventories,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48,325</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18,682</w:t>
            </w:r>
          </w:p>
        </w:tc>
        <w:tc>
          <w:tcPr>
            <w:tcW w:w="0" w:type="dxa"/>
            <w:vAlign w:val="bottom"/>
          </w:tcPr>
          <w:p>
            <w:pPr>
              <w:spacing w:after="0"/>
              <w:rPr>
                <w:sz w:val="1"/>
                <w:szCs w:val="1"/>
                <w:color w:val="auto"/>
              </w:rPr>
            </w:pPr>
          </w:p>
        </w:tc>
      </w:tr>
      <w:tr>
        <w:trPr>
          <w:trHeight w:val="211"/>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Total current assets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586,023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630,417</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Long term marketable securities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350,359</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37,824</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Intangible assets,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364,342</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77,911</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43,249</w:t>
            </w:r>
          </w:p>
        </w:tc>
        <w:tc>
          <w:tcPr>
            <w:tcW w:w="0" w:type="dxa"/>
            <w:vAlign w:val="bottom"/>
          </w:tcPr>
          <w:p>
            <w:pPr>
              <w:spacing w:after="0"/>
              <w:rPr>
                <w:sz w:val="1"/>
                <w:szCs w:val="1"/>
                <w:color w:val="auto"/>
              </w:rPr>
            </w:pPr>
          </w:p>
        </w:tc>
      </w:tr>
      <w:tr>
        <w:trPr>
          <w:trHeight w:val="211"/>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1,507,443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1,504,102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Accounts payable and accrued liabilities</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70,099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78,934</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product returns and rebates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126,192</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Contingent consideration, current portion</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30,900</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9,082</w:t>
            </w:r>
          </w:p>
        </w:tc>
        <w:tc>
          <w:tcPr>
            <w:tcW w:w="0" w:type="dxa"/>
            <w:vAlign w:val="bottom"/>
          </w:tcPr>
          <w:p>
            <w:pPr>
              <w:spacing w:after="0"/>
              <w:rPr>
                <w:sz w:val="1"/>
                <w:szCs w:val="1"/>
                <w:color w:val="auto"/>
              </w:rPr>
            </w:pPr>
          </w:p>
        </w:tc>
      </w:tr>
      <w:tr>
        <w:trPr>
          <w:trHeight w:val="211"/>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Total current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240,812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245,108</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notes,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361,751</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Contingent consideration, long term</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45,800</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lease liabilities, long term</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28,579</w:t>
            </w: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Deferred income tax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35,215</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42,791</w:t>
            </w:r>
          </w:p>
        </w:tc>
        <w:tc>
          <w:tcPr>
            <w:tcW w:w="0" w:type="dxa"/>
            <w:vAlign w:val="bottom"/>
          </w:tcPr>
          <w:p>
            <w:pPr>
              <w:spacing w:after="0"/>
              <w:rPr>
                <w:sz w:val="1"/>
                <w:szCs w:val="1"/>
                <w:color w:val="auto"/>
              </w:rPr>
            </w:pPr>
          </w:p>
        </w:tc>
      </w:tr>
      <w:tr>
        <w:trPr>
          <w:trHeight w:val="211"/>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Total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752,999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759,244</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tcPr>
          <w:p>
            <w:pPr>
              <w:ind w:left="60"/>
              <w:spacing w:after="0"/>
              <w:rPr>
                <w:sz w:val="20"/>
                <w:szCs w:val="20"/>
                <w:color w:val="auto"/>
              </w:rPr>
            </w:pPr>
            <w:r>
              <w:rPr>
                <w:rFonts w:ascii="Arial" w:cs="Arial" w:eastAsia="Arial" w:hAnsi="Arial"/>
                <w:sz w:val="17"/>
                <w:szCs w:val="17"/>
                <w:b w:val="1"/>
                <w:bCs w:val="1"/>
                <w:color w:val="auto"/>
              </w:rPr>
              <w:t>Stockholders’ equity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480" w:type="dxa"/>
            <w:vAlign w:val="bottom"/>
            <w:shd w:val="clear" w:color="auto" w:fill="CCEEFF"/>
          </w:tcPr>
          <w:p>
            <w:pPr>
              <w:ind w:left="260"/>
              <w:spacing w:after="0" w:line="168" w:lineRule="exact"/>
              <w:rPr>
                <w:sz w:val="20"/>
                <w:szCs w:val="20"/>
                <w:color w:val="auto"/>
              </w:rPr>
            </w:pPr>
            <w:r>
              <w:rPr>
                <w:rFonts w:ascii="Arial" w:cs="Arial" w:eastAsia="Arial" w:hAnsi="Arial"/>
                <w:sz w:val="17"/>
                <w:szCs w:val="17"/>
                <w:color w:val="auto"/>
                <w:w w:val="96"/>
              </w:rPr>
              <w:t>Common stock, $0.001 par value; 130,000,000 shares authorized; 52,994,137 and 52,868,482 shares issued and</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 as of March 31, 2021 and December 31, 2020, respectively</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415,950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409,332</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earnings, net of tax</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8,975</w:t>
            </w:r>
          </w:p>
        </w:tc>
        <w:tc>
          <w:tcPr>
            <w:tcW w:w="0" w:type="dxa"/>
            <w:vAlign w:val="bottom"/>
          </w:tcPr>
          <w:p>
            <w:pPr>
              <w:spacing w:after="0"/>
              <w:rPr>
                <w:sz w:val="1"/>
                <w:szCs w:val="1"/>
                <w:color w:val="auto"/>
              </w:rPr>
            </w:pPr>
          </w:p>
        </w:tc>
      </w:tr>
      <w:tr>
        <w:trPr>
          <w:trHeight w:val="218"/>
        </w:trPr>
        <w:tc>
          <w:tcPr>
            <w:tcW w:w="84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326,498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754,444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744,858</w:t>
            </w:r>
          </w:p>
        </w:tc>
        <w:tc>
          <w:tcPr>
            <w:tcW w:w="0" w:type="dxa"/>
            <w:vAlign w:val="bottom"/>
          </w:tcPr>
          <w:p>
            <w:pPr>
              <w:spacing w:after="0"/>
              <w:rPr>
                <w:sz w:val="1"/>
                <w:szCs w:val="1"/>
                <w:color w:val="auto"/>
              </w:rPr>
            </w:pPr>
          </w:p>
        </w:tc>
      </w:tr>
      <w:tr>
        <w:trPr>
          <w:trHeight w:val="187"/>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1,507,443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1,504,102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760"/>
              <w:spacing w:after="0"/>
              <w:rPr>
                <w:sz w:val="20"/>
                <w:szCs w:val="20"/>
                <w:color w:val="auto"/>
              </w:rPr>
            </w:pPr>
            <w:r>
              <w:rPr>
                <w:rFonts w:ascii="Arial" w:cs="Arial" w:eastAsia="Arial" w:hAnsi="Arial"/>
                <w:sz w:val="17"/>
                <w:szCs w:val="17"/>
                <w:color w:val="auto"/>
              </w:rPr>
              <w:t>See accompanying notes.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4"/>
        </w:trPr>
        <w:tc>
          <w:tcPr>
            <w:tcW w:w="8480" w:type="dxa"/>
            <w:vAlign w:val="bottom"/>
          </w:tcPr>
          <w:p>
            <w:pPr>
              <w:ind w:left="5580"/>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Condensed Consolidated Statements of Earnings</w:t>
      </w:r>
    </w:p>
    <w:p>
      <w:pPr>
        <w:spacing w:after="0" w:line="11"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3"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tbl>
      <w:tblPr>
        <w:tblLayout w:type="fixed"/>
        <w:tblInd w:w="40" w:type="dxa"/>
        <w:tblCellMar>
          <w:top w:w="0" w:type="dxa"/>
          <w:left w:w="0" w:type="dxa"/>
          <w:bottom w:w="0" w:type="dxa"/>
          <w:right w:w="0" w:type="dxa"/>
        </w:tblCellMar>
      </w:tblPr>
      <w:tr>
        <w:trPr>
          <w:trHeight w:val="174"/>
        </w:trPr>
        <w:tc>
          <w:tcPr>
            <w:tcW w:w="8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r>
      <w:tr>
        <w:trPr>
          <w:trHeight w:val="172"/>
        </w:trPr>
        <w:tc>
          <w:tcPr>
            <w:tcW w:w="8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173"/>
        </w:trPr>
        <w:tc>
          <w:tcPr>
            <w:tcW w:w="8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5"/>
                <w:szCs w:val="15"/>
                <w:color w:val="auto"/>
              </w:rPr>
            </w:pPr>
          </w:p>
        </w:tc>
      </w:tr>
      <w:tr>
        <w:trPr>
          <w:trHeight w:val="220"/>
        </w:trPr>
        <w:tc>
          <w:tcPr>
            <w:tcW w:w="8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8"/>
        </w:trPr>
        <w:tc>
          <w:tcPr>
            <w:tcW w:w="8600" w:type="dxa"/>
            <w:vAlign w:val="bottom"/>
          </w:tcPr>
          <w:p>
            <w:pPr>
              <w:ind w:left="260"/>
              <w:spacing w:after="0"/>
              <w:rPr>
                <w:sz w:val="20"/>
                <w:szCs w:val="20"/>
                <w:color w:val="auto"/>
              </w:rPr>
            </w:pPr>
            <w:r>
              <w:rPr>
                <w:rFonts w:ascii="Arial" w:cs="Arial" w:eastAsia="Arial" w:hAnsi="Arial"/>
                <w:sz w:val="17"/>
                <w:szCs w:val="17"/>
                <w:color w:val="auto"/>
              </w:rPr>
              <w:t>Net product sales</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128,381</w:t>
            </w:r>
          </w:p>
        </w:tc>
        <w:tc>
          <w:tcPr>
            <w:tcW w:w="80" w:type="dxa"/>
            <w:vAlign w:val="bottom"/>
          </w:tcPr>
          <w:p>
            <w:pPr>
              <w:spacing w:after="0"/>
              <w:rPr>
                <w:sz w:val="18"/>
                <w:szCs w:val="18"/>
                <w:color w:val="auto"/>
              </w:rPr>
            </w:pP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92,490</w:t>
            </w:r>
          </w:p>
        </w:tc>
      </w:tr>
      <w:tr>
        <w:trPr>
          <w:trHeight w:val="220"/>
        </w:trPr>
        <w:tc>
          <w:tcPr>
            <w:tcW w:w="86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Royalty revenues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r>
      <w:tr>
        <w:trPr>
          <w:trHeight w:val="211"/>
        </w:trPr>
        <w:tc>
          <w:tcPr>
            <w:tcW w:w="8600" w:type="dxa"/>
            <w:vAlign w:val="bottom"/>
          </w:tcPr>
          <w:p>
            <w:pPr>
              <w:ind w:left="140"/>
              <w:spacing w:after="0"/>
              <w:rPr>
                <w:sz w:val="20"/>
                <w:szCs w:val="20"/>
                <w:color w:val="auto"/>
              </w:rPr>
            </w:pPr>
            <w:r>
              <w:rPr>
                <w:rFonts w:ascii="Arial" w:cs="Arial" w:eastAsia="Arial" w:hAnsi="Arial"/>
                <w:sz w:val="17"/>
                <w:szCs w:val="17"/>
                <w:color w:val="auto"/>
              </w:rPr>
              <w:t>Total 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130,932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94,976</w:t>
            </w:r>
          </w:p>
        </w:tc>
      </w:tr>
      <w:tr>
        <w:trPr>
          <w:trHeight w:val="246"/>
        </w:trPr>
        <w:tc>
          <w:tcPr>
            <w:tcW w:w="8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8"/>
        </w:trPr>
        <w:tc>
          <w:tcPr>
            <w:tcW w:w="8600" w:type="dxa"/>
            <w:vAlign w:val="bottom"/>
          </w:tcPr>
          <w:p>
            <w:pPr>
              <w:ind w:left="60"/>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860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2"/>
                <w:szCs w:val="22"/>
                <w:color w:val="auto"/>
                <w:vertAlign w:val="superscript"/>
              </w:rPr>
              <w:t>(a)</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w:t>
            </w:r>
          </w:p>
        </w:tc>
      </w:tr>
      <w:tr>
        <w:trPr>
          <w:trHeight w:val="218"/>
        </w:trPr>
        <w:tc>
          <w:tcPr>
            <w:tcW w:w="860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34,280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18,937</w:t>
            </w:r>
          </w:p>
        </w:tc>
      </w:tr>
      <w:tr>
        <w:trPr>
          <w:trHeight w:val="220"/>
        </w:trPr>
        <w:tc>
          <w:tcPr>
            <w:tcW w:w="86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41,614</w:t>
            </w:r>
          </w:p>
        </w:tc>
      </w:tr>
      <w:tr>
        <w:trPr>
          <w:trHeight w:val="218"/>
        </w:trPr>
        <w:tc>
          <w:tcPr>
            <w:tcW w:w="8600" w:type="dxa"/>
            <w:vAlign w:val="bottom"/>
          </w:tcPr>
          <w:p>
            <w:pPr>
              <w:ind w:left="280"/>
              <w:spacing w:after="0"/>
              <w:rPr>
                <w:sz w:val="20"/>
                <w:szCs w:val="20"/>
                <w:color w:val="auto"/>
              </w:rPr>
            </w:pPr>
            <w:r>
              <w:rPr>
                <w:rFonts w:ascii="Arial" w:cs="Arial" w:eastAsia="Arial" w:hAnsi="Arial"/>
                <w:sz w:val="17"/>
                <w:szCs w:val="17"/>
                <w:color w:val="auto"/>
              </w:rPr>
              <w:t>Amortization of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1,261</w:t>
            </w:r>
          </w:p>
        </w:tc>
      </w:tr>
      <w:tr>
        <w:trPr>
          <w:trHeight w:val="220"/>
        </w:trPr>
        <w:tc>
          <w:tcPr>
            <w:tcW w:w="86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Contingent consideration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600" w:type="dxa"/>
            <w:vAlign w:val="bottom"/>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117,718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65,964</w:t>
            </w:r>
          </w:p>
        </w:tc>
      </w:tr>
      <w:tr>
        <w:trPr>
          <w:trHeight w:val="246"/>
        </w:trPr>
        <w:tc>
          <w:tcPr>
            <w:tcW w:w="8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8"/>
        </w:trPr>
        <w:tc>
          <w:tcPr>
            <w:tcW w:w="8600" w:type="dxa"/>
            <w:vAlign w:val="bottom"/>
          </w:tcPr>
          <w:p>
            <w:pPr>
              <w:ind w:left="60"/>
              <w:spacing w:after="0"/>
              <w:rPr>
                <w:sz w:val="20"/>
                <w:szCs w:val="20"/>
                <w:color w:val="auto"/>
              </w:rPr>
            </w:pPr>
            <w:r>
              <w:rPr>
                <w:rFonts w:ascii="Arial" w:cs="Arial" w:eastAsia="Arial" w:hAnsi="Arial"/>
                <w:sz w:val="17"/>
                <w:szCs w:val="17"/>
                <w:color w:val="auto"/>
              </w:rPr>
              <w:t>Operating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29,012</w:t>
            </w:r>
          </w:p>
        </w:tc>
      </w:tr>
      <w:tr>
        <w:trPr>
          <w:trHeight w:val="246"/>
        </w:trPr>
        <w:tc>
          <w:tcPr>
            <w:tcW w:w="8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8"/>
        </w:trPr>
        <w:tc>
          <w:tcPr>
            <w:tcW w:w="860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86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(5,755)</w:t>
            </w:r>
          </w:p>
        </w:tc>
      </w:tr>
      <w:tr>
        <w:trPr>
          <w:trHeight w:val="218"/>
        </w:trPr>
        <w:tc>
          <w:tcPr>
            <w:tcW w:w="86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Interest and other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5,777</w:t>
            </w:r>
          </w:p>
        </w:tc>
      </w:tr>
      <w:tr>
        <w:trPr>
          <w:trHeight w:val="212"/>
        </w:trPr>
        <w:tc>
          <w:tcPr>
            <w:tcW w:w="8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other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6"/>
        </w:trPr>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8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Earnings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29,034</w:t>
            </w:r>
          </w:p>
        </w:tc>
      </w:tr>
      <w:tr>
        <w:trPr>
          <w:trHeight w:val="245"/>
        </w:trPr>
        <w:tc>
          <w:tcPr>
            <w:tcW w:w="8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9"/>
        </w:trPr>
        <w:tc>
          <w:tcPr>
            <w:tcW w:w="86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7,516</w:t>
            </w:r>
          </w:p>
        </w:tc>
      </w:tr>
      <w:tr>
        <w:trPr>
          <w:trHeight w:val="211"/>
        </w:trPr>
        <w:tc>
          <w:tcPr>
            <w:tcW w:w="8600" w:type="dxa"/>
            <w:vAlign w:val="bottom"/>
          </w:tcPr>
          <w:p>
            <w:pPr>
              <w:ind w:left="60"/>
              <w:spacing w:after="0"/>
              <w:rPr>
                <w:sz w:val="20"/>
                <w:szCs w:val="20"/>
                <w:color w:val="auto"/>
              </w:rPr>
            </w:pPr>
            <w:r>
              <w:rPr>
                <w:rFonts w:ascii="Arial" w:cs="Arial" w:eastAsia="Arial" w:hAnsi="Arial"/>
                <w:sz w:val="17"/>
                <w:szCs w:val="17"/>
                <w:color w:val="auto"/>
              </w:rPr>
              <w:t>Net earnings</w:t>
            </w:r>
          </w:p>
        </w:tc>
        <w:tc>
          <w:tcPr>
            <w:tcW w:w="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21,518</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2"/>
        </w:trPr>
        <w:tc>
          <w:tcPr>
            <w:tcW w:w="8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8"/>
        </w:trPr>
        <w:tc>
          <w:tcPr>
            <w:tcW w:w="8600" w:type="dxa"/>
            <w:vAlign w:val="bottom"/>
          </w:tcPr>
          <w:p>
            <w:pPr>
              <w:ind w:left="60"/>
              <w:spacing w:after="0"/>
              <w:rPr>
                <w:sz w:val="20"/>
                <w:szCs w:val="20"/>
                <w:color w:val="auto"/>
              </w:rPr>
            </w:pPr>
            <w:r>
              <w:rPr>
                <w:rFonts w:ascii="Arial" w:cs="Arial" w:eastAsia="Arial" w:hAnsi="Arial"/>
                <w:sz w:val="17"/>
                <w:szCs w:val="17"/>
                <w:color w:val="auto"/>
              </w:rPr>
              <w:t>Earnings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8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18"/>
        </w:trPr>
        <w:tc>
          <w:tcPr>
            <w:tcW w:w="8600" w:type="dxa"/>
            <w:vAlign w:val="bottom"/>
          </w:tcPr>
          <w:p>
            <w:pPr>
              <w:ind w:left="180"/>
              <w:spacing w:after="0"/>
              <w:rPr>
                <w:sz w:val="20"/>
                <w:szCs w:val="20"/>
                <w:color w:val="auto"/>
              </w:rPr>
            </w:pPr>
            <w:r>
              <w:rPr>
                <w:rFonts w:ascii="Arial" w:cs="Arial" w:eastAsia="Arial" w:hAnsi="Arial"/>
                <w:sz w:val="17"/>
                <w:szCs w:val="17"/>
                <w:color w:val="auto"/>
              </w:rPr>
              <w:t>Diluted</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8"/>
                <w:szCs w:val="18"/>
                <w:color w:val="auto"/>
              </w:rPr>
            </w:pP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0.40</w:t>
            </w:r>
          </w:p>
        </w:tc>
      </w:tr>
      <w:tr>
        <w:trPr>
          <w:trHeight w:val="246"/>
        </w:trPr>
        <w:tc>
          <w:tcPr>
            <w:tcW w:w="8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8"/>
        </w:trPr>
        <w:tc>
          <w:tcPr>
            <w:tcW w:w="8600" w:type="dxa"/>
            <w:vAlign w:val="bottom"/>
          </w:tcPr>
          <w:p>
            <w:pPr>
              <w:ind w:left="60"/>
              <w:spacing w:after="0"/>
              <w:rPr>
                <w:sz w:val="20"/>
                <w:szCs w:val="20"/>
                <w:color w:val="auto"/>
              </w:rPr>
            </w:pPr>
            <w:r>
              <w:rPr>
                <w:rFonts w:ascii="Arial" w:cs="Arial" w:eastAsia="Arial" w:hAnsi="Arial"/>
                <w:sz w:val="17"/>
                <w:szCs w:val="17"/>
                <w:color w:val="auto"/>
              </w:rPr>
              <w:t>Weighted-average shares outstanding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8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52,927,467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52,534,787</w:t>
            </w:r>
          </w:p>
        </w:tc>
      </w:tr>
      <w:tr>
        <w:trPr>
          <w:trHeight w:val="218"/>
        </w:trPr>
        <w:tc>
          <w:tcPr>
            <w:tcW w:w="8600" w:type="dxa"/>
            <w:vAlign w:val="bottom"/>
          </w:tcPr>
          <w:p>
            <w:pPr>
              <w:ind w:left="18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54,196,971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6"/>
              </w:rPr>
              <w:t>53,581,051</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85" w:lineRule="exact"/>
        <w:rPr>
          <w:sz w:val="20"/>
          <w:szCs w:val="20"/>
          <w:color w:val="auto"/>
        </w:rPr>
      </w:pPr>
    </w:p>
    <w:p>
      <w:pPr>
        <w:ind w:left="160" w:hanging="157"/>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Earnings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jc w:val="center"/>
        <w:ind w:left="856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r>
      <w:tr>
        <w:trPr>
          <w:trHeight w:val="173"/>
        </w:trPr>
        <w:tc>
          <w:tcPr>
            <w:tcW w:w="8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20"/>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center"/>
              <w:ind w:left="400"/>
              <w:spacing w:after="0"/>
              <w:rPr>
                <w:sz w:val="20"/>
                <w:szCs w:val="20"/>
                <w:color w:val="auto"/>
              </w:rPr>
            </w:pPr>
            <w:r>
              <w:rPr>
                <w:rFonts w:ascii="Arial" w:cs="Arial" w:eastAsia="Arial" w:hAnsi="Arial"/>
                <w:sz w:val="17"/>
                <w:szCs w:val="17"/>
                <w:color w:val="auto"/>
                <w:w w:val="89"/>
              </w:rPr>
              <w:t>5,694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9"/>
              </w:rPr>
              <w:t>21,518</w:t>
            </w:r>
          </w:p>
        </w:tc>
      </w:tr>
      <w:tr>
        <w:trPr>
          <w:trHeight w:val="218"/>
        </w:trPr>
        <w:tc>
          <w:tcPr>
            <w:tcW w:w="8580" w:type="dxa"/>
            <w:vAlign w:val="bottom"/>
          </w:tcPr>
          <w:p>
            <w:pPr>
              <w:ind w:left="20"/>
              <w:spacing w:after="0"/>
              <w:rPr>
                <w:sz w:val="20"/>
                <w:szCs w:val="20"/>
                <w:color w:val="auto"/>
              </w:rPr>
            </w:pPr>
            <w:r>
              <w:rPr>
                <w:rFonts w:ascii="Arial" w:cs="Arial" w:eastAsia="Arial" w:hAnsi="Arial"/>
                <w:sz w:val="17"/>
                <w:szCs w:val="17"/>
                <w:color w:val="auto"/>
              </w:rPr>
              <w:t>Other comprehensive earnings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60"/>
              <w:spacing w:after="0"/>
              <w:rPr>
                <w:sz w:val="20"/>
                <w:szCs w:val="20"/>
                <w:color w:val="auto"/>
              </w:rPr>
            </w:pPr>
            <w:r>
              <w:rPr>
                <w:rFonts w:ascii="Arial" w:cs="Arial" w:eastAsia="Arial" w:hAnsi="Arial"/>
                <w:sz w:val="17"/>
                <w:szCs w:val="17"/>
                <w:color w:val="auto"/>
                <w:w w:val="92"/>
              </w:rPr>
              <w:t>(2,726)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2"/>
              </w:rPr>
              <w:t>(7,583)</w:t>
            </w:r>
          </w:p>
        </w:tc>
      </w:tr>
      <w:tr>
        <w:trPr>
          <w:trHeight w:val="211"/>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360"/>
              <w:spacing w:after="0"/>
              <w:rPr>
                <w:sz w:val="20"/>
                <w:szCs w:val="20"/>
                <w:color w:val="auto"/>
              </w:rPr>
            </w:pPr>
            <w:r>
              <w:rPr>
                <w:rFonts w:ascii="Arial" w:cs="Arial" w:eastAsia="Arial" w:hAnsi="Arial"/>
                <w:sz w:val="17"/>
                <w:szCs w:val="17"/>
                <w:color w:val="auto"/>
                <w:w w:val="92"/>
              </w:rPr>
              <w:t>(2,726)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w w:val="92"/>
              </w:rPr>
              <w:t>(7,583)</w:t>
            </w:r>
          </w:p>
        </w:tc>
      </w:tr>
      <w:tr>
        <w:trPr>
          <w:trHeight w:val="226"/>
        </w:trPr>
        <w:tc>
          <w:tcPr>
            <w:tcW w:w="8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8580" w:type="dxa"/>
            <w:vAlign w:val="bottom"/>
          </w:tcPr>
          <w:p>
            <w:pPr>
              <w:ind w:left="20"/>
              <w:spacing w:after="0"/>
              <w:rPr>
                <w:sz w:val="20"/>
                <w:szCs w:val="20"/>
                <w:color w:val="auto"/>
              </w:rPr>
            </w:pPr>
            <w:r>
              <w:rPr>
                <w:rFonts w:ascii="Arial" w:cs="Arial" w:eastAsia="Arial" w:hAnsi="Arial"/>
                <w:sz w:val="17"/>
                <w:szCs w:val="17"/>
                <w:color w:val="auto"/>
              </w:rPr>
              <w:t>Comprehensive earnings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center"/>
              <w:ind w:left="400"/>
              <w:spacing w:after="0"/>
              <w:rPr>
                <w:sz w:val="20"/>
                <w:szCs w:val="20"/>
                <w:color w:val="auto"/>
              </w:rPr>
            </w:pPr>
            <w:r>
              <w:rPr>
                <w:rFonts w:ascii="Arial" w:cs="Arial" w:eastAsia="Arial" w:hAnsi="Arial"/>
                <w:sz w:val="17"/>
                <w:szCs w:val="17"/>
                <w:color w:val="auto"/>
                <w:w w:val="89"/>
              </w:rPr>
              <w:t>2,968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9"/>
              </w:rPr>
              <w:t>13,935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2021 and 2020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5"/>
            <w:vMerge w:val="restart"/>
          </w:tcPr>
          <w:p>
            <w:pPr>
              <w:jc w:val="right"/>
              <w:ind w:right="451"/>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5"/>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3"/>
          </w:tcPr>
          <w:p>
            <w:pPr>
              <w:ind w:left="60"/>
              <w:spacing w:after="0" w:line="97" w:lineRule="exact"/>
              <w:rPr>
                <w:sz w:val="20"/>
                <w:szCs w:val="20"/>
                <w:color w:val="auto"/>
              </w:rPr>
            </w:pPr>
            <w:r>
              <w:rPr>
                <w:rFonts w:ascii="Arial" w:cs="Arial" w:eastAsia="Arial" w:hAnsi="Arial"/>
                <w:sz w:val="11"/>
                <w:szCs w:val="11"/>
                <w:b w:val="1"/>
                <w:bCs w:val="1"/>
                <w:color w:val="auto"/>
              </w:rPr>
              <w:t>Retained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jc w:val="center"/>
              <w:ind w:right="121"/>
              <w:spacing w:after="0" w:line="9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1"/>
        </w:trPr>
        <w:tc>
          <w:tcPr>
            <w:tcW w:w="29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Paid-in Capital</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6"/>
              </w:rPr>
              <w:t>Earnings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52,868,482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31"/>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409,332</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744,858</w:t>
            </w:r>
          </w:p>
        </w:tc>
        <w:tc>
          <w:tcPr>
            <w:tcW w:w="0" w:type="dxa"/>
            <w:vAlign w:val="bottom"/>
          </w:tcPr>
          <w:p>
            <w:pPr>
              <w:spacing w:after="0"/>
              <w:rPr>
                <w:sz w:val="1"/>
                <w:szCs w:val="1"/>
                <w:color w:val="auto"/>
              </w:rPr>
            </w:pPr>
          </w:p>
        </w:tc>
      </w:tr>
      <w:tr>
        <w:trPr>
          <w:trHeight w:val="218"/>
        </w:trPr>
        <w:tc>
          <w:tcPr>
            <w:tcW w:w="2900" w:type="dxa"/>
            <w:vAlign w:val="bottom"/>
          </w:tcPr>
          <w:p>
            <w:pPr>
              <w:ind w:left="18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4,371</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Issuance of common stock in</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w w:val="94"/>
              </w:rPr>
              <w:t>connection with the Company’s equity</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125,655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award plans</w:t>
            </w:r>
          </w:p>
        </w:tc>
        <w:tc>
          <w:tcPr>
            <w:tcW w:w="12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00" w:type="dxa"/>
            <w:vAlign w:val="bottom"/>
          </w:tcPr>
          <w:p>
            <w:pPr>
              <w:ind w:left="180"/>
              <w:spacing w:after="0"/>
              <w:rPr>
                <w:sz w:val="20"/>
                <w:szCs w:val="20"/>
                <w:color w:val="auto"/>
              </w:rPr>
            </w:pPr>
            <w:r>
              <w:rPr>
                <w:rFonts w:ascii="Arial" w:cs="Arial" w:eastAsia="Arial" w:hAnsi="Arial"/>
                <w:sz w:val="17"/>
                <w:szCs w:val="17"/>
                <w:color w:val="auto"/>
              </w:rPr>
              <w:t>Net earnings</w:t>
            </w:r>
          </w:p>
        </w:tc>
        <w:tc>
          <w:tcPr>
            <w:tcW w:w="4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5,694</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Unrealized loss on marketable</w:t>
            </w:r>
          </w:p>
        </w:tc>
        <w:tc>
          <w:tcPr>
            <w:tcW w:w="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gridSpan w:val="2"/>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net of tax</w:t>
            </w:r>
          </w:p>
        </w:tc>
        <w:tc>
          <w:tcPr>
            <w:tcW w:w="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gridSpan w:val="2"/>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00" w:type="dxa"/>
            <w:vAlign w:val="bottom"/>
          </w:tcPr>
          <w:p>
            <w:pPr>
              <w:ind w:left="20"/>
              <w:spacing w:after="0"/>
              <w:rPr>
                <w:sz w:val="20"/>
                <w:szCs w:val="20"/>
                <w:color w:val="auto"/>
              </w:rPr>
            </w:pPr>
            <w:r>
              <w:rPr>
                <w:rFonts w:ascii="Arial" w:cs="Arial" w:eastAsia="Arial" w:hAnsi="Arial"/>
                <w:sz w:val="17"/>
                <w:szCs w:val="17"/>
                <w:b w:val="1"/>
                <w:bCs w:val="1"/>
                <w:color w:val="auto"/>
              </w:rPr>
              <w:t>Balance, March 31, 2021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52,994,137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731"/>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415,950</w:t>
            </w:r>
          </w:p>
        </w:tc>
        <w:tc>
          <w:tcPr>
            <w:tcW w:w="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6,249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332,192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754,444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5"/>
            <w:vMerge w:val="restart"/>
          </w:tcPr>
          <w:p>
            <w:pPr>
              <w:jc w:val="right"/>
              <w:ind w:right="431"/>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0" w:type="dxa"/>
            <w:vAlign w:val="bottom"/>
            <w:tcBorders>
              <w:bottom w:val="single" w:sz="8" w:color="auto"/>
            </w:tcBorders>
            <w:gridSpan w:val="5"/>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ind w:left="140"/>
              <w:spacing w:after="0" w:line="97" w:lineRule="exact"/>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3"/>
          </w:tcPr>
          <w:p>
            <w:pPr>
              <w:ind w:left="140"/>
              <w:spacing w:after="0" w:line="97" w:lineRule="exact"/>
              <w:rPr>
                <w:sz w:val="20"/>
                <w:szCs w:val="20"/>
                <w:color w:val="auto"/>
              </w:rPr>
            </w:pPr>
            <w:r>
              <w:rPr>
                <w:rFonts w:ascii="Arial" w:cs="Arial" w:eastAsia="Arial" w:hAnsi="Arial"/>
                <w:sz w:val="11"/>
                <w:szCs w:val="11"/>
                <w:b w:val="1"/>
                <w:bCs w:val="1"/>
                <w:color w:val="auto"/>
              </w:rPr>
              <w:t>Retained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jc w:val="center"/>
              <w:ind w:right="61"/>
              <w:spacing w:after="0" w:line="9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1"/>
        </w:trPr>
        <w:tc>
          <w:tcPr>
            <w:tcW w:w="2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Paid-in Capital</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Earnings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52,533,348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11"/>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53</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388,410</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199,548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595,428</w:t>
            </w:r>
          </w:p>
        </w:tc>
        <w:tc>
          <w:tcPr>
            <w:tcW w:w="0" w:type="dxa"/>
            <w:vAlign w:val="bottom"/>
          </w:tcPr>
          <w:p>
            <w:pPr>
              <w:spacing w:after="0"/>
              <w:rPr>
                <w:sz w:val="1"/>
                <w:szCs w:val="1"/>
                <w:color w:val="auto"/>
              </w:rPr>
            </w:pPr>
          </w:p>
        </w:tc>
      </w:tr>
      <w:tr>
        <w:trPr>
          <w:trHeight w:val="218"/>
        </w:trPr>
        <w:tc>
          <w:tcPr>
            <w:tcW w:w="290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3,988</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Issuance of common stock in</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6"/>
              </w:rPr>
              <w:t>connection with the Company’s equity</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3,811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award plans</w:t>
            </w:r>
          </w:p>
        </w:tc>
        <w:tc>
          <w:tcPr>
            <w:tcW w:w="12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00" w:type="dxa"/>
            <w:vAlign w:val="bottom"/>
          </w:tcPr>
          <w:p>
            <w:pPr>
              <w:ind w:left="140"/>
              <w:spacing w:after="0"/>
              <w:rPr>
                <w:sz w:val="20"/>
                <w:szCs w:val="20"/>
                <w:color w:val="auto"/>
              </w:rPr>
            </w:pPr>
            <w:r>
              <w:rPr>
                <w:rFonts w:ascii="Arial" w:cs="Arial" w:eastAsia="Arial" w:hAnsi="Arial"/>
                <w:sz w:val="17"/>
                <w:szCs w:val="17"/>
                <w:color w:val="auto"/>
              </w:rPr>
              <w:t>Net earnings</w:t>
            </w:r>
          </w:p>
        </w:tc>
        <w:tc>
          <w:tcPr>
            <w:tcW w:w="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21,518</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Unrealized loss on marketable</w:t>
            </w:r>
          </w:p>
        </w:tc>
        <w:tc>
          <w:tcPr>
            <w:tcW w:w="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(7,583)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(7,583)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 net of tax</w:t>
            </w:r>
          </w:p>
        </w:tc>
        <w:tc>
          <w:tcPr>
            <w:tcW w:w="40" w:type="dxa"/>
            <w:vAlign w:val="bottom"/>
            <w:shd w:val="clear" w:color="auto" w:fill="CCEEFF"/>
          </w:tcPr>
          <w:p>
            <w:pPr>
              <w:spacing w:after="0"/>
              <w:rPr>
                <w:sz w:val="19"/>
                <w:szCs w:val="19"/>
                <w:color w:val="auto"/>
              </w:rPr>
            </w:pPr>
          </w:p>
        </w:tc>
        <w:tc>
          <w:tcPr>
            <w:tcW w:w="122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00" w:type="dxa"/>
            <w:vAlign w:val="bottom"/>
          </w:tcPr>
          <w:p>
            <w:pPr>
              <w:ind w:left="20"/>
              <w:spacing w:after="0"/>
              <w:rPr>
                <w:sz w:val="20"/>
                <w:szCs w:val="20"/>
                <w:color w:val="auto"/>
              </w:rPr>
            </w:pPr>
            <w:r>
              <w:rPr>
                <w:rFonts w:ascii="Arial" w:cs="Arial" w:eastAsia="Arial" w:hAnsi="Arial"/>
                <w:sz w:val="17"/>
                <w:szCs w:val="17"/>
                <w:b w:val="1"/>
                <w:bCs w:val="1"/>
                <w:color w:val="auto"/>
              </w:rPr>
              <w:t>Balance, March 31, 2020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52,537,159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4"/>
              </w:rPr>
              <w:t>53</w:t>
            </w:r>
          </w:p>
        </w:tc>
        <w:tc>
          <w:tcPr>
            <w:tcW w:w="4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392,430</w:t>
            </w:r>
          </w:p>
        </w:tc>
        <w:tc>
          <w:tcPr>
            <w:tcW w:w="40" w:type="dxa"/>
            <w:vAlign w:val="bottom"/>
          </w:tcPr>
          <w:p>
            <w:pPr>
              <w:spacing w:after="0"/>
              <w:rPr>
                <w:sz w:val="18"/>
                <w:szCs w:val="18"/>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(166)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221,066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613,383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178"/>
        </w:trPr>
        <w:tc>
          <w:tcPr>
            <w:tcW w:w="8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73"/>
        </w:trPr>
        <w:tc>
          <w:tcPr>
            <w:tcW w:w="8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Net earnings</w:t>
            </w:r>
          </w:p>
        </w:tc>
        <w:tc>
          <w:tcPr>
            <w:tcW w:w="3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5,694</w:t>
            </w:r>
          </w:p>
        </w:tc>
        <w:tc>
          <w:tcPr>
            <w:tcW w:w="100" w:type="dxa"/>
            <w:vAlign w:val="bottom"/>
          </w:tcPr>
          <w:p>
            <w:pPr>
              <w:spacing w:after="0"/>
              <w:rPr>
                <w:sz w:val="18"/>
                <w:szCs w:val="18"/>
                <w:color w:val="auto"/>
              </w:rPr>
            </w:pPr>
          </w:p>
        </w:tc>
        <w:tc>
          <w:tcPr>
            <w:tcW w:w="4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21,518</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1,732</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Navitor investment R&amp;D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Amortization of deferred financing costs and debt discount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4,061</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Realized gains from sales of marketable securities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Amortization of premium/discount on marketable securities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Other noncash adjustments, net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790</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Share-based compensation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Deferred income tax provision</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538</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26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(31,823)</w:t>
            </w:r>
          </w:p>
        </w:tc>
      </w:tr>
      <w:tr>
        <w:trPr>
          <w:trHeight w:val="220"/>
        </w:trPr>
        <w:tc>
          <w:tcPr>
            <w:tcW w:w="8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r>
      <w:tr>
        <w:trPr>
          <w:trHeight w:val="218"/>
        </w:trPr>
        <w:tc>
          <w:tcPr>
            <w:tcW w:w="8260" w:type="dxa"/>
            <w:vAlign w:val="bottom"/>
          </w:tcPr>
          <w:p>
            <w:pPr>
              <w:ind w:left="420"/>
              <w:spacing w:after="0"/>
              <w:rPr>
                <w:sz w:val="20"/>
                <w:szCs w:val="20"/>
                <w:color w:val="auto"/>
              </w:rPr>
            </w:pPr>
            <w:r>
              <w:rPr>
                <w:rFonts w:ascii="Arial" w:cs="Arial" w:eastAsia="Arial" w:hAnsi="Arial"/>
                <w:sz w:val="17"/>
                <w:szCs w:val="17"/>
                <w:color w:val="auto"/>
              </w:rPr>
              <w:t>Prepaid expenses and other assets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20"/>
        </w:trPr>
        <w:tc>
          <w:tcPr>
            <w:tcW w:w="8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Accrued product returns and rebates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11,824</w:t>
            </w:r>
          </w:p>
        </w:tc>
      </w:tr>
      <w:tr>
        <w:trPr>
          <w:trHeight w:val="218"/>
        </w:trPr>
        <w:tc>
          <w:tcPr>
            <w:tcW w:w="82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Accounts payable and other liabilities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8,916</w:t>
            </w:r>
          </w:p>
        </w:tc>
      </w:tr>
      <w:tr>
        <w:trPr>
          <w:trHeight w:val="206"/>
        </w:trPr>
        <w:tc>
          <w:tcPr>
            <w:tcW w:w="8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Purchases of marketable securities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(119,063)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(15,382)</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maturities of marketable securities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53,357</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(2,537)</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legal fees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260" w:type="dxa"/>
            <w:vAlign w:val="bottom"/>
            <w:tcBorders>
              <w:bottom w:val="single" w:sz="8" w:color="CCEEFF"/>
            </w:tcBorders>
          </w:tcPr>
          <w:p>
            <w:pPr>
              <w:ind w:left="60"/>
              <w:spacing w:after="0"/>
              <w:rPr>
                <w:sz w:val="20"/>
                <w:szCs w:val="20"/>
                <w:color w:val="auto"/>
              </w:rPr>
            </w:pPr>
            <w:r>
              <w:rPr>
                <w:rFonts w:ascii="Arial" w:cs="Arial" w:eastAsia="Arial" w:hAnsi="Arial"/>
                <w:sz w:val="17"/>
                <w:szCs w:val="17"/>
                <w:b w:val="1"/>
                <w:bCs w:val="1"/>
                <w:color w:val="auto"/>
              </w:rPr>
              <w:t>Net cash (used in) provided by investing activities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(71,445)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35,438</w:t>
            </w:r>
          </w:p>
        </w:tc>
      </w:tr>
      <w:tr>
        <w:trPr>
          <w:trHeight w:val="187"/>
        </w:trPr>
        <w:tc>
          <w:tcPr>
            <w:tcW w:w="8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9"/>
        </w:trPr>
        <w:tc>
          <w:tcPr>
            <w:tcW w:w="8260" w:type="dxa"/>
            <w:vAlign w:val="bottom"/>
          </w:tcPr>
          <w:p>
            <w:pPr>
              <w:ind w:left="60"/>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issuance of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1"/>
        </w:trPr>
        <w:tc>
          <w:tcPr>
            <w:tcW w:w="8260" w:type="dxa"/>
            <w:vAlign w:val="bottom"/>
            <w:tcBorders>
              <w:bottom w:val="single" w:sz="8" w:color="CCEEFF"/>
            </w:tcBorders>
          </w:tcPr>
          <w:p>
            <w:pPr>
              <w:ind w:left="60"/>
              <w:spacing w:after="0"/>
              <w:rPr>
                <w:sz w:val="20"/>
                <w:szCs w:val="20"/>
                <w:color w:val="auto"/>
              </w:rPr>
            </w:pPr>
            <w:r>
              <w:rPr>
                <w:rFonts w:ascii="Arial" w:cs="Arial" w:eastAsia="Arial" w:hAnsi="Arial"/>
                <w:sz w:val="17"/>
                <w:szCs w:val="17"/>
                <w:b w:val="1"/>
                <w:bCs w:val="1"/>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187"/>
        </w:trPr>
        <w:tc>
          <w:tcPr>
            <w:tcW w:w="8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Net change in cash and cash equivalents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(32,998)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44,386</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181,381</w:t>
            </w:r>
          </w:p>
        </w:tc>
      </w:tr>
      <w:tr>
        <w:trPr>
          <w:trHeight w:val="211"/>
        </w:trPr>
        <w:tc>
          <w:tcPr>
            <w:tcW w:w="8260" w:type="dxa"/>
            <w:vAlign w:val="bottom"/>
          </w:tcPr>
          <w:p>
            <w:pPr>
              <w:ind w:left="320"/>
              <w:spacing w:after="0"/>
              <w:rPr>
                <w:sz w:val="20"/>
                <w:szCs w:val="20"/>
                <w:color w:val="auto"/>
              </w:rPr>
            </w:pPr>
            <w:r>
              <w:rPr>
                <w:rFonts w:ascii="Arial" w:cs="Arial" w:eastAsia="Arial" w:hAnsi="Arial"/>
                <w:sz w:val="17"/>
                <w:szCs w:val="17"/>
                <w:color w:val="auto"/>
              </w:rPr>
              <w:t>Cash and cash equivalents at end of period</w:t>
            </w:r>
          </w:p>
        </w:tc>
        <w:tc>
          <w:tcPr>
            <w:tcW w:w="3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255,642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225,767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8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9"/>
        </w:trPr>
        <w:tc>
          <w:tcPr>
            <w:tcW w:w="8260" w:type="dxa"/>
            <w:vAlign w:val="bottom"/>
          </w:tcPr>
          <w:p>
            <w:pPr>
              <w:ind w:left="60"/>
              <w:spacing w:after="0"/>
              <w:rPr>
                <w:sz w:val="20"/>
                <w:szCs w:val="20"/>
                <w:color w:val="auto"/>
              </w:rPr>
            </w:pPr>
            <w:r>
              <w:rPr>
                <w:rFonts w:ascii="Arial" w:cs="Arial" w:eastAsia="Arial" w:hAnsi="Arial"/>
                <w:sz w:val="17"/>
                <w:szCs w:val="17"/>
                <w:b w:val="1"/>
                <w:bCs w:val="1"/>
                <w:color w:val="auto"/>
              </w:rPr>
              <w:t>Supplemental cash flow information</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for interest on convertible notes</w:t>
            </w:r>
          </w:p>
        </w:tc>
        <w:tc>
          <w:tcPr>
            <w:tcW w:w="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Cash paid for income taxes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for operating leases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r>
      <w:tr>
        <w:trPr>
          <w:trHeight w:val="206"/>
        </w:trPr>
        <w:tc>
          <w:tcPr>
            <w:tcW w:w="8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Noncash investing and financing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260" w:type="dxa"/>
            <w:vAlign w:val="bottom"/>
          </w:tcPr>
          <w:p>
            <w:pPr>
              <w:ind w:left="320"/>
              <w:spacing w:after="0"/>
              <w:rPr>
                <w:sz w:val="20"/>
                <w:szCs w:val="20"/>
                <w:color w:val="auto"/>
              </w:rPr>
            </w:pPr>
            <w:r>
              <w:rPr>
                <w:rFonts w:ascii="Arial" w:cs="Arial" w:eastAsia="Arial" w:hAnsi="Arial"/>
                <w:sz w:val="17"/>
                <w:szCs w:val="17"/>
                <w:color w:val="auto"/>
              </w:rPr>
              <w:t>Lease assets and tenant receivable obtained for new leases</w:t>
            </w:r>
          </w:p>
        </w:tc>
        <w:tc>
          <w:tcPr>
            <w:tcW w:w="3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1,432</w:t>
            </w:r>
          </w:p>
        </w:tc>
        <w:tc>
          <w:tcPr>
            <w:tcW w:w="100" w:type="dxa"/>
            <w:vAlign w:val="bottom"/>
          </w:tcPr>
          <w:p>
            <w:pPr>
              <w:spacing w:after="0"/>
              <w:rPr>
                <w:sz w:val="18"/>
                <w:szCs w:val="18"/>
                <w:color w:val="auto"/>
              </w:rPr>
            </w:pPr>
          </w:p>
        </w:tc>
        <w:tc>
          <w:tcPr>
            <w:tcW w:w="4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1,715</w:t>
            </w:r>
          </w:p>
        </w:tc>
      </w:tr>
      <w:tr>
        <w:trPr>
          <w:trHeight w:val="220"/>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legal fees and fixed assets included in accounts payable and accrued expenses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Supernus Pharmaceuticals,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1"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Organization</w:t>
      </w:r>
    </w:p>
    <w:p>
      <w:pPr>
        <w:spacing w:after="0" w:line="232"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and chronic sialorrhea. The Company is developing a broad range of novel CNS product candidates including new potential treatments for ADHD, hypomobility in PD, epilepsy, depression, and rare CNS disorders.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a portfolio of commercial products and product candidates.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Products</w:t>
      </w:r>
    </w:p>
    <w:p>
      <w:pPr>
        <w:spacing w:after="0" w:line="223" w:lineRule="exact"/>
        <w:rPr>
          <w:sz w:val="20"/>
          <w:szCs w:val="20"/>
          <w:color w:val="auto"/>
        </w:rPr>
      </w:pPr>
    </w:p>
    <w:p>
      <w:pPr>
        <w:ind w:left="620" w:right="180" w:hanging="307"/>
        <w:spacing w:after="0" w:line="22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Trokendi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202" w:lineRule="exact"/>
        <w:rPr>
          <w:rFonts w:ascii="Arial" w:cs="Arial" w:eastAsia="Arial" w:hAnsi="Arial"/>
          <w:sz w:val="17"/>
          <w:szCs w:val="17"/>
          <w:color w:val="auto"/>
        </w:rPr>
      </w:pPr>
    </w:p>
    <w:p>
      <w:pPr>
        <w:ind w:left="620" w:right="100" w:hanging="307"/>
        <w:spacing w:after="0" w:line="22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Oxtellar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202" w:lineRule="exact"/>
        <w:rPr>
          <w:rFonts w:ascii="Arial" w:cs="Arial" w:eastAsia="Arial" w:hAnsi="Arial"/>
          <w:sz w:val="17"/>
          <w:szCs w:val="17"/>
          <w:color w:val="auto"/>
        </w:rPr>
      </w:pPr>
    </w:p>
    <w:p>
      <w:pPr>
        <w:ind w:left="620" w:right="20" w:hanging="307"/>
        <w:spacing w:after="0" w:line="22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Qelbree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(viloxazine extended-release capsules) is a novel non-stimulant product indicated for the treatment of ADHD in pediatric patients 6 to 17 years of age.</w:t>
      </w:r>
    </w:p>
    <w:p>
      <w:pPr>
        <w:spacing w:after="0" w:line="202" w:lineRule="exact"/>
        <w:rPr>
          <w:rFonts w:ascii="Arial" w:cs="Arial" w:eastAsia="Arial" w:hAnsi="Arial"/>
          <w:sz w:val="17"/>
          <w:szCs w:val="17"/>
          <w:color w:val="auto"/>
        </w:rPr>
      </w:pPr>
    </w:p>
    <w:p>
      <w:pPr>
        <w:ind w:left="620" w:right="60" w:hanging="307"/>
        <w:spacing w:after="0" w:line="22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APOKYN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202" w:lineRule="exact"/>
        <w:rPr>
          <w:rFonts w:ascii="Arial" w:cs="Arial" w:eastAsia="Arial" w:hAnsi="Arial"/>
          <w:sz w:val="17"/>
          <w:szCs w:val="17"/>
          <w:color w:val="auto"/>
        </w:rPr>
      </w:pPr>
    </w:p>
    <w:p>
      <w:pPr>
        <w:ind w:left="620" w:right="100" w:hanging="307"/>
        <w:spacing w:after="0" w:line="22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MYOBLOC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(rimabotulinumtoxinB) is a product indicated for the treatment of cervical dystonia and sialorrhea in adults, and it is the only Type B toxin available on the market.</w:t>
      </w:r>
    </w:p>
    <w:p>
      <w:pPr>
        <w:spacing w:after="0" w:line="20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XADAGO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(safinamide) is a once-daily product indicated as adjunctive treatment to levodopa/carbidopa in patients with PD experiencing "off" episodes.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Candidates</w:t>
      </w:r>
    </w:p>
    <w:p>
      <w:pPr>
        <w:spacing w:after="0" w:line="230"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SPN-812 (viloxazine hydrochloride) is a novel non-stimulant product candidate for the treatment of ADHD in adult patients.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SPN-830 (Apomorphine Infusion Pump) is a late-stage drug/device combination product candidate for the continuous prevention of "off" episodes in PD.</w:t>
      </w:r>
    </w:p>
    <w:p>
      <w:pPr>
        <w:spacing w:after="0" w:line="252" w:lineRule="exact"/>
        <w:rPr>
          <w:rFonts w:ascii="Arial" w:cs="Arial" w:eastAsia="Arial" w:hAnsi="Arial"/>
          <w:sz w:val="15"/>
          <w:szCs w:val="15"/>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SPN-817 is a novel product candidate for the treatment of severe epilepsy.</w:t>
      </w:r>
    </w:p>
    <w:p>
      <w:pPr>
        <w:spacing w:after="0" w:line="229" w:lineRule="exact"/>
        <w:rPr>
          <w:rFonts w:ascii="Arial" w:cs="Arial" w:eastAsia="Arial" w:hAnsi="Arial"/>
          <w:sz w:val="17"/>
          <w:szCs w:val="17"/>
          <w:color w:val="auto"/>
        </w:rPr>
      </w:pPr>
    </w:p>
    <w:p>
      <w:pPr>
        <w:ind w:left="620" w:right="240" w:hanging="307"/>
        <w:spacing w:after="0" w:line="264"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SPN-820 is a first-in-class product candidate for treatment resistant depression (TRD). It is an orally active small molecule that directly activates brain mechanistic target of rapamycin complex 1 (mTORC1).</w:t>
      </w:r>
    </w:p>
    <w:p>
      <w:pPr>
        <w:spacing w:after="0" w:line="189" w:lineRule="exact"/>
        <w:rPr>
          <w:sz w:val="20"/>
          <w:szCs w:val="20"/>
          <w:color w:val="auto"/>
        </w:rPr>
      </w:pPr>
    </w:p>
    <w:p>
      <w:pPr>
        <w:ind w:right="20" w:firstLine="619"/>
        <w:spacing w:after="0" w:line="264" w:lineRule="auto"/>
        <w:rPr>
          <w:sz w:val="20"/>
          <w:szCs w:val="20"/>
          <w:color w:val="auto"/>
        </w:rPr>
      </w:pPr>
      <w:r>
        <w:rPr>
          <w:rFonts w:ascii="Arial" w:cs="Arial" w:eastAsia="Arial" w:hAnsi="Arial"/>
          <w:sz w:val="17"/>
          <w:szCs w:val="17"/>
          <w:color w:val="auto"/>
        </w:rPr>
        <w:t>In April 2021, the U.S. Food and Drug Administration (FDA) approved Qelbree for the treatment of ADHD in pediatric patients 6 to 17 years of age. The Company plans to make Qelbree available in the U.S. during the second quarter of 2021.</w:t>
      </w:r>
    </w:p>
    <w:p>
      <w:pPr>
        <w:spacing w:after="0" w:line="189"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 xml:space="preserve">On April 28, 2020, the Company entered into a Sale and Purchase Agreement with US WorldMeds Partners, LLC to acquire the CNS portfolio of USWM Enterprises, LLC (USWM Enterprises) (USWM Acquisition). With the acquisition, completed on June 9, 2020, the Company added three established commercial products, APOKYN, XADAGO, and MYOBLOC, and a product candidate in late-stage development, SPN-830, to its portfolio. Refer to Note 3, </w:t>
      </w:r>
      <w:r>
        <w:rPr>
          <w:rFonts w:ascii="Arial" w:cs="Arial" w:eastAsia="Arial" w:hAnsi="Arial"/>
          <w:sz w:val="17"/>
          <w:szCs w:val="17"/>
          <w:i w:val="1"/>
          <w:iCs w:val="1"/>
          <w:color w:val="auto"/>
        </w:rPr>
        <w:t>USWM</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w:t>
      </w:r>
      <w:r>
        <w:rPr>
          <w:rFonts w:ascii="Arial" w:cs="Arial" w:eastAsia="Arial" w:hAnsi="Arial"/>
          <w:sz w:val="17"/>
          <w:szCs w:val="17"/>
          <w:color w:val="auto"/>
        </w:rPr>
        <w:t>, for further discussion on the USWM Acquisition.</w:t>
      </w:r>
    </w:p>
    <w:p>
      <w:pPr>
        <w:spacing w:after="0" w:line="204" w:lineRule="exact"/>
        <w:rPr>
          <w:sz w:val="20"/>
          <w:szCs w:val="20"/>
          <w:color w:val="auto"/>
        </w:rPr>
      </w:pPr>
    </w:p>
    <w:p>
      <w:pPr>
        <w:ind w:right="20" w:firstLine="619"/>
        <w:spacing w:after="0" w:line="250" w:lineRule="auto"/>
        <w:rPr>
          <w:sz w:val="20"/>
          <w:szCs w:val="20"/>
          <w:color w:val="auto"/>
        </w:rPr>
      </w:pPr>
      <w:r>
        <w:rPr>
          <w:rFonts w:ascii="Arial" w:cs="Arial" w:eastAsia="Arial" w:hAnsi="Arial"/>
          <w:sz w:val="17"/>
          <w:szCs w:val="17"/>
          <w:color w:val="auto"/>
        </w:rPr>
        <w:t>On April 21, 2020, the Company entered into a Development and Option Agreement (Development Agreement) with Navitor Pharmaceuticals, Inc. (Navitor Inc.). Under the terms of the Development Agreement, the Company and Navitor Inc. will jointly conduct a Phase II clinical program for NV-5138 (SPN-820) in TRD. In addition to entering into the Development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Agreement in April 2020, the Company acquired an ownership position in Navitor Inc. In March 2021, Navitor Inc. underwent a legal restructuring whereby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Navitor Inc. became a wholly owned subsidiary of a newly formed limited liability company, Navitor Pharmaceuticals, LLC (Navitor LLC). Refer to Note 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r>
        <w:rPr>
          <w:rFonts w:ascii="Arial" w:cs="Arial" w:eastAsia="Arial" w:hAnsi="Arial"/>
          <w:sz w:val="17"/>
          <w:szCs w:val="17"/>
          <w:color w:val="auto"/>
        </w:rPr>
        <w:t>, for further discussion on the Navitor Development Agreement and equity investment.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Impact</w:t>
      </w:r>
    </w:p>
    <w:p>
      <w:pPr>
        <w:spacing w:after="0" w:line="178"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Company is closely monitoring the impact of the COVID-19 pandemic on all aspects of its business operations, and has assessed the impact of the COVID-19 pandemic on its condensed consolidated financial statements as of March 31, 2021.</w:t>
      </w:r>
    </w:p>
    <w:p>
      <w:pPr>
        <w:spacing w:after="0" w:line="126"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120" w:lineRule="exact"/>
        <w:rPr>
          <w:sz w:val="20"/>
          <w:szCs w:val="20"/>
          <w:color w:val="auto"/>
        </w:rPr>
      </w:pPr>
    </w:p>
    <w:p>
      <w:pPr>
        <w:ind w:right="7700" w:firstLine="3"/>
        <w:spacing w:after="0" w:line="470" w:lineRule="auto"/>
        <w:tabs>
          <w:tab w:leader="none" w:pos="30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2020, filed with the SEC.</w:t>
      </w:r>
    </w:p>
    <w:p>
      <w:pPr>
        <w:spacing w:after="0" w:line="144"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which is primarily located in the U.S., operates in one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65" w:lineRule="exact"/>
        <w:rPr>
          <w:sz w:val="20"/>
          <w:szCs w:val="20"/>
          <w:color w:val="auto"/>
        </w:rPr>
      </w:pPr>
    </w:p>
    <w:p>
      <w:pPr>
        <w:ind w:right="180" w:firstLine="619"/>
        <w:spacing w:after="0" w:line="307" w:lineRule="auto"/>
        <w:rPr>
          <w:sz w:val="20"/>
          <w:szCs w:val="20"/>
          <w:color w:val="auto"/>
        </w:rPr>
      </w:pPr>
      <w:r>
        <w:rPr>
          <w:rFonts w:ascii="Arial" w:cs="Arial" w:eastAsia="Arial" w:hAnsi="Arial"/>
          <w:sz w:val="15"/>
          <w:szCs w:val="15"/>
          <w:color w:val="auto"/>
        </w:rPr>
        <w:t xml:space="preserve">Certain prior year amounts in the condensed consolidated statements of earnings have been reclassified to conform to the current year presentation, including a reclassification made to separately present amortization of intangible assets. This was previously included in </w:t>
      </w:r>
      <w:r>
        <w:rPr>
          <w:rFonts w:ascii="Arial" w:cs="Arial" w:eastAsia="Arial" w:hAnsi="Arial"/>
          <w:sz w:val="15"/>
          <w:szCs w:val="15"/>
          <w:i w:val="1"/>
          <w:iCs w:val="1"/>
          <w:color w:val="auto"/>
        </w:rPr>
        <w:t>Selling, general and administrative</w:t>
      </w:r>
      <w:r>
        <w:rPr>
          <w:rFonts w:ascii="Arial" w:cs="Arial" w:eastAsia="Arial" w:hAnsi="Arial"/>
          <w:sz w:val="15"/>
          <w:szCs w:val="15"/>
          <w:color w:val="auto"/>
        </w:rPr>
        <w:t xml:space="preserve"> </w:t>
      </w:r>
      <w:r>
        <w:rPr>
          <w:rFonts w:ascii="Arial" w:cs="Arial" w:eastAsia="Arial" w:hAnsi="Arial"/>
          <w:sz w:val="15"/>
          <w:szCs w:val="15"/>
          <w:i w:val="1"/>
          <w:iCs w:val="1"/>
          <w:color w:val="auto"/>
        </w:rPr>
        <w:t>expenses</w:t>
      </w:r>
      <w:r>
        <w:rPr>
          <w:rFonts w:ascii="Arial" w:cs="Arial" w:eastAsia="Arial" w:hAnsi="Arial"/>
          <w:sz w:val="15"/>
          <w:szCs w:val="15"/>
          <w:color w:val="auto"/>
        </w:rPr>
        <w:t>, and is now recorded as a component of</w:t>
      </w:r>
      <w:r>
        <w:rPr>
          <w:rFonts w:ascii="Arial" w:cs="Arial" w:eastAsia="Arial" w:hAnsi="Arial"/>
          <w:sz w:val="15"/>
          <w:szCs w:val="15"/>
          <w:i w:val="1"/>
          <w:iCs w:val="1"/>
          <w:color w:val="auto"/>
        </w:rPr>
        <w:t xml:space="preserve"> Amortization of intangible assets </w:t>
      </w:r>
      <w:r>
        <w:rPr>
          <w:rFonts w:ascii="Arial" w:cs="Arial" w:eastAsia="Arial" w:hAnsi="Arial"/>
          <w:sz w:val="15"/>
          <w:szCs w:val="15"/>
          <w:color w:val="auto"/>
        </w:rPr>
        <w:t>on the condensed consolidated statements of earnings. These reclassifications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had no effect on operating earnings or on our other condensed consolidated financial statements for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184" w:lineRule="exact"/>
        <w:rPr>
          <w:sz w:val="20"/>
          <w:szCs w:val="20"/>
          <w:color w:val="auto"/>
        </w:rPr>
      </w:pPr>
    </w:p>
    <w:p>
      <w:pPr>
        <w:ind w:right="360" w:firstLine="619"/>
        <w:spacing w:after="0" w:line="349" w:lineRule="auto"/>
        <w:rPr>
          <w:sz w:val="20"/>
          <w:szCs w:val="20"/>
          <w:color w:val="auto"/>
        </w:rPr>
      </w:pPr>
      <w:r>
        <w:rPr>
          <w:rFonts w:ascii="Arial" w:cs="Arial" w:eastAsia="Arial" w:hAnsi="Arial"/>
          <w:sz w:val="15"/>
          <w:szCs w:val="15"/>
          <w:color w:val="auto"/>
        </w:rPr>
        <w:t>The Company’s condensed consolidated financial statements include those of the Company's wholly-owned subsidiaries and variable interest entities (VIE) where the Company is the primary beneficiary, if any. All significant intercompany transactions and balances have been eliminated in consolidation.</w:t>
      </w:r>
    </w:p>
    <w:p>
      <w:pPr>
        <w:spacing w:after="0" w:line="1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The Company continuously assesses whether it is the primary beneficiary of a VIE, as changes to existing relationships or future transactions may affect its conclusions.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9" w:lineRule="exact"/>
        <w:rPr>
          <w:sz w:val="20"/>
          <w:szCs w:val="20"/>
          <w:color w:val="auto"/>
        </w:rPr>
      </w:pPr>
    </w:p>
    <w:p>
      <w:pPr>
        <w:jc w:val="both"/>
        <w:ind w:right="300" w:firstLine="619"/>
        <w:spacing w:after="0" w:line="290" w:lineRule="auto"/>
        <w:rPr>
          <w:sz w:val="20"/>
          <w:szCs w:val="20"/>
          <w:color w:val="auto"/>
        </w:rPr>
      </w:pPr>
      <w:r>
        <w:rPr>
          <w:rFonts w:ascii="Arial" w:cs="Arial" w:eastAsia="Arial" w:hAnsi="Arial"/>
          <w:sz w:val="16"/>
          <w:szCs w:val="16"/>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84" w:lineRule="exact"/>
        <w:rPr>
          <w:sz w:val="20"/>
          <w:szCs w:val="20"/>
          <w:color w:val="auto"/>
        </w:rPr>
      </w:pPr>
    </w:p>
    <w:p>
      <w:pPr>
        <w:ind w:right="300" w:firstLine="619"/>
        <w:spacing w:after="0" w:line="259" w:lineRule="auto"/>
        <w:rPr>
          <w:sz w:val="20"/>
          <w:szCs w:val="20"/>
          <w:color w:val="auto"/>
        </w:rPr>
      </w:pPr>
      <w:r>
        <w:rPr>
          <w:rFonts w:ascii="Arial" w:cs="Arial" w:eastAsia="Arial" w:hAnsi="Arial"/>
          <w:sz w:val="17"/>
          <w:szCs w:val="17"/>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creditworthiness of customers entering into revenue arrangements, the valuation of the assets and liabilities acquired in the USWM Acquisition, and the fair values of our financial instruments, require increased judgment and carry a higher degree of variability and volatility that could result in material changes to our estimates in future periods.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Expense</w:t>
      </w:r>
    </w:p>
    <w:p>
      <w:pPr>
        <w:spacing w:after="0" w:line="197"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Advertising expense includes the cost of promotional materials and activities, such as printed materials and digital marketing, marketing programs and speaker programs. The cost of the Company's advertising efforts are expensed as incurred.</w:t>
      </w:r>
    </w:p>
    <w:p>
      <w:pPr>
        <w:spacing w:after="0" w:line="126" w:lineRule="exact"/>
        <w:rPr>
          <w:sz w:val="20"/>
          <w:szCs w:val="20"/>
          <w:color w:val="auto"/>
        </w:rPr>
      </w:pPr>
    </w:p>
    <w:p>
      <w:pPr>
        <w:ind w:right="220" w:firstLine="619"/>
        <w:spacing w:after="0" w:line="349" w:lineRule="auto"/>
        <w:rPr>
          <w:sz w:val="20"/>
          <w:szCs w:val="20"/>
          <w:color w:val="auto"/>
        </w:rPr>
      </w:pPr>
      <w:r>
        <w:rPr>
          <w:rFonts w:ascii="Arial" w:cs="Arial" w:eastAsia="Arial" w:hAnsi="Arial"/>
          <w:sz w:val="15"/>
          <w:szCs w:val="15"/>
          <w:color w:val="auto"/>
        </w:rPr>
        <w:t xml:space="preserve">The Company incurred approximately $15.3 million and $11.6 million in advertising expense for the three months ended March 31, 2021 and 2020, respectively. These expenses are recorded as a component of </w:t>
      </w:r>
      <w:r>
        <w:rPr>
          <w:rFonts w:ascii="Arial" w:cs="Arial" w:eastAsia="Arial" w:hAnsi="Arial"/>
          <w:sz w:val="15"/>
          <w:szCs w:val="15"/>
          <w:i w:val="1"/>
          <w:iCs w:val="1"/>
          <w:color w:val="auto"/>
        </w:rPr>
        <w:t>Selling, general and administrative expenses</w:t>
      </w:r>
      <w:r>
        <w:rPr>
          <w:rFonts w:ascii="Arial" w:cs="Arial" w:eastAsia="Arial" w:hAnsi="Arial"/>
          <w:sz w:val="15"/>
          <w:szCs w:val="15"/>
          <w:color w:val="auto"/>
        </w:rPr>
        <w:t xml:space="preserve"> in the condensed consolidated statements of earnings.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Pronouncements Adopted</w:t>
      </w:r>
    </w:p>
    <w:p>
      <w:pPr>
        <w:spacing w:after="0" w:line="178" w:lineRule="exact"/>
        <w:rPr>
          <w:sz w:val="20"/>
          <w:szCs w:val="20"/>
          <w:color w:val="auto"/>
        </w:rPr>
      </w:pPr>
    </w:p>
    <w:p>
      <w:pPr>
        <w:jc w:val="both"/>
        <w:ind w:right="380" w:firstLine="619"/>
        <w:spacing w:after="0" w:line="266" w:lineRule="auto"/>
        <w:rPr>
          <w:sz w:val="20"/>
          <w:szCs w:val="20"/>
          <w:color w:val="auto"/>
        </w:rPr>
      </w:pPr>
      <w:r>
        <w:rPr>
          <w:rFonts w:ascii="Arial" w:cs="Arial" w:eastAsia="Arial" w:hAnsi="Arial"/>
          <w:sz w:val="17"/>
          <w:szCs w:val="17"/>
          <w:color w:val="auto"/>
        </w:rPr>
        <w:t xml:space="preserve">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 The new standard, issued in December 2019, simplifies the accounting for income taxes. The Company adopted the guidance on January 1, 2021, on a prospective basis. The adoption of the new standard did not have a material impact to the financial statements.</w:t>
      </w:r>
    </w:p>
    <w:p>
      <w:pPr>
        <w:spacing w:after="0" w:line="136"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 xml:space="preserve">ASU 2020-01, </w:t>
      </w:r>
      <w:r>
        <w:rPr>
          <w:rFonts w:ascii="Arial" w:cs="Arial" w:eastAsia="Arial" w:hAnsi="Arial"/>
          <w:sz w:val="16"/>
          <w:szCs w:val="16"/>
          <w:i w:val="1"/>
          <w:iCs w:val="1"/>
          <w:color w:val="auto"/>
        </w:rPr>
        <w:t>Investments — Equity Securities (Topic 321), Investments — Equity Method and Joint Ventures (Topic 323),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815), Clarifying the Interactions between Topic 321, Topic 323, and Topic 815 </w:t>
      </w:r>
      <w:r>
        <w:rPr>
          <w:rFonts w:ascii="Arial" w:cs="Arial" w:eastAsia="Arial" w:hAnsi="Arial"/>
          <w:sz w:val="16"/>
          <w:szCs w:val="16"/>
          <w:color w:val="auto"/>
        </w:rPr>
        <w:t>- The new standard, issued in January 2020, clarifies the interaction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securities under Topic 321 and investments accounted for under the equity method of accounting in Topic 323 and the accounting for certain contracts and purchased options accounted for under Topic 815. The amendment clarifies that an entity can elect to adopt the measurement alternative, which is if an entity identifies observable price changes in orderly transactions for the identical or a similar investment of the same issuer, it should measure the equity security at fair value as of the date that the observable transaction occurred before applying or upon discontinuing the equity method. The adoption of the new standard as of January 1, 2021 did not have a material impact to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 Not Yet Adopted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is currently evaluating the impact of the new guidance on its consolidated financial statements.</w:t>
      </w:r>
    </w:p>
    <w:p>
      <w:pPr>
        <w:spacing w:after="0" w:line="178" w:lineRule="exact"/>
        <w:rPr>
          <w:sz w:val="20"/>
          <w:szCs w:val="20"/>
          <w:color w:val="auto"/>
        </w:rPr>
      </w:pPr>
    </w:p>
    <w:p>
      <w:pPr>
        <w:ind w:right="320" w:firstLine="619"/>
        <w:spacing w:after="0" w:line="259" w:lineRule="auto"/>
        <w:rPr>
          <w:sz w:val="20"/>
          <w:szCs w:val="20"/>
          <w:color w:val="auto"/>
        </w:rPr>
      </w:pPr>
      <w:r>
        <w:rPr>
          <w:rFonts w:ascii="Arial" w:cs="Arial" w:eastAsia="Arial" w:hAnsi="Arial"/>
          <w:sz w:val="17"/>
          <w:szCs w:val="17"/>
          <w:color w:val="auto"/>
        </w:rPr>
        <w:t xml:space="preserve">ASU 2020-06, </w:t>
      </w:r>
      <w:r>
        <w:rPr>
          <w:rFonts w:ascii="Arial" w:cs="Arial" w:eastAsia="Arial" w:hAnsi="Arial"/>
          <w:sz w:val="17"/>
          <w:szCs w:val="17"/>
          <w:i w:val="1"/>
          <w:iCs w:val="1"/>
          <w:color w:val="auto"/>
        </w:rPr>
        <w:t>Debt - Debt with Conversion and Other Options (Subtopic 470-20) and Derivatives and Hedging - Contracts in Entity's Own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815-40): Accounting for Convertible Instruments and Contracts in an Entity's Own Equity </w:t>
      </w:r>
      <w:r>
        <w:rPr>
          <w:rFonts w:ascii="Arial" w:cs="Arial" w:eastAsia="Arial" w:hAnsi="Arial"/>
          <w:sz w:val="17"/>
          <w:szCs w:val="17"/>
          <w:color w:val="auto"/>
        </w:rPr>
        <w:t>- The new standard, issued in August 2020, simplifies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disclosures for convertible instruments and contracts. This guidance will be effective on January 1, 2022, on a prospective basis, with early adoption permitted but not earlier than January 1, 2021. The Company is currently evaluating the impact of the new guidance on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USWM Acquisition</w:t>
      </w:r>
    </w:p>
    <w:p>
      <w:pPr>
        <w:spacing w:after="0" w:line="24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On June 9, 2020 (the Closing Date), the Company completed its acquisition of all of the outstanding equity of USWM Enterprises, a privately-held biopharmaceutical company, pursuant to a Sale and Purchase Agreement with US WorldMeds Partners, LLC (Seller), dated April 28, 2020 (the Agreement). Under the terms of the Agreement, the Company acquired the right to further develop and commercialize APOKYN, XADAGO, and the Apomorphine Infusion Pump (SPN-830) in the U.S. and MYOBLOC worldwide (the Products) for an upfront cash payment of $297.2 million, subject to working capital adjustments, and the potential for additional contingent consideration payments of up to $230 million.</w:t>
      </w:r>
    </w:p>
    <w:p>
      <w:pPr>
        <w:spacing w:after="0" w:line="209"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potential $230 million in contingent consideration payments includes up to $130 million for the achievement of certain SPN-830 regulatory and commercial activities (regulatory and developmental contingent consideration payments) and up to $100 million related to future sales performance of the Products (sales-based contingent consideration payments). The regulatory and developmental contingent consideration payments include a $25 million milestone due upon the FDA's acceptance of the SPN-830 New Drug Application (NDA) for review. The remaining $105 million of the $130 million contingent consideration payments include payments upon the FDA's regulatory approval and subsequent commercial launch of SPN-830, if approved. One of the regulatory milestones has a time-based mechanism for full or partial achievement. The $100 million sales-based contingent consideration payments include a $35 million milestone due upon achievement of certain U.S. net product sales of APOKYN during 2021. The remaining $65 million of the $100 million sales-based contingent consideration payments relate to the achievement of certain net product sales of the Products in 2022 and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200" w:firstLine="619"/>
        <w:spacing w:after="0" w:line="331" w:lineRule="auto"/>
        <w:rPr>
          <w:sz w:val="20"/>
          <w:szCs w:val="20"/>
          <w:color w:val="auto"/>
        </w:rPr>
      </w:pPr>
      <w:r>
        <w:rPr>
          <w:rFonts w:ascii="Arial" w:cs="Arial" w:eastAsia="Arial" w:hAnsi="Arial"/>
          <w:sz w:val="15"/>
          <w:szCs w:val="15"/>
          <w:color w:val="auto"/>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w:t>
      </w:r>
    </w:p>
    <w:p>
      <w:pPr>
        <w:spacing w:after="0" w:line="14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The Company expects to finalize its purchase price allocation within one year of the Closing Date. The Company continues to analyze and assess relevant information necessary to determine, recognize and record at fair value the assets acquired and liabilities assumed. Examples of areas that rely on preliminary estimates subject to measurement period adjustments include intangibles, lease asset and liability and deferred income tax assets and liabilities. The Company is in the process of obtaining additional market research that may inform the fair value of the acquired intangible assets and additional analysis that may be informative in the determination of the fair value of lease asset and other information. Accordingly, the preliminary recognition and measurement of assets acquired and liabilities assumed as of Closing Date are subject to change.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Consideration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Initially Reported</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Measurement Period</w:t>
            </w:r>
          </w:p>
        </w:tc>
        <w:tc>
          <w:tcPr>
            <w:tcW w:w="260" w:type="dxa"/>
            <w:vAlign w:val="bottom"/>
          </w:tcPr>
          <w:p>
            <w:pPr>
              <w:spacing w:after="0"/>
              <w:rPr>
                <w:sz w:val="14"/>
                <w:szCs w:val="14"/>
                <w:color w:val="auto"/>
              </w:rPr>
            </w:pPr>
          </w:p>
        </w:tc>
        <w:tc>
          <w:tcPr>
            <w:tcW w:w="13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9"/>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305,535</w:t>
            </w:r>
          </w:p>
        </w:tc>
        <w:tc>
          <w:tcPr>
            <w:tcW w:w="0" w:type="dxa"/>
            <w:vAlign w:val="bottom"/>
          </w:tcPr>
          <w:p>
            <w:pPr>
              <w:spacing w:after="0"/>
              <w:rPr>
                <w:sz w:val="1"/>
                <w:szCs w:val="1"/>
                <w:color w:val="auto"/>
              </w:rPr>
            </w:pPr>
          </w:p>
        </w:tc>
      </w:tr>
      <w:tr>
        <w:trPr>
          <w:trHeight w:val="21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Estimated fair value of contingent consideration</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74,800</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Estimated total 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380,335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Cash consideration to Seller - net of cash acquired </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298,541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2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right="2800" w:firstLine="3"/>
        <w:spacing w:after="0" w:line="274"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Represents total purchase price, less cash and cash equivalents acquired, and contingent consideration liabilities. Measurement period adjustment reflects additional payments made to Seller following the Closing date for working capital adjustments on the purchase price consistent with the Agreement.</w:t>
      </w:r>
    </w:p>
    <w:p>
      <w:pPr>
        <w:spacing w:after="0" w:line="191" w:lineRule="exact"/>
        <w:rPr>
          <w:sz w:val="20"/>
          <w:szCs w:val="20"/>
          <w:color w:val="auto"/>
        </w:rPr>
      </w:pPr>
    </w:p>
    <w:p>
      <w:pPr>
        <w:ind w:right="140" w:firstLine="619"/>
        <w:spacing w:after="0" w:line="250" w:lineRule="auto"/>
        <w:rPr>
          <w:sz w:val="20"/>
          <w:szCs w:val="20"/>
          <w:color w:val="auto"/>
        </w:rPr>
      </w:pPr>
      <w:r>
        <w:rPr>
          <w:rFonts w:ascii="Arial" w:cs="Arial" w:eastAsia="Arial" w:hAnsi="Arial"/>
          <w:sz w:val="17"/>
          <w:szCs w:val="17"/>
          <w:color w:val="auto"/>
        </w:rPr>
        <w:t>The Company paid the Seller $297.2 million in cash at the Closing Date. In the fourth quarter of 2020, the Company paid the Seller an additional $1.3 million for working capital adjustments on the purchase price consistent with the Agreement resulting in an increase to the original cash consideration paid to the Seller.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w:t>
      </w:r>
    </w:p>
    <w:p>
      <w:pPr>
        <w:spacing w:after="0" w:line="243"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In addition to the cash paid to the Seller, contingent payments of up to $230 million are also due to the Seller upon the achievement of certain milestones related to the development of SPN-830, the In Process Research and Development (IPR&amp;D) asset, and sale of the Products. The possible outcomes for the contingent consideration range from $0, if no milestone is achieved, to $230 million on an undiscounted basis if all milestones are achieved.</w:t>
      </w:r>
    </w:p>
    <w:p>
      <w:pPr>
        <w:spacing w:after="0" w:line="184"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The Company initially recorded a contingent consideration liability of $115.7 million as of the Closing Date to reflect the estimated fair value of the contingent consideration based on information available at that time. Subsequent to the Closing Date, the Company adjusted the contingent consideration fair value based on new information related to the facts and circumstances that existed as of the acquisition date related to the timing of meeting the conditions of the milestone payments that are contingent upon regulatory approval and commercial launch of the acquired IPR&amp;D asset as well as the estimated timing of projected revenues from the Products. As a result, the Company recorded in the fourth quarter of 2020, a measurement period adjustment of $40.9 million, which decreased the estimated fair value of the contingent consideration liability as of Closing Date to $74.8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Net Assets Acquired</w:t>
      </w:r>
    </w:p>
    <w:p>
      <w:pPr>
        <w:spacing w:after="0" w:line="230" w:lineRule="exact"/>
        <w:rPr>
          <w:sz w:val="20"/>
          <w:szCs w:val="20"/>
          <w:color w:val="auto"/>
        </w:rPr>
      </w:pPr>
    </w:p>
    <w:p>
      <w:pPr>
        <w:ind w:right="180" w:firstLine="619"/>
        <w:spacing w:after="0" w:line="270" w:lineRule="auto"/>
        <w:rPr>
          <w:sz w:val="20"/>
          <w:szCs w:val="20"/>
          <w:color w:val="auto"/>
        </w:rPr>
      </w:pPr>
      <w:r>
        <w:rPr>
          <w:rFonts w:ascii="Arial" w:cs="Arial" w:eastAsia="Arial" w:hAnsi="Arial"/>
          <w:sz w:val="17"/>
          <w:szCs w:val="17"/>
          <w:color w:val="auto"/>
        </w:rPr>
        <w:t>The following table presents the Company’s preliminary estimates of the fair value of the assets acquired and liabilities assumed as of the Closing Date, and subsequent measurement period adjustments recorded (dollars in thousands):</w:t>
      </w:r>
    </w:p>
    <w:tbl>
      <w:tblPr>
        <w:tblLayout w:type="fixed"/>
        <w:tblInd w:w="0" w:type="dxa"/>
        <w:tblCellMar>
          <w:top w:w="0" w:type="dxa"/>
          <w:left w:w="0" w:type="dxa"/>
          <w:bottom w:w="0" w:type="dxa"/>
          <w:right w:w="0" w:type="dxa"/>
        </w:tblCellMar>
      </w:tblPr>
      <w:tr>
        <w:trPr>
          <w:trHeight w:val="140"/>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3"/>
              </w:rPr>
              <w:t>As Initially Reported</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ind w:left="40"/>
              <w:spacing w:after="0" w:line="140" w:lineRule="exact"/>
              <w:rPr>
                <w:sz w:val="20"/>
                <w:szCs w:val="20"/>
                <w:color w:val="auto"/>
              </w:rPr>
            </w:pPr>
            <w:r>
              <w:rPr>
                <w:rFonts w:ascii="Arial" w:cs="Arial" w:eastAsia="Arial" w:hAnsi="Arial"/>
                <w:sz w:val="14"/>
                <w:szCs w:val="14"/>
                <w:b w:val="1"/>
                <w:bCs w:val="1"/>
                <w:color w:val="auto"/>
              </w:rPr>
              <w:t>Measurement Period</w:t>
            </w:r>
          </w:p>
        </w:tc>
        <w:tc>
          <w:tcPr>
            <w:tcW w:w="260" w:type="dxa"/>
            <w:vAlign w:val="bottom"/>
          </w:tcPr>
          <w:p>
            <w:pPr>
              <w:spacing w:after="0"/>
              <w:rPr>
                <w:sz w:val="12"/>
                <w:szCs w:val="12"/>
                <w:color w:val="auto"/>
              </w:rPr>
            </w:pPr>
          </w:p>
        </w:tc>
        <w:tc>
          <w:tcPr>
            <w:tcW w:w="13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8"/>
        </w:trPr>
        <w:tc>
          <w:tcPr>
            <w:tcW w:w="6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6,994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6,994</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18,474</w:t>
            </w: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Inventories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9,700</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3,564</w:t>
            </w:r>
          </w:p>
        </w:tc>
        <w:tc>
          <w:tcPr>
            <w:tcW w:w="0" w:type="dxa"/>
            <w:vAlign w:val="bottom"/>
          </w:tcPr>
          <w:p>
            <w:pPr>
              <w:spacing w:after="0"/>
              <w:rPr>
                <w:sz w:val="1"/>
                <w:szCs w:val="1"/>
                <w:color w:val="auto"/>
              </w:rPr>
            </w:pPr>
          </w:p>
        </w:tc>
      </w:tr>
      <w:tr>
        <w:trPr>
          <w:trHeight w:val="218"/>
        </w:trPr>
        <w:tc>
          <w:tcPr>
            <w:tcW w:w="620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Finance lease asset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22,747</w:t>
            </w: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Intangible assets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387,000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355,000</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fair value of assets acquired</w:t>
            </w: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449,973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(32,700)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417,273</w:t>
            </w: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(2,573)</w:t>
            </w:r>
          </w:p>
        </w:tc>
        <w:tc>
          <w:tcPr>
            <w:tcW w:w="0" w:type="dxa"/>
            <w:vAlign w:val="bottom"/>
          </w:tcPr>
          <w:p>
            <w:pPr>
              <w:spacing w:after="0"/>
              <w:rPr>
                <w:sz w:val="1"/>
                <w:szCs w:val="1"/>
                <w:color w:val="auto"/>
              </w:rPr>
            </w:pPr>
          </w:p>
        </w:tc>
      </w:tr>
      <w:tr>
        <w:trPr>
          <w:trHeight w:val="218"/>
        </w:trPr>
        <w:tc>
          <w:tcPr>
            <w:tcW w:w="6200" w:type="dxa"/>
            <w:vAlign w:val="bottom"/>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(23,339)</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Finance lease liability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(22,747)</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 xml:space="preserve">Deferred income tax liabilities, net </w:t>
            </w:r>
            <w:r>
              <w:rPr>
                <w:rFonts w:ascii="Arial" w:cs="Arial" w:eastAsia="Arial" w:hAnsi="Arial"/>
                <w:sz w:val="22"/>
                <w:szCs w:val="22"/>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(66,190)</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fair value of liabilities assumed</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(114,849)</w:t>
            </w:r>
          </w:p>
        </w:tc>
        <w:tc>
          <w:tcPr>
            <w:tcW w:w="0" w:type="dxa"/>
            <w:vAlign w:val="bottom"/>
          </w:tcPr>
          <w:p>
            <w:pPr>
              <w:spacing w:after="0"/>
              <w:rPr>
                <w:sz w:val="1"/>
                <w:szCs w:val="1"/>
                <w:color w:val="auto"/>
              </w:rPr>
            </w:pPr>
          </w:p>
        </w:tc>
      </w:tr>
      <w:tr>
        <w:trPr>
          <w:trHeight w:val="211"/>
        </w:trPr>
        <w:tc>
          <w:tcPr>
            <w:tcW w:w="6200" w:type="dxa"/>
            <w:vAlign w:val="bottom"/>
          </w:tcPr>
          <w:p>
            <w:pPr>
              <w:ind w:left="20"/>
              <w:spacing w:after="0"/>
              <w:rPr>
                <w:sz w:val="20"/>
                <w:szCs w:val="20"/>
                <w:color w:val="auto"/>
              </w:rPr>
            </w:pPr>
            <w:r>
              <w:rPr>
                <w:rFonts w:ascii="Arial" w:cs="Arial" w:eastAsia="Arial" w:hAnsi="Arial"/>
                <w:sz w:val="17"/>
                <w:szCs w:val="17"/>
                <w:color w:val="auto"/>
              </w:rPr>
              <w:t>Total identifiable net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331,799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(29,375)</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302,424</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77,911</w:t>
            </w: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line="212" w:lineRule="exact"/>
              <w:rPr>
                <w:sz w:val="20"/>
                <w:szCs w:val="20"/>
                <w:color w:val="auto"/>
              </w:rPr>
            </w:pPr>
            <w:r>
              <w:rPr>
                <w:rFonts w:ascii="Arial" w:cs="Arial" w:eastAsia="Arial" w:hAnsi="Arial"/>
                <w:sz w:val="17"/>
                <w:szCs w:val="17"/>
                <w:color w:val="auto"/>
              </w:rPr>
              <w:t xml:space="preserve">Total purchase price </w:t>
            </w:r>
            <w:r>
              <w:rPr>
                <w:rFonts w:ascii="Arial" w:cs="Arial" w:eastAsia="Arial" w:hAnsi="Arial"/>
                <w:sz w:val="22"/>
                <w:szCs w:val="22"/>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380,335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05" w:lineRule="exact"/>
        <w:rPr>
          <w:sz w:val="20"/>
          <w:szCs w:val="20"/>
          <w:color w:val="auto"/>
        </w:rPr>
      </w:pPr>
    </w:p>
    <w:p>
      <w:pPr>
        <w:ind w:right="2900" w:firstLine="3"/>
        <w:spacing w:after="0" w:line="235" w:lineRule="auto"/>
        <w:tabs>
          <w:tab w:leader="none" w:pos="16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Measurement period adjustments to intangible assets and inventory are primarily due to updates to inputs and assumptions based on information related to the facts and circumstances that existed as of the acquisition date.</w:t>
      </w:r>
    </w:p>
    <w:p>
      <w:pPr>
        <w:spacing w:after="0" w:line="1" w:lineRule="exact"/>
        <w:rPr>
          <w:rFonts w:ascii="Arial" w:cs="Arial" w:eastAsia="Arial" w:hAnsi="Arial"/>
          <w:sz w:val="19"/>
          <w:szCs w:val="19"/>
          <w:color w:val="auto"/>
          <w:vertAlign w:val="superscript"/>
        </w:rPr>
      </w:pPr>
    </w:p>
    <w:p>
      <w:pPr>
        <w:ind w:left="160" w:hanging="157"/>
        <w:spacing w:after="0" w:line="198" w:lineRule="auto"/>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Refer to Note 12 for further discussion of the acquired finance lease asset and assumed lease liability.</w:t>
      </w:r>
    </w:p>
    <w:p>
      <w:pPr>
        <w:ind w:right="2540" w:firstLine="3"/>
        <w:spacing w:after="0" w:line="220" w:lineRule="auto"/>
        <w:tabs>
          <w:tab w:leader="none" w:pos="16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tax attributes that are subject to tax limitations. Measurement period adjustment is primarily due to the tax impact of the changes in the initial estimate of the fair value of intangible assets and inventories.</w:t>
      </w:r>
    </w:p>
    <w:p>
      <w:pPr>
        <w:ind w:right="2480" w:firstLine="3"/>
        <w:spacing w:after="0" w:line="222" w:lineRule="auto"/>
        <w:tabs>
          <w:tab w:leader="none" w:pos="16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Measurement period adjustments include an adjustment to the fair value of the contingent consideration net of the additional cash payment made to the Seller.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Acquired Intangible Assets</w:t>
      </w:r>
    </w:p>
    <w:p>
      <w:pPr>
        <w:spacing w:after="0" w:line="24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The acquired intangible assets include the acquired IPR&amp;D asset related to the Apomorphine Infusion Pump product candidate and the acquired developed technology and product rights. The Company determined the estimated fair value of the acquired intangible assets as of the Closing Date using the income approach. The fair value measurements of the acquired intangible assets were determined based on significant unobservable inputs and thus represent a Level 3 fair value measurement. Some of the more significant inputs and assumptions used in the intangible assets valuation includes: the timing and probability of success of clinical and regulatory approvals for the IPR&amp;D asset, the estimated future cash flows from Product sales, the timing and projection of costs and expenses, discount rates and tax rates.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initially recorded a fair value of intangible assets of $387 million, which consisted of $150 million related to the acquired IPR&amp;D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$237 million related to acquired developed technology and Product rights. The initial estimate of the fair value of intangible assets recorded as of the Closing Date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is based on information available at that time. During the year ended December 31, 2020, the Company recorded measurement period adjustments of $32 million,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which adjusted the initial estimated fair value of the intangible assets to $355 million as of the Closing Date. The Company updated assumptions with respect to</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timing of regulatory approval and the commercialization of the acquired IPR&amp;D asset. In addition, the Company also made refinements of the estimates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projected cash flows based on review of terms of the contractual arrangements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associated with the acquired Products. The revisions were based on updated assumptions and information related to the facts and circumstances that existed as of the acquisition date.</w:t>
      </w:r>
    </w:p>
    <w:p>
      <w:pPr>
        <w:spacing w:after="0" w:line="190" w:lineRule="exact"/>
        <w:rPr>
          <w:sz w:val="20"/>
          <w:szCs w:val="20"/>
          <w:color w:val="auto"/>
        </w:rPr>
      </w:pPr>
    </w:p>
    <w:p>
      <w:pPr>
        <w:ind w:right="260" w:firstLine="619"/>
        <w:spacing w:after="0" w:line="270" w:lineRule="auto"/>
        <w:rPr>
          <w:sz w:val="20"/>
          <w:szCs w:val="20"/>
          <w:color w:val="auto"/>
        </w:rPr>
      </w:pPr>
      <w:r>
        <w:rPr>
          <w:rFonts w:ascii="Arial" w:cs="Arial" w:eastAsia="Arial" w:hAnsi="Arial"/>
          <w:sz w:val="17"/>
          <w:szCs w:val="17"/>
          <w:color w:val="auto"/>
        </w:rPr>
        <w:t>The following table summarizes the preliminary purchase price allocation, and the preliminary average remaining useful lives for identifiable intangible assets (dollars in thousands):</w:t>
      </w:r>
    </w:p>
    <w:tbl>
      <w:tblPr>
        <w:tblLayout w:type="fixed"/>
        <w:tblInd w:w="620" w:type="dxa"/>
        <w:tblCellMar>
          <w:top w:w="0" w:type="dxa"/>
          <w:left w:w="0" w:type="dxa"/>
          <w:bottom w:w="0" w:type="dxa"/>
          <w:right w:w="0" w:type="dxa"/>
        </w:tblCellMar>
      </w:tblPr>
      <w:tr>
        <w:trPr>
          <w:trHeight w:val="140"/>
        </w:trPr>
        <w:tc>
          <w:tcPr>
            <w:tcW w:w="7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1"/>
              </w:rPr>
              <w:t>Estimated Fair Value</w:t>
            </w:r>
          </w:p>
        </w:tc>
        <w:tc>
          <w:tcPr>
            <w:tcW w:w="8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Lives as of Closing</w:t>
            </w:r>
          </w:p>
        </w:tc>
        <w:tc>
          <w:tcPr>
            <w:tcW w:w="0" w:type="dxa"/>
            <w:vAlign w:val="bottom"/>
          </w:tcPr>
          <w:p>
            <w:pPr>
              <w:spacing w:after="0"/>
              <w:rPr>
                <w:sz w:val="1"/>
                <w:szCs w:val="1"/>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3"/>
        </w:trPr>
        <w:tc>
          <w:tcPr>
            <w:tcW w:w="7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Acquired In-process Research &amp; Development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8"/>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Acquired Developed Technology and Product Rights</w:t>
            </w: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232,000</w:t>
            </w:r>
          </w:p>
        </w:tc>
        <w:tc>
          <w:tcPr>
            <w:tcW w:w="144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38"/>
        </w:trPr>
        <w:tc>
          <w:tcPr>
            <w:tcW w:w="7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intangible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355,000</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firstLine="619"/>
        <w:spacing w:after="0" w:line="264" w:lineRule="auto"/>
        <w:rPr>
          <w:sz w:val="20"/>
          <w:szCs w:val="20"/>
          <w:color w:val="auto"/>
        </w:rPr>
      </w:pPr>
      <w:r>
        <w:rPr>
          <w:rFonts w:ascii="Arial" w:cs="Arial" w:eastAsia="Arial" w:hAnsi="Arial"/>
          <w:sz w:val="17"/>
          <w:szCs w:val="17"/>
          <w:color w:val="auto"/>
        </w:rPr>
        <w:t>Acquired intangible assets, excluding the acquired IPR&amp;D assets, are amortized over their estimated useful lives on a straight-line basis. IPR&amp;D assets are considered indefinite-lived, until the successful completion or abandonment of the associated research and development efforts.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ind w:right="160" w:firstLine="619"/>
        <w:spacing w:after="0" w:line="300" w:lineRule="auto"/>
        <w:rPr>
          <w:sz w:val="20"/>
          <w:szCs w:val="20"/>
          <w:color w:val="auto"/>
        </w:rPr>
      </w:pPr>
      <w:r>
        <w:rPr>
          <w:rFonts w:ascii="Arial" w:cs="Arial" w:eastAsia="Arial" w:hAnsi="Arial"/>
          <w:sz w:val="15"/>
          <w:szCs w:val="15"/>
          <w:color w:val="auto"/>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expected to be deductible for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Information</w:t>
      </w:r>
    </w:p>
    <w:p>
      <w:pPr>
        <w:spacing w:after="0" w:line="243" w:lineRule="exact"/>
        <w:rPr>
          <w:sz w:val="20"/>
          <w:szCs w:val="20"/>
          <w:color w:val="auto"/>
        </w:rPr>
      </w:pPr>
    </w:p>
    <w:p>
      <w:pPr>
        <w:ind w:right="540" w:firstLine="619"/>
        <w:spacing w:after="0" w:line="255" w:lineRule="auto"/>
        <w:rPr>
          <w:sz w:val="20"/>
          <w:szCs w:val="20"/>
          <w:color w:val="auto"/>
        </w:rPr>
      </w:pPr>
      <w:r>
        <w:rPr>
          <w:rFonts w:ascii="Arial" w:cs="Arial" w:eastAsia="Arial" w:hAnsi="Arial"/>
          <w:sz w:val="17"/>
          <w:szCs w:val="17"/>
          <w:color w:val="auto"/>
        </w:rPr>
        <w:t>The following table presents the unaudited pro forma combined financial information as if the USWM Acquisition had occurred on January 1, 2019 (dollars in thousands):</w:t>
      </w:r>
    </w:p>
    <w:p>
      <w:pPr>
        <w:ind w:left="9880"/>
        <w:spacing w:after="0"/>
        <w:rPr>
          <w:sz w:val="20"/>
          <w:szCs w:val="20"/>
          <w:color w:val="auto"/>
        </w:rPr>
      </w:pPr>
      <w:r>
        <w:rPr>
          <w:rFonts w:ascii="Arial" w:cs="Arial" w:eastAsia="Arial" w:hAnsi="Arial"/>
          <w:sz w:val="11"/>
          <w:szCs w:val="11"/>
          <w:b w:val="1"/>
          <w:bCs w:val="1"/>
          <w:color w:val="auto"/>
        </w:rPr>
        <w:t>Three Months ended Ma</w:t>
      </w:r>
    </w:p>
    <w:p>
      <w:pPr>
        <w:spacing w:after="0" w:line="18"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8255</wp:posOffset>
            </wp:positionV>
            <wp:extent cx="680593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5930" cy="147320"/>
                    </a:xfrm>
                    <a:prstGeom prst="rect">
                      <a:avLst/>
                    </a:prstGeom>
                    <a:noFill/>
                  </pic:spPr>
                </pic:pic>
              </a:graphicData>
            </a:graphic>
          </wp:anchor>
        </w:drawing>
      </w:r>
    </w:p>
    <w:p>
      <w:pPr>
        <w:spacing w:after="0" w:line="6" w:lineRule="exact"/>
        <w:rPr>
          <w:sz w:val="20"/>
          <w:szCs w:val="20"/>
          <w:color w:val="auto"/>
        </w:rPr>
      </w:pPr>
    </w:p>
    <w:p>
      <w:pPr>
        <w:ind w:left="1260"/>
        <w:spacing w:after="0"/>
        <w:tabs>
          <w:tab w:leader="none" w:pos="9760" w:val="left"/>
          <w:tab w:leader="none" w:pos="11220" w:val="left"/>
        </w:tabs>
        <w:rPr>
          <w:sz w:val="20"/>
          <w:szCs w:val="20"/>
          <w:color w:val="auto"/>
        </w:rPr>
      </w:pPr>
      <w:r>
        <w:rPr>
          <w:rFonts w:ascii="Arial" w:cs="Arial" w:eastAsia="Arial" w:hAnsi="Arial"/>
          <w:sz w:val="17"/>
          <w:szCs w:val="17"/>
          <w:color w:val="auto"/>
        </w:rPr>
        <w:t>Pro forma total revenues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forma net earnings</w:t>
      </w:r>
    </w:p>
    <w:p>
      <w:pPr>
        <w:spacing w:after="0" w:line="320" w:lineRule="exact"/>
        <w:rPr>
          <w:sz w:val="20"/>
          <w:szCs w:val="20"/>
          <w:color w:val="auto"/>
        </w:rPr>
      </w:pPr>
    </w:p>
    <w:p>
      <w:pPr>
        <w:ind w:right="160" w:firstLine="619"/>
        <w:spacing w:after="0" w:line="244" w:lineRule="auto"/>
        <w:rPr>
          <w:sz w:val="20"/>
          <w:szCs w:val="20"/>
          <w:color w:val="auto"/>
        </w:rPr>
      </w:pPr>
      <w:r>
        <w:rPr>
          <w:rFonts w:ascii="Arial" w:cs="Arial" w:eastAsia="Arial" w:hAnsi="Arial"/>
          <w:sz w:val="17"/>
          <w:szCs w:val="17"/>
          <w:color w:val="auto"/>
        </w:rPr>
        <w:t xml:space="preserve">The unaudited pro forma combined financial information is based on historical financial information as well as the Company's preliminary allocation of the purchase price; therefore, it is subject to subsequent adjustment upon finalization of the purchase price allocation. In order to reflect the occurrence of the acquisition as if it occurred on January 1, 2019, the unaudited pro forma combined financial information reflects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recognition of additional amortization expense on intangible assets, the removal of historical amortization charges and the elimination of non-recurring acquisition-related transaction costs.</w:t>
      </w:r>
    </w:p>
    <w:p>
      <w:pPr>
        <w:spacing w:after="0" w:line="205"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 unaudited pro forma combined financial information should not be considered indicative of the results that would have occurred if the acquisition had been consummated on the assumed completion date, nor are they indicative of future results.</w:t>
      </w: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Disaggregated Revenues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disaggregation of revenues by product or source,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r>
      <w:tr>
        <w:trPr>
          <w:trHeight w:val="179"/>
        </w:trPr>
        <w:tc>
          <w:tcPr>
            <w:tcW w:w="67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3"/>
        </w:trPr>
        <w:tc>
          <w:tcPr>
            <w:tcW w:w="67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173"/>
        </w:trPr>
        <w:tc>
          <w:tcPr>
            <w:tcW w:w="6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0"/>
        </w:trPr>
        <w:tc>
          <w:tcPr>
            <w:tcW w:w="67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product sales</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6780" w:type="dxa"/>
            <w:vAlign w:val="bottom"/>
          </w:tcPr>
          <w:p>
            <w:pPr>
              <w:ind w:left="760"/>
              <w:spacing w:after="0"/>
              <w:rPr>
                <w:sz w:val="20"/>
                <w:szCs w:val="20"/>
                <w:color w:val="auto"/>
              </w:rPr>
            </w:pPr>
            <w:r>
              <w:rPr>
                <w:rFonts w:ascii="Arial" w:cs="Arial" w:eastAsia="Arial" w:hAnsi="Arial"/>
                <w:sz w:val="17"/>
                <w:szCs w:val="17"/>
                <w:color w:val="auto"/>
              </w:rPr>
              <w:t>Trokendi XR</w:t>
            </w:r>
          </w:p>
        </w:tc>
        <w:tc>
          <w:tcPr>
            <w:tcW w:w="1540" w:type="dxa"/>
            <w:vAlign w:val="bottom"/>
          </w:tcPr>
          <w:p>
            <w:pPr>
              <w:jc w:val="right"/>
              <w:ind w:right="738"/>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71,819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68,551</w:t>
            </w:r>
          </w:p>
        </w:tc>
      </w:tr>
      <w:tr>
        <w:trPr>
          <w:trHeight w:val="220"/>
        </w:trPr>
        <w:tc>
          <w:tcPr>
            <w:tcW w:w="67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Oxtellar XR</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23,939</w:t>
            </w:r>
          </w:p>
        </w:tc>
      </w:tr>
      <w:tr>
        <w:trPr>
          <w:trHeight w:val="218"/>
        </w:trPr>
        <w:tc>
          <w:tcPr>
            <w:tcW w:w="6780" w:type="dxa"/>
            <w:vAlign w:val="bottom"/>
          </w:tcPr>
          <w:p>
            <w:pPr>
              <w:ind w:left="740"/>
              <w:spacing w:after="0"/>
              <w:rPr>
                <w:sz w:val="20"/>
                <w:szCs w:val="20"/>
                <w:color w:val="auto"/>
              </w:rPr>
            </w:pPr>
            <w:r>
              <w:rPr>
                <w:rFonts w:ascii="Arial" w:cs="Arial" w:eastAsia="Arial" w:hAnsi="Arial"/>
                <w:sz w:val="17"/>
                <w:szCs w:val="17"/>
                <w:color w:val="auto"/>
              </w:rPr>
              <w:t>APOKYN</w:t>
            </w: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21,730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7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MYOBLOC</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780" w:type="dxa"/>
            <w:vAlign w:val="bottom"/>
            <w:tcBorders>
              <w:bottom w:val="single" w:sz="8" w:color="CCEEFF"/>
            </w:tcBorders>
          </w:tcPr>
          <w:p>
            <w:pPr>
              <w:ind w:left="740"/>
              <w:spacing w:after="0"/>
              <w:rPr>
                <w:sz w:val="20"/>
                <w:szCs w:val="20"/>
                <w:color w:val="auto"/>
              </w:rPr>
            </w:pPr>
            <w:r>
              <w:rPr>
                <w:rFonts w:ascii="Arial" w:cs="Arial" w:eastAsia="Arial" w:hAnsi="Arial"/>
                <w:sz w:val="17"/>
                <w:szCs w:val="17"/>
                <w:color w:val="auto"/>
              </w:rPr>
              <w:t>XADAGO</w:t>
            </w: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7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net product sales</w:t>
            </w:r>
          </w:p>
        </w:tc>
        <w:tc>
          <w:tcPr>
            <w:tcW w:w="1540" w:type="dxa"/>
            <w:vAlign w:val="bottom"/>
            <w:shd w:val="clear" w:color="auto" w:fill="CCEEFF"/>
          </w:tcPr>
          <w:p>
            <w:pPr>
              <w:jc w:val="right"/>
              <w:ind w:right="738"/>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128,381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92,490</w:t>
            </w:r>
          </w:p>
        </w:tc>
      </w:tr>
      <w:tr>
        <w:trPr>
          <w:trHeight w:val="218"/>
        </w:trPr>
        <w:tc>
          <w:tcPr>
            <w:tcW w:w="67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Royalty revenues</w:t>
            </w: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r>
      <w:tr>
        <w:trPr>
          <w:trHeight w:val="237"/>
        </w:trPr>
        <w:tc>
          <w:tcPr>
            <w:tcW w:w="6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revenues</w:t>
            </w:r>
          </w:p>
        </w:tc>
        <w:tc>
          <w:tcPr>
            <w:tcW w:w="15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130,932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94,976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Trokendi XR accounted for 56% and 74% of the Company’s total net product sales for the three months ended March 31, 2021 and 2020, respectively.</w:t>
      </w:r>
    </w:p>
    <w:p>
      <w:pPr>
        <w:spacing w:after="0" w:line="253" w:lineRule="exact"/>
        <w:rPr>
          <w:sz w:val="20"/>
          <w:szCs w:val="20"/>
          <w:color w:val="auto"/>
        </w:rPr>
      </w:pPr>
    </w:p>
    <w:p>
      <w:pPr>
        <w:ind w:right="140" w:firstLine="619"/>
        <w:spacing w:after="0" w:line="295" w:lineRule="auto"/>
        <w:rPr>
          <w:sz w:val="20"/>
          <w:szCs w:val="20"/>
          <w:color w:val="auto"/>
        </w:rPr>
      </w:pPr>
      <w:r>
        <w:rPr>
          <w:rFonts w:ascii="Arial" w:cs="Arial" w:eastAsia="Arial" w:hAnsi="Arial"/>
          <w:sz w:val="16"/>
          <w:szCs w:val="16"/>
          <w:color w:val="auto"/>
        </w:rPr>
        <w:t>Each of our three major customers, AmerisourceBergen Drug Corporation, Cardinal Health, Inc. and McKesson Corporation, individually accounted for more than 25% of our total net product sales and collectively accounted for more than 85% of our total net product sales in both 2021 and 2020.</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recognized noncash royalty revenue of $2.2 million and $1.6 million, for the three months ended March 31, 2021 and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w:t>
      </w:r>
      <w:r>
        <w:rPr>
          <w:rFonts w:ascii="Arial" w:cs="Arial" w:eastAsia="Arial" w:hAnsi="Arial"/>
          <w:sz w:val="17"/>
          <w:szCs w:val="17"/>
          <w:color w:val="auto"/>
        </w:rPr>
        <w:t>.</w:t>
      </w:r>
      <w:r>
        <w:rPr>
          <w:rFonts w:ascii="Arial" w:cs="Arial" w:eastAsia="Arial" w:hAnsi="Arial"/>
          <w:sz w:val="17"/>
          <w:szCs w:val="17"/>
          <w:b w:val="1"/>
          <w:bCs w:val="1"/>
          <w:color w:val="auto"/>
        </w:rPr>
        <w:t xml:space="preserve">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Marketable Securities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Unrestricted available-for-sale marketable securities held by the Company are as follows,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4"/>
                <w:szCs w:val="14"/>
                <w:color w:val="auto"/>
              </w:rPr>
            </w:pPr>
          </w:p>
        </w:tc>
        <w:tc>
          <w:tcPr>
            <w:tcW w:w="14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9"/>
        </w:trPr>
        <w:tc>
          <w:tcPr>
            <w:tcW w:w="67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Corporate and U.S. government agency and municipal debt securities</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760"/>
              <w:spacing w:after="0"/>
              <w:rPr>
                <w:sz w:val="20"/>
                <w:szCs w:val="20"/>
                <w:color w:val="auto"/>
              </w:rPr>
            </w:pPr>
            <w:r>
              <w:rPr>
                <w:rFonts w:ascii="Arial" w:cs="Arial" w:eastAsia="Arial" w:hAnsi="Arial"/>
                <w:sz w:val="17"/>
                <w:szCs w:val="17"/>
                <w:color w:val="auto"/>
              </w:rPr>
              <w:t>Amortized cost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
              <w:spacing w:after="0"/>
              <w:rPr>
                <w:sz w:val="20"/>
                <w:szCs w:val="20"/>
                <w:color w:val="auto"/>
              </w:rPr>
            </w:pPr>
            <w:r>
              <w:rPr>
                <w:rFonts w:ascii="Arial" w:cs="Arial" w:eastAsia="Arial" w:hAnsi="Arial"/>
                <w:sz w:val="17"/>
                <w:szCs w:val="17"/>
                <w:color w:val="auto"/>
              </w:rPr>
              <w:t>543,713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472,306</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Gross unrealized gains</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8,958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11,987</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Gross unrealized losses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fair value</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552,025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484,252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contractual maturities of the unrestricted available-for-sale marketable securities held by the Company are as follows,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79"/>
        </w:trPr>
        <w:tc>
          <w:tcPr>
            <w:tcW w:w="90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2021</w:t>
            </w:r>
          </w:p>
        </w:tc>
      </w:tr>
      <w:tr>
        <w:trPr>
          <w:trHeight w:val="173"/>
        </w:trPr>
        <w:tc>
          <w:tcPr>
            <w:tcW w:w="9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jc w:val="right"/>
              <w:ind w:right="380"/>
              <w:spacing w:after="0"/>
              <w:rPr>
                <w:sz w:val="20"/>
                <w:szCs w:val="20"/>
                <w:color w:val="auto"/>
              </w:rPr>
            </w:pPr>
            <w:r>
              <w:rPr>
                <w:rFonts w:ascii="Arial" w:cs="Arial" w:eastAsia="Arial" w:hAnsi="Arial"/>
                <w:sz w:val="14"/>
                <w:szCs w:val="14"/>
                <w:b w:val="1"/>
                <w:bCs w:val="1"/>
                <w:color w:val="auto"/>
              </w:rPr>
              <w:t>(unaudited)</w:t>
            </w:r>
          </w:p>
        </w:tc>
      </w:tr>
      <w:tr>
        <w:trPr>
          <w:trHeight w:val="220"/>
        </w:trPr>
        <w:tc>
          <w:tcPr>
            <w:tcW w:w="9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Less than 1 year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135,459</w:t>
            </w:r>
          </w:p>
        </w:tc>
      </w:tr>
      <w:tr>
        <w:trPr>
          <w:trHeight w:val="218"/>
        </w:trPr>
        <w:tc>
          <w:tcPr>
            <w:tcW w:w="9020" w:type="dxa"/>
            <w:vAlign w:val="bottom"/>
          </w:tcPr>
          <w:p>
            <w:pPr>
              <w:ind w:left="640"/>
              <w:spacing w:after="0"/>
              <w:rPr>
                <w:sz w:val="20"/>
                <w:szCs w:val="20"/>
                <w:color w:val="auto"/>
              </w:rPr>
            </w:pPr>
            <w:r>
              <w:rPr>
                <w:rFonts w:ascii="Arial" w:cs="Arial" w:eastAsia="Arial" w:hAnsi="Arial"/>
                <w:sz w:val="17"/>
                <w:szCs w:val="17"/>
                <w:color w:val="auto"/>
              </w:rPr>
              <w:t>1 year to 2 years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151,713</w:t>
            </w:r>
          </w:p>
        </w:tc>
      </w:tr>
      <w:tr>
        <w:trPr>
          <w:trHeight w:val="220"/>
        </w:trPr>
        <w:tc>
          <w:tcPr>
            <w:tcW w:w="9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 years to 3 years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201,619</w:t>
            </w:r>
          </w:p>
        </w:tc>
      </w:tr>
      <w:tr>
        <w:trPr>
          <w:trHeight w:val="218"/>
        </w:trPr>
        <w:tc>
          <w:tcPr>
            <w:tcW w:w="9020" w:type="dxa"/>
            <w:vAlign w:val="bottom"/>
          </w:tcPr>
          <w:p>
            <w:pPr>
              <w:ind w:left="640"/>
              <w:spacing w:after="0"/>
              <w:rPr>
                <w:sz w:val="20"/>
                <w:szCs w:val="20"/>
                <w:color w:val="auto"/>
              </w:rPr>
            </w:pPr>
            <w:r>
              <w:rPr>
                <w:rFonts w:ascii="Arial" w:cs="Arial" w:eastAsia="Arial" w:hAnsi="Arial"/>
                <w:sz w:val="17"/>
                <w:szCs w:val="17"/>
                <w:color w:val="auto"/>
              </w:rPr>
              <w:t>3 years to 4 years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63,234</w:t>
            </w:r>
          </w:p>
        </w:tc>
      </w:tr>
      <w:tr>
        <w:trPr>
          <w:trHeight w:val="220"/>
        </w:trPr>
        <w:tc>
          <w:tcPr>
            <w:tcW w:w="9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Greater than 4 years</w:t>
            </w:r>
          </w:p>
        </w:tc>
        <w:tc>
          <w:tcPr>
            <w:tcW w:w="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9020" w:type="dxa"/>
            <w:vAlign w:val="bottom"/>
          </w:tcPr>
          <w:p>
            <w:pPr>
              <w:ind w:left="64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552,025</w:t>
            </w: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2021, there was no impairment due to credit loss on any available-for-sale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 Navitor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and Option agreement</w:t>
      </w:r>
    </w:p>
    <w:p>
      <w:pPr>
        <w:spacing w:after="0" w:line="243"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In April 2020, the Company entered into the Development Agreement with Navitor Inc. The Company can terminate the Development Agreement upon 30 days’ notice. Under the terms of the Development Agreement, the Company and Navitor Inc. will jointly conduct a Phase II clinical program for NV-5138 (SPN-820) for TRD.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 In the second quarter of 2020, the Company paid Navitor Inc. a one time, nonrefundable, and non-creditable fee of $10 million for this option to acquire or license NV-5138 (SPN-820).</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investment</w:t>
      </w:r>
    </w:p>
    <w:p>
      <w:pPr>
        <w:spacing w:after="0" w:line="24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In addition to entering into the Development Agreement in April 2020, the Company acquired Series D Preferred Shares of Navitor Inc. for $15 million, representing an approximately 13% ownership position in Navitor Inc.</w:t>
      </w:r>
    </w:p>
    <w:p>
      <w:pPr>
        <w:spacing w:after="0" w:line="190"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In March 2021, Navitor Inc. underwent a legal restructuring. In the restructuring, Navitor Inc. became a wholly owned subsidiary of a newly formed limited liability company, Navitor LLC, and the outstanding shares of stock in Navitor Inc. were exchanged for units of membership interest in Navitor LLC having equivalent rights and preferences (Navitor Restructuring). As part of the Navitor Restructuring, the Series D Preferred Shares previously held by the Company were exchanged for Series D Preferred Units in Navitor LLC. In addition, certain assets that did not relate to NV-5138 (SPN-820) were transferred from Navitor Inc. to a newly formed entity that became a separate, wholly owned subsidiary of Navitor LLC.</w:t>
      </w:r>
    </w:p>
    <w:p>
      <w:pPr>
        <w:spacing w:after="0" w:line="209"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Company had determined that Navitor LLC is a VIE. The Company does not consolidate this VIE because the Company lacks the power to direct the activities that most significantly impact the investee’s economic performance.</w:t>
      </w:r>
    </w:p>
    <w:p>
      <w:pPr>
        <w:spacing w:after="0" w:line="190"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to member equity units of Navitor LLC, the investment was accounted for under the equity method of accounting due to the Company’s ability to exert significant influence, but not control the financial and operating decisions. The majority of the assets and liabilities recorded in Navitor LLC’s financial statements represent working capital items and cash that are being used for research and development purposes and are significantly lower than the Company’s investment in Navitor LLC. This created a significant basis difference for the Company’s investment in the underlying net assets, requiring the Company to account for the investee as if it were a consolidated subsidiary in a manner consistent with the provisions of ASC 805, </w:t>
      </w:r>
      <w:r>
        <w:rPr>
          <w:rFonts w:ascii="Arial" w:cs="Arial" w:eastAsia="Arial" w:hAnsi="Arial"/>
          <w:sz w:val="16"/>
          <w:szCs w:val="16"/>
          <w:i w:val="1"/>
          <w:iCs w:val="1"/>
          <w:color w:val="auto"/>
        </w:rPr>
        <w:t>Business Consolidation</w:t>
      </w:r>
      <w:r>
        <w:rPr>
          <w:rFonts w:ascii="Arial" w:cs="Arial" w:eastAsia="Arial" w:hAnsi="Arial"/>
          <w:sz w:val="16"/>
          <w:szCs w:val="16"/>
          <w:color w:val="auto"/>
        </w:rPr>
        <w:t xml:space="preserve">, to apply the acquisition method of accounting. The Company has determined that substantially all of the fair value of the investment is attributable to a single IPR&amp;D asset. As a result, the investee is not considered a business as defined in ASC 805. In the first quarter of 2021, the $15 million investment, which was previously recorded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condensed consolidated balance sheets, was expensed and recorded in </w:t>
      </w:r>
      <w:r>
        <w:rPr>
          <w:rFonts w:ascii="Arial" w:cs="Arial" w:eastAsia="Arial" w:hAnsi="Arial"/>
          <w:sz w:val="16"/>
          <w:szCs w:val="16"/>
          <w:i w:val="1"/>
          <w:iCs w:val="1"/>
          <w:color w:val="auto"/>
        </w:rPr>
        <w:t>Research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development expense </w:t>
      </w:r>
      <w:r>
        <w:rPr>
          <w:rFonts w:ascii="Arial" w:cs="Arial" w:eastAsia="Arial" w:hAnsi="Arial"/>
          <w:sz w:val="16"/>
          <w:szCs w:val="16"/>
          <w:color w:val="auto"/>
        </w:rPr>
        <w:t>in the condensed consolidated statements of earnings</w:t>
      </w:r>
      <w:r>
        <w:rPr>
          <w:rFonts w:ascii="Arial" w:cs="Arial" w:eastAsia="Arial" w:hAnsi="Arial"/>
          <w:sz w:val="16"/>
          <w:szCs w:val="16"/>
          <w:i w:val="1"/>
          <w:iCs w:val="1"/>
          <w:color w:val="auto"/>
        </w:rPr>
        <w:t>.</w:t>
      </w:r>
    </w:p>
    <w:p>
      <w:pPr>
        <w:spacing w:after="0" w:line="199"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maximum exposure to losses related to the investee is a maximum of approximately $50 million in expense for Phase I and Phase II development of NV-5138 (SPN-820), and the cost of other development and formulation activities provided by the Company.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provided no financing to the investee other than amounts required under the Development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Fair Value of Financial Measurements</w:t>
      </w:r>
    </w:p>
    <w:p>
      <w:pPr>
        <w:spacing w:after="0" w:line="249"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The fair value of an asset or liability represents the price that would be received to sell an asset or paid to transfer a liability in an orderly transaction between unrelated market participants.</w:t>
      </w:r>
    </w:p>
    <w:p>
      <w:pPr>
        <w:spacing w:after="0" w:line="190"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that are accessible at measurement date for identical assets.</w:t>
      </w:r>
    </w:p>
    <w:p>
      <w:pPr>
        <w:spacing w:after="0" w:line="242" w:lineRule="exact"/>
        <w:rPr>
          <w:rFonts w:ascii="Arial" w:cs="Arial" w:eastAsia="Arial" w:hAnsi="Arial"/>
          <w:sz w:val="17"/>
          <w:szCs w:val="17"/>
          <w:color w:val="auto"/>
        </w:rPr>
      </w:pPr>
    </w:p>
    <w:p>
      <w:pPr>
        <w:ind w:left="940" w:right="80" w:hanging="318"/>
        <w:spacing w:after="0" w:line="250"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201" w:lineRule="exact"/>
        <w:rPr>
          <w:rFonts w:ascii="Arial" w:cs="Arial" w:eastAsia="Arial" w:hAnsi="Arial"/>
          <w:sz w:val="17"/>
          <w:szCs w:val="17"/>
          <w:color w:val="auto"/>
        </w:rPr>
      </w:pPr>
    </w:p>
    <w:p>
      <w:pPr>
        <w:ind w:left="940" w:right="200" w:hanging="318"/>
        <w:spacing w:after="0" w:line="27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3—Valuations using significant inputs that are unobservable in the market and inputs that reflect the Company’s own assumptions. These are based on the best information available, including the Company’s own data.</w:t>
      </w:r>
    </w:p>
    <w:p>
      <w:pPr>
        <w:spacing w:after="0" w:line="126" w:lineRule="exact"/>
        <w:rPr>
          <w:sz w:val="20"/>
          <w:szCs w:val="20"/>
          <w:color w:val="auto"/>
        </w:rPr>
      </w:pPr>
    </w:p>
    <w:p>
      <w:pPr>
        <w:jc w:val="both"/>
        <w:ind w:left="320" w:right="380" w:firstLine="619"/>
        <w:spacing w:after="0" w:line="266" w:lineRule="auto"/>
        <w:rPr>
          <w:sz w:val="20"/>
          <w:szCs w:val="20"/>
          <w:color w:val="auto"/>
        </w:rPr>
      </w:pPr>
      <w:r>
        <w:rPr>
          <w:rFonts w:ascii="Arial" w:cs="Arial" w:eastAsia="Arial" w:hAnsi="Arial"/>
          <w:sz w:val="17"/>
          <w:szCs w:val="17"/>
          <w:color w:val="auto"/>
        </w:rPr>
        <w:t xml:space="preserve">The fair value of the restricted marketable securities which are classified as level 2 financial assets is recorded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on the condensed consolidated balance sheets. There were no level 3 financial assets as of March 31, 2021 or December 31, 2020. There have been no transfers of assets or liabilities into or out of Level 3 of the fair value hierarchy.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Assets and Liabilities Recorded at Fair Value on a Recurring Basis</w:t>
      </w:r>
    </w:p>
    <w:p>
      <w:pPr>
        <w:spacing w:after="0" w:line="17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w w:val="90"/>
              </w:rPr>
              <w:t>Fair Value Measurements at March 31, 2021 (unaudited)</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4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Total Fair Value at</w:t>
            </w:r>
          </w:p>
        </w:tc>
        <w:tc>
          <w:tcPr>
            <w:tcW w:w="1060" w:type="dxa"/>
            <w:vAlign w:val="bottom"/>
          </w:tcPr>
          <w:p>
            <w:pPr>
              <w:spacing w:after="0"/>
              <w:rPr>
                <w:sz w:val="10"/>
                <w:szCs w:val="10"/>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spacing w:after="0"/>
              <w:rPr>
                <w:sz w:val="10"/>
                <w:szCs w:val="10"/>
                <w:color w:val="auto"/>
              </w:rPr>
            </w:pPr>
          </w:p>
        </w:tc>
        <w:tc>
          <w:tcPr>
            <w:tcW w:w="20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0"/>
                <w:szCs w:val="10"/>
                <w:color w:val="auto"/>
              </w:rPr>
            </w:pPr>
          </w:p>
        </w:tc>
        <w:tc>
          <w:tcPr>
            <w:tcW w:w="11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2360" w:type="dxa"/>
            <w:vAlign w:val="bottom"/>
            <w:gridSpan w:val="3"/>
          </w:tcPr>
          <w:p>
            <w:pPr>
              <w:ind w:left="840"/>
              <w:spacing w:after="0" w:line="129" w:lineRule="exact"/>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800"/>
              <w:spacing w:after="0"/>
              <w:rPr>
                <w:sz w:val="20"/>
                <w:szCs w:val="20"/>
                <w:color w:val="auto"/>
              </w:rPr>
            </w:pPr>
            <w:r>
              <w:rPr>
                <w:rFonts w:ascii="Arial" w:cs="Arial" w:eastAsia="Arial" w:hAnsi="Arial"/>
                <w:sz w:val="17"/>
                <w:szCs w:val="17"/>
                <w:b w:val="1"/>
                <w:bCs w:val="1"/>
                <w:color w:val="auto"/>
              </w:rPr>
              <w:t>Assets:</w:t>
            </w: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900"/>
              <w:spacing w:after="0" w:line="168" w:lineRule="exact"/>
              <w:rPr>
                <w:sz w:val="20"/>
                <w:szCs w:val="20"/>
                <w:color w:val="auto"/>
              </w:rPr>
            </w:pPr>
            <w:r>
              <w:rPr>
                <w:rFonts w:ascii="Arial" w:cs="Arial" w:eastAsia="Arial" w:hAnsi="Arial"/>
                <w:sz w:val="17"/>
                <w:szCs w:val="17"/>
                <w:color w:val="auto"/>
                <w:w w:val="88"/>
              </w:rPr>
              <w:t>Cash and cash</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920" w:type="dxa"/>
            <w:vAlign w:val="bottom"/>
          </w:tcPr>
          <w:p>
            <w:pPr>
              <w:ind w:left="140"/>
              <w:spacing w:after="0"/>
              <w:rPr>
                <w:sz w:val="20"/>
                <w:szCs w:val="20"/>
                <w:color w:val="auto"/>
              </w:rPr>
            </w:pPr>
            <w:r>
              <w:rPr>
                <w:rFonts w:ascii="Arial" w:cs="Arial" w:eastAsia="Arial" w:hAnsi="Arial"/>
                <w:sz w:val="17"/>
                <w:szCs w:val="17"/>
                <w:color w:val="auto"/>
              </w:rPr>
              <w:t>equivalents</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2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Cash</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154,245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2060" w:type="dxa"/>
            <w:vAlign w:val="bottom"/>
            <w:gridSpan w:val="3"/>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920" w:type="dxa"/>
            <w:vAlign w:val="bottom"/>
          </w:tcPr>
          <w:p>
            <w:pPr>
              <w:ind w:left="1100"/>
              <w:spacing w:after="0" w:line="168" w:lineRule="exact"/>
              <w:rPr>
                <w:sz w:val="20"/>
                <w:szCs w:val="20"/>
                <w:color w:val="auto"/>
              </w:rPr>
            </w:pPr>
            <w:r>
              <w:rPr>
                <w:rFonts w:ascii="Arial" w:cs="Arial" w:eastAsia="Arial" w:hAnsi="Arial"/>
                <w:sz w:val="17"/>
                <w:szCs w:val="17"/>
                <w:color w:val="auto"/>
              </w:rPr>
              <w:t>Money</w:t>
            </w:r>
          </w:p>
        </w:tc>
        <w:tc>
          <w:tcPr>
            <w:tcW w:w="9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101,397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101,397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gridSpan w:val="3"/>
            <w:vMerge w:val="restart"/>
          </w:tcPr>
          <w:p>
            <w:pPr>
              <w:jc w:val="right"/>
              <w:ind w:right="9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920" w:type="dxa"/>
            <w:vAlign w:val="bottom"/>
          </w:tcPr>
          <w:p>
            <w:pPr>
              <w:ind w:left="320"/>
              <w:spacing w:after="0"/>
              <w:rPr>
                <w:sz w:val="20"/>
                <w:szCs w:val="20"/>
                <w:color w:val="auto"/>
              </w:rPr>
            </w:pPr>
            <w:r>
              <w:rPr>
                <w:rFonts w:ascii="Arial" w:cs="Arial" w:eastAsia="Arial" w:hAnsi="Arial"/>
                <w:sz w:val="17"/>
                <w:szCs w:val="17"/>
                <w:color w:val="auto"/>
              </w:rPr>
              <w:t>market funds</w:t>
            </w:r>
          </w:p>
        </w:tc>
        <w:tc>
          <w:tcPr>
            <w:tcW w:w="9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900"/>
              <w:spacing w:after="0" w:line="169" w:lineRule="exact"/>
              <w:rPr>
                <w:sz w:val="20"/>
                <w:szCs w:val="20"/>
                <w:color w:val="auto"/>
              </w:rPr>
            </w:pPr>
            <w:r>
              <w:rPr>
                <w:rFonts w:ascii="Arial" w:cs="Arial" w:eastAsia="Arial" w:hAnsi="Arial"/>
                <w:sz w:val="17"/>
                <w:szCs w:val="17"/>
                <w:color w:val="auto"/>
              </w:rPr>
              <w:t>Marketable</w:t>
            </w:r>
          </w:p>
        </w:tc>
        <w:tc>
          <w:tcPr>
            <w:tcW w:w="9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1100"/>
              <w:spacing w:after="0" w:line="168" w:lineRule="exact"/>
              <w:rPr>
                <w:sz w:val="20"/>
                <w:szCs w:val="20"/>
                <w:color w:val="auto"/>
              </w:rPr>
            </w:pPr>
            <w:r>
              <w:rPr>
                <w:rFonts w:ascii="Arial" w:cs="Arial" w:eastAsia="Arial" w:hAnsi="Arial"/>
                <w:sz w:val="17"/>
                <w:szCs w:val="17"/>
                <w:color w:val="auto"/>
              </w:rPr>
              <w:t>Corporate</w:t>
            </w:r>
          </w:p>
        </w:tc>
        <w:tc>
          <w:tcPr>
            <w:tcW w:w="9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135,459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135,204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920" w:type="dxa"/>
            <w:vAlign w:val="bottom"/>
          </w:tcPr>
          <w:p>
            <w:pPr>
              <w:ind w:left="320"/>
              <w:spacing w:after="0"/>
              <w:rPr>
                <w:sz w:val="20"/>
                <w:szCs w:val="20"/>
                <w:color w:val="auto"/>
              </w:rPr>
            </w:pPr>
            <w:r>
              <w:rPr>
                <w:rFonts w:ascii="Arial" w:cs="Arial" w:eastAsia="Arial" w:hAnsi="Arial"/>
                <w:sz w:val="17"/>
                <w:szCs w:val="17"/>
                <w:color w:val="auto"/>
              </w:rPr>
              <w:t>debt securities</w:t>
            </w:r>
          </w:p>
        </w:tc>
        <w:tc>
          <w:tcPr>
            <w:tcW w:w="9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900"/>
              <w:spacing w:after="0" w:line="169" w:lineRule="exact"/>
              <w:rPr>
                <w:sz w:val="20"/>
                <w:szCs w:val="20"/>
                <w:color w:val="auto"/>
              </w:rPr>
            </w:pPr>
            <w:r>
              <w:rPr>
                <w:rFonts w:ascii="Arial" w:cs="Arial" w:eastAsia="Arial" w:hAnsi="Arial"/>
                <w:sz w:val="17"/>
                <w:szCs w:val="17"/>
                <w:color w:val="auto"/>
              </w:rPr>
              <w:t>Long term</w:t>
            </w:r>
          </w:p>
        </w:tc>
        <w:tc>
          <w:tcPr>
            <w:tcW w:w="9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marketable securities</w:t>
            </w: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1100"/>
              <w:spacing w:after="0" w:line="168" w:lineRule="exact"/>
              <w:rPr>
                <w:sz w:val="20"/>
                <w:szCs w:val="20"/>
                <w:color w:val="auto"/>
              </w:rPr>
            </w:pPr>
            <w:r>
              <w:rPr>
                <w:rFonts w:ascii="Arial" w:cs="Arial" w:eastAsia="Arial" w:hAnsi="Arial"/>
                <w:sz w:val="17"/>
                <w:szCs w:val="17"/>
                <w:color w:val="auto"/>
              </w:rPr>
              <w:t>Corporate</w:t>
            </w:r>
          </w:p>
        </w:tc>
        <w:tc>
          <w:tcPr>
            <w:tcW w:w="9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416,566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416,566</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920" w:type="dxa"/>
            <w:vAlign w:val="bottom"/>
          </w:tcPr>
          <w:p>
            <w:pPr>
              <w:ind w:left="320"/>
              <w:spacing w:after="0"/>
              <w:rPr>
                <w:sz w:val="20"/>
                <w:szCs w:val="20"/>
                <w:color w:val="auto"/>
              </w:rPr>
            </w:pPr>
            <w:r>
              <w:rPr>
                <w:rFonts w:ascii="Arial" w:cs="Arial" w:eastAsia="Arial" w:hAnsi="Arial"/>
                <w:sz w:val="17"/>
                <w:szCs w:val="17"/>
                <w:color w:val="auto"/>
              </w:rPr>
              <w:t>debt securities</w:t>
            </w:r>
          </w:p>
        </w:tc>
        <w:tc>
          <w:tcPr>
            <w:tcW w:w="9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900"/>
              <w:spacing w:after="0" w:line="169" w:lineRule="exact"/>
              <w:rPr>
                <w:sz w:val="20"/>
                <w:szCs w:val="20"/>
                <w:color w:val="auto"/>
              </w:rPr>
            </w:pPr>
            <w:r>
              <w:rPr>
                <w:rFonts w:ascii="Arial" w:cs="Arial" w:eastAsia="Arial" w:hAnsi="Arial"/>
                <w:sz w:val="17"/>
                <w:szCs w:val="17"/>
                <w:color w:val="auto"/>
              </w:rPr>
              <w:t>Other</w:t>
            </w:r>
          </w:p>
        </w:tc>
        <w:tc>
          <w:tcPr>
            <w:tcW w:w="9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assets</w:t>
            </w: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1100"/>
              <w:spacing w:after="0" w:line="168" w:lineRule="exact"/>
              <w:rPr>
                <w:sz w:val="20"/>
                <w:szCs w:val="20"/>
                <w:color w:val="auto"/>
              </w:rPr>
            </w:pPr>
            <w:r>
              <w:rPr>
                <w:rFonts w:ascii="Arial" w:cs="Arial" w:eastAsia="Arial" w:hAnsi="Arial"/>
                <w:sz w:val="17"/>
                <w:szCs w:val="17"/>
                <w:color w:val="auto"/>
                <w:w w:val="95"/>
              </w:rPr>
              <w:t>Marketable</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320"/>
              <w:spacing w:after="0" w:line="167" w:lineRule="exact"/>
              <w:rPr>
                <w:sz w:val="20"/>
                <w:szCs w:val="20"/>
                <w:color w:val="auto"/>
              </w:rPr>
            </w:pPr>
            <w:r>
              <w:rPr>
                <w:rFonts w:ascii="Arial" w:cs="Arial" w:eastAsia="Arial" w:hAnsi="Arial"/>
                <w:sz w:val="17"/>
                <w:szCs w:val="17"/>
                <w:color w:val="auto"/>
              </w:rPr>
              <w:t>securities - restricted</w:t>
            </w:r>
          </w:p>
        </w:tc>
        <w:tc>
          <w:tcPr>
            <w:tcW w:w="9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559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555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(SERP)</w:t>
            </w: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ind w:left="800"/>
              <w:spacing w:after="0" w:line="149" w:lineRule="exact"/>
              <w:rPr>
                <w:sz w:val="20"/>
                <w:szCs w:val="20"/>
                <w:color w:val="auto"/>
              </w:rPr>
            </w:pPr>
            <w:r>
              <w:rPr>
                <w:rFonts w:ascii="Arial" w:cs="Arial" w:eastAsia="Arial" w:hAnsi="Arial"/>
                <w:sz w:val="17"/>
                <w:szCs w:val="17"/>
                <w:b w:val="1"/>
                <w:bCs w:val="1"/>
                <w:color w:val="auto"/>
                <w:w w:val="93"/>
              </w:rPr>
              <w:t>Total assets at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808,226</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255,901</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552,325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fair value</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7"/>
                <w:szCs w:val="17"/>
                <w:b w:val="1"/>
                <w:bCs w:val="1"/>
                <w:color w:val="auto"/>
              </w:rPr>
              <w:t>Liabilities: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ind w:left="900"/>
              <w:spacing w:after="0" w:line="168" w:lineRule="exact"/>
              <w:rPr>
                <w:sz w:val="20"/>
                <w:szCs w:val="20"/>
                <w:color w:val="auto"/>
              </w:rPr>
            </w:pPr>
            <w:r>
              <w:rPr>
                <w:rFonts w:ascii="Arial" w:cs="Arial" w:eastAsia="Arial" w:hAnsi="Arial"/>
                <w:sz w:val="17"/>
                <w:szCs w:val="17"/>
                <w:color w:val="auto"/>
              </w:rPr>
              <w:t>Contingent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77,720</w:t>
            </w:r>
          </w:p>
        </w:tc>
        <w:tc>
          <w:tcPr>
            <w:tcW w:w="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780" w:type="dxa"/>
            <w:vAlign w:val="bottom"/>
            <w:vMerge w:val="restart"/>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77,720</w:t>
            </w:r>
          </w:p>
        </w:tc>
        <w:tc>
          <w:tcPr>
            <w:tcW w:w="0" w:type="dxa"/>
            <w:vAlign w:val="bottom"/>
          </w:tcPr>
          <w:p>
            <w:pPr>
              <w:spacing w:after="0"/>
              <w:rPr>
                <w:sz w:val="1"/>
                <w:szCs w:val="1"/>
                <w:color w:val="auto"/>
              </w:rPr>
            </w:pPr>
          </w:p>
        </w:tc>
      </w:tr>
      <w:tr>
        <w:trPr>
          <w:trHeight w:val="224"/>
        </w:trPr>
        <w:tc>
          <w:tcPr>
            <w:tcW w:w="1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consideration</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800"/>
              <w:spacing w:after="0" w:line="148" w:lineRule="exact"/>
              <w:rPr>
                <w:sz w:val="20"/>
                <w:szCs w:val="20"/>
                <w:color w:val="auto"/>
              </w:rPr>
            </w:pPr>
            <w:r>
              <w:rPr>
                <w:rFonts w:ascii="Arial" w:cs="Arial" w:eastAsia="Arial" w:hAnsi="Arial"/>
                <w:sz w:val="17"/>
                <w:szCs w:val="17"/>
                <w:b w:val="1"/>
                <w:bCs w:val="1"/>
                <w:color w:val="auto"/>
                <w:w w:val="93"/>
              </w:rPr>
              <w:t>Total liabilities</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77,720</w:t>
            </w:r>
          </w:p>
        </w:tc>
        <w:tc>
          <w:tcPr>
            <w:tcW w:w="80" w:type="dxa"/>
            <w:vAlign w:val="bottom"/>
          </w:tcPr>
          <w:p>
            <w:pPr>
              <w:spacing w:after="0"/>
              <w:rPr>
                <w:sz w:val="12"/>
                <w:szCs w:val="12"/>
                <w:color w:val="auto"/>
              </w:rPr>
            </w:pPr>
          </w:p>
        </w:tc>
        <w:tc>
          <w:tcPr>
            <w:tcW w:w="106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2060" w:type="dxa"/>
            <w:vAlign w:val="bottom"/>
            <w:gridSpan w:val="3"/>
            <w:vMerge w:val="restart"/>
          </w:tcPr>
          <w:p>
            <w:pPr>
              <w:jc w:val="right"/>
              <w:ind w:right="940"/>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77,720</w:t>
            </w:r>
          </w:p>
        </w:tc>
        <w:tc>
          <w:tcPr>
            <w:tcW w:w="0" w:type="dxa"/>
            <w:vAlign w:val="bottom"/>
          </w:tcPr>
          <w:p>
            <w:pPr>
              <w:spacing w:after="0"/>
              <w:rPr>
                <w:sz w:val="1"/>
                <w:szCs w:val="1"/>
                <w:color w:val="auto"/>
              </w:rPr>
            </w:pPr>
          </w:p>
        </w:tc>
      </w:tr>
      <w:tr>
        <w:trPr>
          <w:trHeight w:val="193"/>
        </w:trPr>
        <w:tc>
          <w:tcPr>
            <w:tcW w:w="192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at fair value</w:t>
            </w:r>
          </w:p>
        </w:tc>
        <w:tc>
          <w:tcPr>
            <w:tcW w:w="9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658"/>
              <w:spacing w:after="0"/>
              <w:rPr>
                <w:sz w:val="20"/>
                <w:szCs w:val="20"/>
                <w:color w:val="auto"/>
              </w:rPr>
            </w:pPr>
            <w:r>
              <w:rPr>
                <w:rFonts w:ascii="Arial" w:cs="Arial" w:eastAsia="Arial" w:hAnsi="Arial"/>
                <w:sz w:val="14"/>
                <w:szCs w:val="14"/>
                <w:b w:val="1"/>
                <w:bCs w:val="1"/>
                <w:color w:val="auto"/>
                <w:w w:val="88"/>
              </w:rPr>
              <w:t>Fair Value Measurements at December 31, 2020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98"/>
              </w:rPr>
              <w:t>Total Fair Value at</w:t>
            </w:r>
          </w:p>
        </w:tc>
        <w:tc>
          <w:tcPr>
            <w:tcW w:w="340" w:type="dxa"/>
            <w:vAlign w:val="bottom"/>
          </w:tcPr>
          <w:p>
            <w:pPr>
              <w:spacing w:after="0"/>
              <w:rPr>
                <w:sz w:val="10"/>
                <w:szCs w:val="10"/>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0"/>
                <w:szCs w:val="10"/>
                <w:color w:val="auto"/>
              </w:rPr>
            </w:pP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Level 2</w:t>
            </w:r>
          </w:p>
        </w:tc>
        <w:tc>
          <w:tcPr>
            <w:tcW w:w="540" w:type="dxa"/>
            <w:vAlign w:val="bottom"/>
          </w:tcPr>
          <w:p>
            <w:pPr>
              <w:spacing w:after="0"/>
              <w:rPr>
                <w:sz w:val="10"/>
                <w:szCs w:val="10"/>
                <w:color w:val="auto"/>
              </w:rPr>
            </w:pPr>
          </w:p>
        </w:tc>
        <w:tc>
          <w:tcPr>
            <w:tcW w:w="106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0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0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70,090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70,090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Marketable securities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Pr>
          <w:p>
            <w:pPr>
              <w:ind w:left="32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133,893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133,893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 term marketable securities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Pr>
          <w:p>
            <w:pPr>
              <w:ind w:left="32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350,359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350,103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noncurrent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Marketable securities - restricted (SERP)</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773,439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76,700</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Total liabilities at fair value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76,700</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76,700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Financial Instruments</w:t>
      </w:r>
    </w:p>
    <w:p>
      <w:pPr>
        <w:spacing w:after="0" w:line="243"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carrying amounts of other financial instruments, including accounts receivable, accounts payable, and accrued expenses, approximate fair value due to their short-term maturities.</w:t>
      </w:r>
    </w:p>
    <w:p>
      <w:pPr>
        <w:spacing w:after="0" w:line="190"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 xml:space="preserve">The Company records its convertible debt at carrying value. The fair value of the outstanding convertible debt is based on actual trading information as well as quoted prices, both provided by bond traders. Refer to Note 8, </w:t>
      </w:r>
      <w:r>
        <w:rPr>
          <w:rFonts w:ascii="Arial" w:cs="Arial" w:eastAsia="Arial" w:hAnsi="Arial"/>
          <w:sz w:val="17"/>
          <w:szCs w:val="17"/>
          <w:i w:val="1"/>
          <w:iCs w:val="1"/>
          <w:color w:val="auto"/>
        </w:rPr>
        <w:t>Convertible Senior Notes Due 2023</w:t>
      </w:r>
      <w:r>
        <w:rPr>
          <w:rFonts w:ascii="Arial" w:cs="Arial" w:eastAsia="Arial" w:hAnsi="Arial"/>
          <w:sz w:val="17"/>
          <w:szCs w:val="17"/>
          <w:color w:val="auto"/>
        </w:rPr>
        <w:t>.</w:t>
      </w:r>
    </w:p>
    <w:p>
      <w:pPr>
        <w:spacing w:after="0" w:line="190"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 xml:space="preserve">The Company also had an investment in Navitor LLC, a privately held company, which it classifies as Level 3 as it does not have a readily determinable fair value. In the first quarter of 2021, the $15 million investment in Navitor LLC was expensed. Refer to Note 5, </w:t>
      </w:r>
      <w:r>
        <w:rPr>
          <w:rFonts w:ascii="Arial" w:cs="Arial" w:eastAsia="Arial" w:hAnsi="Arial"/>
          <w:sz w:val="17"/>
          <w:szCs w:val="17"/>
          <w:i w:val="1"/>
          <w:iCs w:val="1"/>
          <w:color w:val="auto"/>
        </w:rPr>
        <w:t>Investments</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w:t>
      </w:r>
    </w:p>
    <w:p>
      <w:pPr>
        <w:spacing w:after="0" w:line="191"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The contingent consideration liabilities are measured at fair value on a recurring basis, using the same methodology as of the acquisition date; i.e., the Monte Carlo simulation for the sales-based milestones, and the income approach for the other milestones.</w:t>
      </w:r>
    </w:p>
    <w:p>
      <w:pPr>
        <w:spacing w:after="0" w:line="126"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The following table provides a reconciliation of the beginning and ending balances related to the contingent consideration for the USWM Acquisition (dollars in thousands):</w:t>
      </w:r>
    </w:p>
    <w:p>
      <w:pPr>
        <w:spacing w:after="0" w:line="150" w:lineRule="exact"/>
        <w:rPr>
          <w:sz w:val="20"/>
          <w:szCs w:val="20"/>
          <w:color w:val="auto"/>
        </w:rPr>
      </w:pPr>
    </w:p>
    <w:p>
      <w:pPr>
        <w:ind w:left="10760"/>
        <w:spacing w:after="0"/>
        <w:rPr>
          <w:sz w:val="20"/>
          <w:szCs w:val="20"/>
          <w:color w:val="auto"/>
        </w:rPr>
      </w:pPr>
      <w:r>
        <w:rPr>
          <w:rFonts w:ascii="Arial" w:cs="Arial" w:eastAsia="Arial" w:hAnsi="Arial"/>
          <w:sz w:val="13"/>
          <w:szCs w:val="13"/>
          <w:b w:val="1"/>
          <w:bCs w:val="1"/>
          <w:color w:val="auto"/>
        </w:rPr>
        <w:t>March 31</w:t>
      </w:r>
    </w:p>
    <w:p>
      <w:pPr>
        <w:ind w:left="106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6125210</wp:posOffset>
            </wp:positionH>
            <wp:positionV relativeFrom="paragraph">
              <wp:posOffset>8255</wp:posOffset>
            </wp:positionV>
            <wp:extent cx="1075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(unaudited</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9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Balance at December 31, 2020</w:t>
            </w:r>
          </w:p>
        </w:tc>
        <w:tc>
          <w:tcPr>
            <w:tcW w:w="17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r>
      <w:tr>
        <w:trPr>
          <w:trHeight w:val="218"/>
        </w:trPr>
        <w:tc>
          <w:tcPr>
            <w:tcW w:w="90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Change in fair value recognized in earnings</w:t>
            </w:r>
          </w:p>
        </w:tc>
        <w:tc>
          <w:tcPr>
            <w:tcW w:w="1700" w:type="dxa"/>
            <w:vAlign w:val="bottom"/>
            <w:tcBorders>
              <w:bottom w:val="single" w:sz="8" w:color="auto"/>
            </w:tcBorders>
          </w:tcPr>
          <w:p>
            <w:pPr>
              <w:spacing w:after="0"/>
              <w:rPr>
                <w:sz w:val="18"/>
                <w:szCs w:val="18"/>
                <w:color w:val="auto"/>
              </w:rPr>
            </w:pPr>
          </w:p>
        </w:tc>
      </w:tr>
      <w:tr>
        <w:trPr>
          <w:trHeight w:val="237"/>
        </w:trPr>
        <w:tc>
          <w:tcPr>
            <w:tcW w:w="9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Balance at March 31, 2021</w:t>
            </w:r>
          </w:p>
        </w:tc>
        <w:tc>
          <w:tcPr>
            <w:tcW w:w="17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Goodwill and Intangible Assets, Net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the gross carrying amounts and related accumulated amortization of intangibles assets and goodwill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0" w:type="dxa"/>
            <w:vAlign w:val="bottom"/>
          </w:tcPr>
          <w:p>
            <w:pPr>
              <w:ind w:left="840"/>
              <w:spacing w:after="0"/>
              <w:rPr>
                <w:sz w:val="20"/>
                <w:szCs w:val="20"/>
                <w:color w:val="auto"/>
              </w:rPr>
            </w:pPr>
            <w:r>
              <w:rPr>
                <w:rFonts w:ascii="Arial" w:cs="Arial" w:eastAsia="Arial" w:hAnsi="Arial"/>
                <w:sz w:val="14"/>
                <w:szCs w:val="14"/>
                <w:b w:val="1"/>
                <w:bCs w:val="1"/>
                <w:color w:val="auto"/>
              </w:rPr>
              <w:t>Remaining</w:t>
            </w:r>
          </w:p>
        </w:tc>
        <w:tc>
          <w:tcPr>
            <w:tcW w:w="840" w:type="dxa"/>
            <w:vAlign w:val="bottom"/>
          </w:tcPr>
          <w:p>
            <w:pPr>
              <w:spacing w:after="0"/>
              <w:rPr>
                <w:sz w:val="14"/>
                <w:szCs w:val="14"/>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4"/>
                <w:szCs w:val="14"/>
                <w:color w:val="auto"/>
              </w:rPr>
            </w:pPr>
          </w:p>
        </w:tc>
        <w:tc>
          <w:tcPr>
            <w:tcW w:w="134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80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1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0"/>
              </w:rPr>
              <w:t>Average Life (Years)</w:t>
            </w: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Goodwill</w:t>
            </w:r>
          </w:p>
        </w:tc>
        <w:tc>
          <w:tcPr>
            <w:tcW w:w="18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77,911</w:t>
            </w:r>
          </w:p>
        </w:tc>
        <w:tc>
          <w:tcPr>
            <w:tcW w:w="0" w:type="dxa"/>
            <w:vAlign w:val="bottom"/>
          </w:tcPr>
          <w:p>
            <w:pPr>
              <w:spacing w:after="0"/>
              <w:rPr>
                <w:sz w:val="1"/>
                <w:szCs w:val="1"/>
                <w:color w:val="auto"/>
              </w:rPr>
            </w:pPr>
          </w:p>
        </w:tc>
      </w:tr>
      <w:tr>
        <w:trPr>
          <w:trHeight w:val="218"/>
        </w:trPr>
        <w:tc>
          <w:tcPr>
            <w:tcW w:w="4980" w:type="dxa"/>
            <w:vAlign w:val="bottom"/>
          </w:tcPr>
          <w:p>
            <w:pPr>
              <w:ind w:left="640"/>
              <w:spacing w:after="0"/>
              <w:rPr>
                <w:sz w:val="20"/>
                <w:szCs w:val="20"/>
                <w:color w:val="auto"/>
              </w:rPr>
            </w:pPr>
            <w:r>
              <w:rPr>
                <w:rFonts w:ascii="Arial" w:cs="Arial" w:eastAsia="Arial" w:hAnsi="Arial"/>
                <w:sz w:val="17"/>
                <w:szCs w:val="17"/>
                <w:color w:val="auto"/>
              </w:rPr>
              <w:t>Intangible assets:</w:t>
            </w: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Acquired IPR&amp;D</w:t>
            </w:r>
          </w:p>
        </w:tc>
        <w:tc>
          <w:tcPr>
            <w:tcW w:w="18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123,000</w:t>
            </w:r>
          </w:p>
        </w:tc>
        <w:tc>
          <w:tcPr>
            <w:tcW w:w="0" w:type="dxa"/>
            <w:vAlign w:val="bottom"/>
          </w:tcPr>
          <w:p>
            <w:pPr>
              <w:spacing w:after="0"/>
              <w:rPr>
                <w:sz w:val="1"/>
                <w:szCs w:val="1"/>
                <w:color w:val="auto"/>
              </w:rPr>
            </w:pPr>
          </w:p>
        </w:tc>
      </w:tr>
      <w:tr>
        <w:trPr>
          <w:trHeight w:val="218"/>
        </w:trPr>
        <w:tc>
          <w:tcPr>
            <w:tcW w:w="4980" w:type="dxa"/>
            <w:vAlign w:val="bottom"/>
          </w:tcPr>
          <w:p>
            <w:pPr>
              <w:ind w:left="740"/>
              <w:spacing w:after="0"/>
              <w:rPr>
                <w:sz w:val="20"/>
                <w:szCs w:val="20"/>
                <w:color w:val="auto"/>
              </w:rPr>
            </w:pPr>
            <w:r>
              <w:rPr>
                <w:rFonts w:ascii="Arial" w:cs="Arial" w:eastAsia="Arial" w:hAnsi="Arial"/>
                <w:sz w:val="17"/>
                <w:szCs w:val="17"/>
                <w:color w:val="auto"/>
              </w:rPr>
              <w:t>Definite-lived intangible assets</w:t>
            </w: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Acquired developed technology and product rights</w:t>
            </w:r>
          </w:p>
        </w:tc>
        <w:tc>
          <w:tcPr>
            <w:tcW w:w="1800" w:type="dxa"/>
            <w:vAlign w:val="bottom"/>
            <w:shd w:val="clear" w:color="auto" w:fill="CCEEFF"/>
          </w:tcPr>
          <w:p>
            <w:pPr>
              <w:jc w:val="right"/>
              <w:ind w:right="144"/>
              <w:spacing w:after="0"/>
              <w:rPr>
                <w:sz w:val="20"/>
                <w:szCs w:val="20"/>
                <w:color w:val="auto"/>
              </w:rPr>
            </w:pPr>
            <w:r>
              <w:rPr>
                <w:rFonts w:ascii="Arial" w:cs="Arial" w:eastAsia="Arial" w:hAnsi="Arial"/>
                <w:sz w:val="17"/>
                <w:szCs w:val="17"/>
                <w:color w:val="auto"/>
              </w:rPr>
              <w:t>9.75 - 11.75</w:t>
            </w: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0" w:type="dxa"/>
            <w:vAlign w:val="bottom"/>
          </w:tcPr>
          <w:p>
            <w:pPr>
              <w:spacing w:after="0"/>
              <w:rPr>
                <w:sz w:val="1"/>
                <w:szCs w:val="1"/>
                <w:color w:val="auto"/>
              </w:rPr>
            </w:pPr>
          </w:p>
        </w:tc>
      </w:tr>
      <w:tr>
        <w:trPr>
          <w:trHeight w:val="218"/>
        </w:trPr>
        <w:tc>
          <w:tcPr>
            <w:tcW w:w="4980" w:type="dxa"/>
            <w:vAlign w:val="bottom"/>
          </w:tcPr>
          <w:p>
            <w:pPr>
              <w:ind w:left="840"/>
              <w:spacing w:after="0"/>
              <w:rPr>
                <w:sz w:val="20"/>
                <w:szCs w:val="20"/>
                <w:color w:val="auto"/>
              </w:rPr>
            </w:pPr>
            <w:r>
              <w:rPr>
                <w:rFonts w:ascii="Arial" w:cs="Arial" w:eastAsia="Arial" w:hAnsi="Arial"/>
                <w:sz w:val="17"/>
                <w:szCs w:val="17"/>
                <w:color w:val="auto"/>
              </w:rPr>
              <w:t>Capitalized patent defense costs</w:t>
            </w:r>
          </w:p>
        </w:tc>
        <w:tc>
          <w:tcPr>
            <w:tcW w:w="1800" w:type="dxa"/>
            <w:vAlign w:val="bottom"/>
          </w:tcPr>
          <w:p>
            <w:pPr>
              <w:jc w:val="right"/>
              <w:ind w:right="184"/>
              <w:spacing w:after="0"/>
              <w:rPr>
                <w:sz w:val="20"/>
                <w:szCs w:val="20"/>
                <w:color w:val="auto"/>
              </w:rPr>
            </w:pPr>
            <w:r>
              <w:rPr>
                <w:rFonts w:ascii="Arial" w:cs="Arial" w:eastAsia="Arial" w:hAnsi="Arial"/>
                <w:sz w:val="17"/>
                <w:szCs w:val="17"/>
                <w:color w:val="auto"/>
              </w:rPr>
              <w:t>1.75 - 6.00</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43,980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43,579</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Less accumulated amortization</w:t>
            </w:r>
          </w:p>
        </w:tc>
        <w:tc>
          <w:tcPr>
            <w:tcW w:w="18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(40,244)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(34,237)</w:t>
            </w:r>
          </w:p>
        </w:tc>
        <w:tc>
          <w:tcPr>
            <w:tcW w:w="0" w:type="dxa"/>
            <w:vAlign w:val="bottom"/>
          </w:tcPr>
          <w:p>
            <w:pPr>
              <w:spacing w:after="0"/>
              <w:rPr>
                <w:sz w:val="1"/>
                <w:szCs w:val="1"/>
                <w:color w:val="auto"/>
              </w:rPr>
            </w:pPr>
          </w:p>
        </w:tc>
      </w:tr>
      <w:tr>
        <w:trPr>
          <w:trHeight w:val="211"/>
        </w:trPr>
        <w:tc>
          <w:tcPr>
            <w:tcW w:w="4980" w:type="dxa"/>
            <w:vAlign w:val="bottom"/>
          </w:tcPr>
          <w:p>
            <w:pPr>
              <w:ind w:left="640"/>
              <w:spacing w:after="0"/>
              <w:rPr>
                <w:sz w:val="20"/>
                <w:szCs w:val="20"/>
                <w:color w:val="auto"/>
              </w:rPr>
            </w:pPr>
            <w:r>
              <w:rPr>
                <w:rFonts w:ascii="Arial" w:cs="Arial" w:eastAsia="Arial" w:hAnsi="Arial"/>
                <w:sz w:val="17"/>
                <w:szCs w:val="17"/>
                <w:color w:val="auto"/>
              </w:rPr>
              <w:t>Total intangible assets, net</w:t>
            </w:r>
          </w:p>
        </w:tc>
        <w:tc>
          <w:tcPr>
            <w:tcW w:w="1800" w:type="dxa"/>
            <w:vAlign w:val="bottom"/>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358,736</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364,342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Patent defense costs, which are deferred legal fees incurred in conjunction with defending patents for Oxtellar XR and Trokendi XR. U.S. patents covering Oxtellar XR and Trokendi XR will expire no earlier than 2027. As regards Trokendi XR, the Company entered into settlement agreements that allow third parties to enter the market by January 1, 2023, or earlier under certain circumstances.</w:t>
      </w:r>
    </w:p>
    <w:p>
      <w:pPr>
        <w:spacing w:after="0" w:line="201" w:lineRule="exact"/>
        <w:rPr>
          <w:sz w:val="20"/>
          <w:szCs w:val="20"/>
          <w:color w:val="auto"/>
        </w:rPr>
      </w:pPr>
    </w:p>
    <w:p>
      <w:pPr>
        <w:ind w:right="20" w:firstLine="619"/>
        <w:spacing w:after="0" w:line="312" w:lineRule="auto"/>
        <w:rPr>
          <w:sz w:val="20"/>
          <w:szCs w:val="20"/>
          <w:color w:val="auto"/>
        </w:rPr>
      </w:pPr>
      <w:r>
        <w:rPr>
          <w:rFonts w:ascii="Arial" w:cs="Arial" w:eastAsia="Arial" w:hAnsi="Arial"/>
          <w:sz w:val="16"/>
          <w:szCs w:val="16"/>
          <w:color w:val="auto"/>
        </w:rPr>
        <w:t>Amortization expense for intangible assets was approximately $6.0 million and $1.3 million, for the three month periods ended March 31, 2021 and 2020, respectively. The increase in expense is due to amortization of the acquired developed technology and product rights from the USWM Acquisition.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2021, there were no identified indicators of impairment.</w:t>
      </w:r>
    </w:p>
    <w:p>
      <w:pPr>
        <w:spacing w:after="0" w:line="200" w:lineRule="exact"/>
        <w:rPr>
          <w:sz w:val="20"/>
          <w:szCs w:val="20"/>
          <w:color w:val="auto"/>
        </w:rPr>
      </w:pPr>
    </w:p>
    <w:p>
      <w:pPr>
        <w:spacing w:after="0" w:line="20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Convertible Senior Notes Due 2023</w:t>
      </w:r>
    </w:p>
    <w:p>
      <w:pPr>
        <w:spacing w:after="0" w:line="197"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w:t>
      </w:r>
    </w:p>
    <w:p>
      <w:pPr>
        <w:spacing w:after="0" w:line="119"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39" w:lineRule="exact"/>
        <w:rPr>
          <w:sz w:val="20"/>
          <w:szCs w:val="20"/>
          <w:color w:val="auto"/>
        </w:rPr>
      </w:pPr>
    </w:p>
    <w:p>
      <w:pPr>
        <w:ind w:right="180" w:firstLine="619"/>
        <w:spacing w:after="0" w:line="295" w:lineRule="auto"/>
        <w:rPr>
          <w:sz w:val="20"/>
          <w:szCs w:val="20"/>
          <w:color w:val="auto"/>
        </w:rPr>
      </w:pPr>
      <w:r>
        <w:rPr>
          <w:rFonts w:ascii="Arial" w:cs="Arial" w:eastAsia="Arial" w:hAnsi="Arial"/>
          <w:sz w:val="15"/>
          <w:szCs w:val="15"/>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135"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of conversion, if converted in cash, the holders would forgo all future interest payments, any unpaid accrued interest, and the possibility of further stock price appreciation.</w:t>
      </w:r>
    </w:p>
    <w:p>
      <w:pPr>
        <w:spacing w:after="0" w:line="139" w:lineRule="exact"/>
        <w:rPr>
          <w:sz w:val="20"/>
          <w:szCs w:val="20"/>
          <w:color w:val="auto"/>
        </w:rPr>
      </w:pPr>
    </w:p>
    <w:p>
      <w:pPr>
        <w:jc w:val="both"/>
        <w:ind w:right="160" w:firstLine="619"/>
        <w:spacing w:after="0" w:line="290"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19"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30"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152" w:lineRule="exact"/>
        <w:rPr>
          <w:sz w:val="20"/>
          <w:szCs w:val="20"/>
          <w:color w:val="auto"/>
        </w:rPr>
      </w:pPr>
    </w:p>
    <w:p>
      <w:pPr>
        <w:ind w:right="100" w:firstLine="619"/>
        <w:spacing w:after="0" w:line="349" w:lineRule="auto"/>
        <w:rPr>
          <w:sz w:val="20"/>
          <w:szCs w:val="20"/>
          <w:color w:val="auto"/>
        </w:rPr>
      </w:pPr>
      <w:r>
        <w:rPr>
          <w:rFonts w:ascii="Arial" w:cs="Arial" w:eastAsia="Arial" w:hAnsi="Arial"/>
          <w:sz w:val="15"/>
          <w:szCs w:val="15"/>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78"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liability component of the 2023 Notes consists of the following,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67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r>
      <w:tr>
        <w:trPr>
          <w:trHeight w:val="173"/>
        </w:trPr>
        <w:tc>
          <w:tcPr>
            <w:tcW w:w="6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0"/>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2023 Notes</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402,500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7"/>
              </w:rPr>
              <w:t>402,500</w:t>
            </w:r>
          </w:p>
        </w:tc>
      </w:tr>
      <w:tr>
        <w:trPr>
          <w:trHeight w:val="218"/>
        </w:trPr>
        <w:tc>
          <w:tcPr>
            <w:tcW w:w="67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Unamortized debt discount and deferred financing costs</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94"/>
              </w:rPr>
              <w:t>(36,462)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91"/>
              </w:rPr>
              <w:t>(40,749)</w:t>
            </w:r>
          </w:p>
        </w:tc>
      </w:tr>
      <w:tr>
        <w:trPr>
          <w:trHeight w:val="237"/>
        </w:trPr>
        <w:tc>
          <w:tcPr>
            <w:tcW w:w="6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carrying value</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366,038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w w:val="97"/>
              </w:rPr>
              <w:t>361,751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6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(Level 2)</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389,922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7"/>
              </w:rPr>
              <w:t>383,381</w:t>
            </w:r>
          </w:p>
        </w:tc>
      </w:tr>
      <w:tr>
        <w:trPr>
          <w:trHeight w:val="463"/>
        </w:trPr>
        <w:tc>
          <w:tcPr>
            <w:tcW w:w="6760" w:type="dxa"/>
            <w:vAlign w:val="bottom"/>
          </w:tcPr>
          <w:p>
            <w:pPr>
              <w:ind w:left="620"/>
              <w:spacing w:after="0"/>
              <w:rPr>
                <w:sz w:val="20"/>
                <w:szCs w:val="20"/>
                <w:color w:val="auto"/>
              </w:rPr>
            </w:pPr>
            <w:r>
              <w:rPr>
                <w:rFonts w:ascii="Arial" w:cs="Arial" w:eastAsia="Arial" w:hAnsi="Arial"/>
                <w:sz w:val="17"/>
                <w:szCs w:val="17"/>
                <w:color w:val="auto"/>
              </w:rPr>
              <w:t>No 2023 Notes were converted as of March 31, 2021 or December 31, 2020.</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6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Share-Based Payments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Share-based compensation expense is as follows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Research and development</w:t>
            </w:r>
          </w:p>
        </w:tc>
        <w:tc>
          <w:tcPr>
            <w:tcW w:w="4160" w:type="dxa"/>
            <w:vAlign w:val="bottom"/>
            <w:gridSpan w:val="2"/>
            <w:shd w:val="clear" w:color="auto" w:fill="CCEEFF"/>
          </w:tcPr>
          <w:p>
            <w:pPr>
              <w:jc w:val="right"/>
              <w:ind w:right="83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18"/>
        </w:trPr>
        <w:tc>
          <w:tcPr>
            <w:tcW w:w="42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Selling, general and administrative</w:t>
            </w:r>
          </w:p>
        </w:tc>
        <w:tc>
          <w:tcPr>
            <w:tcW w:w="254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3,307</w:t>
            </w: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4160" w:type="dxa"/>
            <w:vAlign w:val="bottom"/>
            <w:gridSpan w:val="2"/>
            <w:shd w:val="clear" w:color="auto" w:fill="CCEEFF"/>
          </w:tcPr>
          <w:p>
            <w:pPr>
              <w:jc w:val="right"/>
              <w:ind w:right="83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034"/>
              <w:spacing w:after="0"/>
              <w:rPr>
                <w:sz w:val="20"/>
                <w:szCs w:val="20"/>
                <w:color w:val="auto"/>
              </w:rPr>
            </w:pPr>
            <w:r>
              <w:rPr>
                <w:rFonts w:ascii="Arial" w:cs="Arial" w:eastAsia="Arial" w:hAnsi="Arial"/>
                <w:sz w:val="17"/>
                <w:szCs w:val="17"/>
                <w:color w:val="auto"/>
              </w:rPr>
              <w:t>19</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2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8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and Stock Appreciation Rights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 option and stock appreciation rights (SAR) activities: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Exercise Price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79"/>
        </w:trPr>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Options</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Term (in years)</w:t>
            </w:r>
          </w:p>
        </w:tc>
        <w:tc>
          <w:tcPr>
            <w:tcW w:w="0" w:type="dxa"/>
            <w:vAlign w:val="bottom"/>
          </w:tcPr>
          <w:p>
            <w:pPr>
              <w:spacing w:after="0"/>
              <w:rPr>
                <w:sz w:val="1"/>
                <w:szCs w:val="1"/>
                <w:color w:val="auto"/>
              </w:rPr>
            </w:pPr>
          </w:p>
        </w:tc>
      </w:tr>
      <w:tr>
        <w:trPr>
          <w:trHeight w:val="213"/>
        </w:trPr>
        <w:tc>
          <w:tcPr>
            <w:tcW w:w="2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91"/>
              </w:rPr>
              <w:t>Outstanding, December 31, 2020</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5,451,862</w:t>
            </w:r>
          </w:p>
        </w:tc>
        <w:tc>
          <w:tcPr>
            <w:tcW w:w="1100" w:type="dxa"/>
            <w:vAlign w:val="bottom"/>
            <w:gridSpan w:val="3"/>
            <w:shd w:val="clear" w:color="auto" w:fill="CCEEFF"/>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8"/>
        </w:trPr>
        <w:tc>
          <w:tcPr>
            <w:tcW w:w="2960" w:type="dxa"/>
            <w:vAlign w:val="bottom"/>
            <w:gridSpan w:val="2"/>
          </w:tcPr>
          <w:p>
            <w:pPr>
              <w:ind w:left="760"/>
              <w:spacing w:after="0"/>
              <w:rPr>
                <w:sz w:val="20"/>
                <w:szCs w:val="20"/>
                <w:color w:val="auto"/>
              </w:rPr>
            </w:pPr>
            <w:r>
              <w:rPr>
                <w:rFonts w:ascii="Arial" w:cs="Arial" w:eastAsia="Arial" w:hAnsi="Arial"/>
                <w:sz w:val="17"/>
                <w:szCs w:val="17"/>
                <w:color w:val="auto"/>
              </w:rPr>
              <w:t>Granted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789,275</w:t>
            </w:r>
          </w:p>
        </w:tc>
        <w:tc>
          <w:tcPr>
            <w:tcW w:w="1100" w:type="dxa"/>
            <w:vAlign w:val="bottom"/>
            <w:gridSpan w:val="3"/>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Exercised</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(99,600)</w:t>
            </w:r>
          </w:p>
        </w:tc>
        <w:tc>
          <w:tcPr>
            <w:tcW w:w="1100" w:type="dxa"/>
            <w:vAlign w:val="bottom"/>
            <w:gridSpan w:val="3"/>
            <w:shd w:val="clear" w:color="auto" w:fill="CCEEFF"/>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60" w:type="dxa"/>
            <w:vAlign w:val="bottom"/>
            <w:tcBorders>
              <w:bottom w:val="single" w:sz="8" w:color="CCEEFF"/>
            </w:tcBorders>
            <w:gridSpan w:val="2"/>
          </w:tcPr>
          <w:p>
            <w:pPr>
              <w:ind w:left="760"/>
              <w:spacing w:after="0"/>
              <w:rPr>
                <w:sz w:val="20"/>
                <w:szCs w:val="20"/>
                <w:color w:val="auto"/>
              </w:rPr>
            </w:pPr>
            <w:r>
              <w:rPr>
                <w:rFonts w:ascii="Arial" w:cs="Arial" w:eastAsia="Arial" w:hAnsi="Arial"/>
                <w:sz w:val="17"/>
                <w:szCs w:val="17"/>
                <w:color w:val="auto"/>
              </w:rPr>
              <w:t>Forfeited</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(117,313)</w:t>
            </w:r>
          </w:p>
        </w:tc>
        <w:tc>
          <w:tcPr>
            <w:tcW w:w="1100" w:type="dxa"/>
            <w:vAlign w:val="bottom"/>
            <w:tcBorders>
              <w:bottom w:val="single" w:sz="8" w:color="CCEEFF"/>
            </w:tcBorders>
            <w:gridSpan w:val="3"/>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32.13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7"/>
                <w:szCs w:val="17"/>
                <w:color w:val="auto"/>
              </w:rPr>
              <w:t>Outstanding, March 31, 2021 (unaudited)</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6,024,224</w:t>
            </w:r>
          </w:p>
        </w:tc>
        <w:tc>
          <w:tcPr>
            <w:tcW w:w="1100" w:type="dxa"/>
            <w:vAlign w:val="bottom"/>
            <w:tcBorders>
              <w:bottom w:val="single" w:sz="8" w:color="CCEEFF"/>
            </w:tcBorders>
            <w:gridSpan w:val="3"/>
            <w:shd w:val="clear" w:color="auto" w:fill="CCEEFF"/>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As of December 31, 2020:</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60" w:type="dxa"/>
            <w:vAlign w:val="bottom"/>
            <w:gridSpan w:val="2"/>
          </w:tcPr>
          <w:p>
            <w:pPr>
              <w:ind w:left="760"/>
              <w:spacing w:after="0"/>
              <w:rPr>
                <w:sz w:val="20"/>
                <w:szCs w:val="20"/>
                <w:color w:val="auto"/>
              </w:rPr>
            </w:pPr>
            <w:r>
              <w:rPr>
                <w:rFonts w:ascii="Arial" w:cs="Arial" w:eastAsia="Arial" w:hAnsi="Arial"/>
                <w:sz w:val="17"/>
                <w:szCs w:val="17"/>
                <w:color w:val="auto"/>
              </w:rPr>
              <w:t>Vested and expected to vest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5,451,862</w:t>
            </w:r>
          </w:p>
        </w:tc>
        <w:tc>
          <w:tcPr>
            <w:tcW w:w="1100" w:type="dxa"/>
            <w:vAlign w:val="bottom"/>
            <w:gridSpan w:val="3"/>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20"/>
        </w:trPr>
        <w:tc>
          <w:tcPr>
            <w:tcW w:w="29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Exercisable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3,218,771</w:t>
            </w:r>
          </w:p>
        </w:tc>
        <w:tc>
          <w:tcPr>
            <w:tcW w:w="1100" w:type="dxa"/>
            <w:vAlign w:val="bottom"/>
            <w:gridSpan w:val="3"/>
            <w:shd w:val="clear" w:color="auto" w:fill="CCEEFF"/>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As of March 31, 2021:</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60" w:type="dxa"/>
            <w:vAlign w:val="bottom"/>
            <w:gridSpan w:val="2"/>
          </w:tcPr>
          <w:p>
            <w:pPr>
              <w:ind w:left="760"/>
              <w:spacing w:after="0"/>
              <w:rPr>
                <w:sz w:val="20"/>
                <w:szCs w:val="20"/>
                <w:color w:val="auto"/>
              </w:rPr>
            </w:pPr>
            <w:r>
              <w:rPr>
                <w:rFonts w:ascii="Arial" w:cs="Arial" w:eastAsia="Arial" w:hAnsi="Arial"/>
                <w:sz w:val="17"/>
                <w:szCs w:val="17"/>
                <w:color w:val="auto"/>
              </w:rPr>
              <w:t>Vested and expected to vest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6,024,224</w:t>
            </w:r>
          </w:p>
        </w:tc>
        <w:tc>
          <w:tcPr>
            <w:tcW w:w="1100" w:type="dxa"/>
            <w:vAlign w:val="bottom"/>
            <w:gridSpan w:val="3"/>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20"/>
        </w:trPr>
        <w:tc>
          <w:tcPr>
            <w:tcW w:w="29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Exercisable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3,806,149</w:t>
            </w:r>
          </w:p>
        </w:tc>
        <w:tc>
          <w:tcPr>
            <w:tcW w:w="1100" w:type="dxa"/>
            <w:vAlign w:val="bottom"/>
            <w:gridSpan w:val="3"/>
            <w:shd w:val="clear" w:color="auto" w:fill="CCEEFF"/>
          </w:tcPr>
          <w:p>
            <w:pPr>
              <w:jc w:val="right"/>
              <w:ind w:right="21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527"/>
        </w:trPr>
        <w:tc>
          <w:tcPr>
            <w:tcW w:w="2960" w:type="dxa"/>
            <w:vAlign w:val="bottom"/>
            <w:gridSpan w:val="2"/>
          </w:tcPr>
          <w:p>
            <w:pPr>
              <w:spacing w:after="0"/>
              <w:rPr>
                <w:sz w:val="20"/>
                <w:szCs w:val="20"/>
                <w:color w:val="auto"/>
              </w:rPr>
            </w:pPr>
            <w:r>
              <w:rPr>
                <w:rFonts w:ascii="Arial" w:cs="Arial" w:eastAsia="Arial" w:hAnsi="Arial"/>
                <w:sz w:val="17"/>
                <w:szCs w:val="17"/>
                <w:i w:val="1"/>
                <w:iCs w:val="1"/>
                <w:color w:val="auto"/>
              </w:rPr>
              <w:t>Restricted Stock Units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680" w:type="dxa"/>
            <w:vAlign w:val="bottom"/>
            <w:gridSpan w:val="8"/>
          </w:tcPr>
          <w:p>
            <w:pPr>
              <w:ind w:left="620"/>
              <w:spacing w:after="0"/>
              <w:rPr>
                <w:sz w:val="20"/>
                <w:szCs w:val="20"/>
                <w:color w:val="auto"/>
              </w:rPr>
            </w:pPr>
            <w:r>
              <w:rPr>
                <w:rFonts w:ascii="Arial" w:cs="Arial" w:eastAsia="Arial" w:hAnsi="Arial"/>
                <w:sz w:val="17"/>
                <w:szCs w:val="17"/>
                <w:color w:val="auto"/>
                <w:w w:val="97"/>
              </w:rPr>
              <w:t>The following table summarizes restricted stock unit (RSU) activities: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5"/>
            <w:vMerge w:val="restart"/>
          </w:tcPr>
          <w:p>
            <w:pPr>
              <w:jc w:val="center"/>
              <w:ind w:right="520"/>
              <w:spacing w:after="0"/>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5"/>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Grant Date Fair Value per</w:t>
            </w:r>
          </w:p>
        </w:tc>
        <w:tc>
          <w:tcPr>
            <w:tcW w:w="0" w:type="dxa"/>
            <w:vAlign w:val="bottom"/>
          </w:tcPr>
          <w:p>
            <w:pPr>
              <w:spacing w:after="0"/>
              <w:rPr>
                <w:sz w:val="1"/>
                <w:szCs w:val="1"/>
                <w:color w:val="auto"/>
              </w:rPr>
            </w:pPr>
          </w:p>
        </w:tc>
      </w:tr>
      <w:tr>
        <w:trPr>
          <w:trHeight w:val="179"/>
        </w:trPr>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left="51"/>
              <w:spacing w:after="0"/>
              <w:rPr>
                <w:sz w:val="20"/>
                <w:szCs w:val="20"/>
                <w:color w:val="auto"/>
              </w:rPr>
            </w:pPr>
            <w:r>
              <w:rPr>
                <w:rFonts w:ascii="Arial" w:cs="Arial" w:eastAsia="Arial" w:hAnsi="Arial"/>
                <w:sz w:val="14"/>
                <w:szCs w:val="14"/>
                <w:b w:val="1"/>
                <w:bCs w:val="1"/>
                <w:color w:val="auto"/>
                <w:w w:val="85"/>
              </w:rPr>
              <w:t>RSUs</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December 31, 2020</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23.99</w:t>
            </w:r>
          </w:p>
        </w:tc>
        <w:tc>
          <w:tcPr>
            <w:tcW w:w="0" w:type="dxa"/>
            <w:vAlign w:val="bottom"/>
          </w:tcPr>
          <w:p>
            <w:pPr>
              <w:spacing w:after="0"/>
              <w:rPr>
                <w:sz w:val="1"/>
                <w:szCs w:val="1"/>
                <w:color w:val="auto"/>
              </w:rPr>
            </w:pPr>
          </w:p>
        </w:tc>
      </w:tr>
      <w:tr>
        <w:trPr>
          <w:trHeight w:val="218"/>
        </w:trPr>
        <w:tc>
          <w:tcPr>
            <w:tcW w:w="2960" w:type="dxa"/>
            <w:vAlign w:val="bottom"/>
            <w:gridSpan w:val="2"/>
          </w:tcPr>
          <w:p>
            <w:pPr>
              <w:ind w:left="120"/>
              <w:spacing w:after="0"/>
              <w:rPr>
                <w:sz w:val="20"/>
                <w:szCs w:val="20"/>
                <w:color w:val="auto"/>
              </w:rPr>
            </w:pPr>
            <w:r>
              <w:rPr>
                <w:rFonts w:ascii="Arial" w:cs="Arial" w:eastAsia="Arial" w:hAnsi="Arial"/>
                <w:sz w:val="17"/>
                <w:szCs w:val="17"/>
                <w:color w:val="auto"/>
              </w:rPr>
              <w:t>Granted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20"/>
        </w:trPr>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23.99</w:t>
            </w:r>
          </w:p>
        </w:tc>
        <w:tc>
          <w:tcPr>
            <w:tcW w:w="0" w:type="dxa"/>
            <w:vAlign w:val="bottom"/>
          </w:tcPr>
          <w:p>
            <w:pPr>
              <w:spacing w:after="0"/>
              <w:rPr>
                <w:sz w:val="1"/>
                <w:szCs w:val="1"/>
                <w:color w:val="auto"/>
              </w:rPr>
            </w:pPr>
          </w:p>
        </w:tc>
      </w:tr>
      <w:tr>
        <w:trPr>
          <w:trHeight w:val="218"/>
        </w:trPr>
        <w:tc>
          <w:tcPr>
            <w:tcW w:w="2960" w:type="dxa"/>
            <w:vAlign w:val="bottom"/>
            <w:gridSpan w:val="2"/>
          </w:tcPr>
          <w:p>
            <w:pPr>
              <w:ind w:left="120"/>
              <w:spacing w:after="0"/>
              <w:rPr>
                <w:sz w:val="20"/>
                <w:szCs w:val="20"/>
                <w:color w:val="auto"/>
              </w:rPr>
            </w:pPr>
            <w:r>
              <w:rPr>
                <w:rFonts w:ascii="Arial" w:cs="Arial" w:eastAsia="Arial" w:hAnsi="Arial"/>
                <w:sz w:val="17"/>
                <w:szCs w:val="17"/>
                <w:color w:val="auto"/>
              </w:rPr>
              <w:t>Forfeited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Nonvested, March 31, 2021</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i w:val="1"/>
                <w:iCs w:val="1"/>
                <w:color w:val="auto"/>
              </w:rPr>
              <w:t>Performance Share Units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96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80" w:type="dxa"/>
            <w:vAlign w:val="bottom"/>
            <w:gridSpan w:val="8"/>
          </w:tcPr>
          <w:p>
            <w:pPr>
              <w:ind w:left="620"/>
              <w:spacing w:after="0"/>
              <w:rPr>
                <w:sz w:val="20"/>
                <w:szCs w:val="20"/>
                <w:color w:val="auto"/>
              </w:rPr>
            </w:pPr>
            <w:r>
              <w:rPr>
                <w:rFonts w:ascii="Arial" w:cs="Arial" w:eastAsia="Arial" w:hAnsi="Arial"/>
                <w:sz w:val="17"/>
                <w:szCs w:val="17"/>
                <w:color w:val="auto"/>
                <w:w w:val="92"/>
              </w:rPr>
              <w:t>The following table summarizes performance share unit (PSU) activities: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ind w:left="480"/>
              <w:spacing w:after="0"/>
              <w:rPr>
                <w:sz w:val="20"/>
                <w:szCs w:val="20"/>
                <w:color w:val="auto"/>
              </w:rPr>
            </w:pPr>
            <w:r>
              <w:rPr>
                <w:rFonts w:ascii="Arial" w:cs="Arial" w:eastAsia="Arial" w:hAnsi="Arial"/>
                <w:sz w:val="14"/>
                <w:szCs w:val="14"/>
                <w:b w:val="1"/>
                <w:bCs w:val="1"/>
                <w:color w:val="auto"/>
              </w:rPr>
              <w:t>Performance-Based Units</w:t>
            </w:r>
          </w:p>
        </w:tc>
        <w:tc>
          <w:tcPr>
            <w:tcW w:w="2680" w:type="dxa"/>
            <w:vAlign w:val="bottom"/>
            <w:gridSpan w:val="6"/>
          </w:tcPr>
          <w:p>
            <w:pPr>
              <w:ind w:left="720"/>
              <w:spacing w:after="0"/>
              <w:rPr>
                <w:sz w:val="20"/>
                <w:szCs w:val="20"/>
                <w:color w:val="auto"/>
              </w:rPr>
            </w:pPr>
            <w:r>
              <w:rPr>
                <w:rFonts w:ascii="Arial" w:cs="Arial" w:eastAsia="Arial" w:hAnsi="Arial"/>
                <w:sz w:val="14"/>
                <w:szCs w:val="14"/>
                <w:b w:val="1"/>
                <w:bCs w:val="1"/>
                <w:color w:val="auto"/>
              </w:rPr>
              <w:t>Market-Based Units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gridSpan w:val="9"/>
          </w:tcPr>
          <w:p>
            <w:pPr>
              <w:jc w:val="right"/>
              <w:ind w:right="1100"/>
              <w:spacing w:after="0"/>
              <w:rPr>
                <w:sz w:val="20"/>
                <w:szCs w:val="20"/>
                <w:color w:val="auto"/>
              </w:rPr>
            </w:pPr>
            <w:r>
              <w:rPr>
                <w:rFonts w:ascii="Arial" w:cs="Arial" w:eastAsia="Arial" w:hAnsi="Arial"/>
                <w:sz w:val="14"/>
                <w:szCs w:val="14"/>
                <w:b w:val="1"/>
                <w:bCs w:val="1"/>
                <w:color w:val="auto"/>
              </w:rPr>
              <w:t>Total PSUs</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4"/>
              <w:spacing w:after="0" w:line="128"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51"/>
              <w:spacing w:after="0" w:line="128"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1"/>
              <w:spacing w:after="0" w:line="128"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51"/>
              <w:spacing w:after="0" w:line="12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0"/>
              </w:rPr>
              <w:t>Number of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Grant Date Fair</w:t>
            </w:r>
          </w:p>
        </w:tc>
        <w:tc>
          <w:tcPr>
            <w:tcW w:w="1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 of PSUs</w:t>
            </w:r>
          </w:p>
        </w:tc>
        <w:tc>
          <w:tcPr>
            <w:tcW w:w="80" w:type="dxa"/>
            <w:vAlign w:val="bottom"/>
          </w:tcPr>
          <w:p>
            <w:pPr>
              <w:spacing w:after="0"/>
              <w:rPr>
                <w:sz w:val="11"/>
                <w:szCs w:val="11"/>
                <w:color w:val="auto"/>
              </w:rPr>
            </w:pPr>
          </w:p>
        </w:tc>
        <w:tc>
          <w:tcPr>
            <w:tcW w:w="13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Grant Date Fair</w:t>
            </w:r>
          </w:p>
        </w:tc>
        <w:tc>
          <w:tcPr>
            <w:tcW w:w="80" w:type="dxa"/>
            <w:vAlign w:val="bottom"/>
          </w:tcPr>
          <w:p>
            <w:pPr>
              <w:spacing w:after="0"/>
              <w:rPr>
                <w:sz w:val="11"/>
                <w:szCs w:val="11"/>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0"/>
              </w:rPr>
              <w:t>Number of PSUs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79"/>
        </w:trPr>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8"/>
              </w:rPr>
              <w:t>Value per Share</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Value per Share</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Value 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December 31, 2020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9"/>
              </w:rPr>
              <w:t>15,625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23.41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15,625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Granted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80,000</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29.61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99"/>
              </w:rPr>
              <w:t>20,000</w:t>
            </w:r>
          </w:p>
        </w:tc>
        <w:tc>
          <w:tcPr>
            <w:tcW w:w="300" w:type="dxa"/>
            <w:vAlign w:val="bottom"/>
            <w:tcBorders>
              <w:bottom w:val="single" w:sz="8" w:color="CCEEFF"/>
            </w:tcBorders>
            <w:gridSpan w:val="2"/>
          </w:tcPr>
          <w:p>
            <w:pPr>
              <w:jc w:val="right"/>
              <w:ind w:right="51"/>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3"/>
          </w:tcPr>
          <w:p>
            <w:pPr>
              <w:jc w:val="right"/>
              <w:ind w:right="11"/>
              <w:spacing w:after="0"/>
              <w:rPr>
                <w:sz w:val="20"/>
                <w:szCs w:val="20"/>
                <w:color w:val="auto"/>
              </w:rPr>
            </w:pPr>
            <w:r>
              <w:rPr>
                <w:rFonts w:ascii="Arial" w:cs="Arial" w:eastAsia="Arial" w:hAnsi="Arial"/>
                <w:sz w:val="17"/>
                <w:szCs w:val="17"/>
                <w:color w:val="auto"/>
              </w:rPr>
              <w:t>28.63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March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2"/>
              </w:rPr>
              <w:t>35,625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26.34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115,625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vested and forfeited PSU awards during the three months ended March 31,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Earnings per Share</w:t>
      </w:r>
    </w:p>
    <w:p>
      <w:pPr>
        <w:spacing w:after="0" w:line="249" w:lineRule="exact"/>
        <w:rPr>
          <w:sz w:val="20"/>
          <w:szCs w:val="20"/>
          <w:color w:val="auto"/>
        </w:rPr>
      </w:pPr>
    </w:p>
    <w:p>
      <w:pPr>
        <w:ind w:right="440" w:firstLine="619"/>
        <w:spacing w:after="0" w:line="250"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employee stock purchase plan (ESPP) awards, and the 2023 Notes, as determined per the treasury stock method.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Convertible Notes and Related Convertible Note Hedges and Warrants</w:t>
      </w:r>
    </w:p>
    <w:p>
      <w:pPr>
        <w:spacing w:after="0" w:line="243" w:lineRule="exact"/>
        <w:rPr>
          <w:sz w:val="20"/>
          <w:szCs w:val="20"/>
          <w:color w:val="auto"/>
        </w:rPr>
      </w:pPr>
    </w:p>
    <w:p>
      <w:pPr>
        <w:ind w:right="80" w:firstLine="619"/>
        <w:spacing w:after="0" w:line="246" w:lineRule="auto"/>
        <w:rPr>
          <w:sz w:val="20"/>
          <w:szCs w:val="20"/>
          <w:color w:val="auto"/>
        </w:rPr>
      </w:pPr>
      <w:r>
        <w:rPr>
          <w:rFonts w:ascii="Arial" w:cs="Arial" w:eastAsia="Arial" w:hAnsi="Arial"/>
          <w:sz w:val="17"/>
          <w:szCs w:val="17"/>
          <w:color w:val="auto"/>
        </w:rPr>
        <w:t xml:space="preserve">In connection with the issuance of the 2023 Notes, the Company entered into Convertible Note Hedge and Warrant Transactions as described further in Note 8, </w:t>
      </w:r>
      <w:r>
        <w:rPr>
          <w:rFonts w:ascii="Arial" w:cs="Arial" w:eastAsia="Arial" w:hAnsi="Arial"/>
          <w:sz w:val="17"/>
          <w:szCs w:val="17"/>
          <w:i w:val="1"/>
          <w:iCs w:val="1"/>
          <w:color w:val="auto"/>
        </w:rPr>
        <w:t>Convertible Senior Notes Due 2023</w:t>
      </w:r>
      <w:r>
        <w:rPr>
          <w:rFonts w:ascii="Arial" w:cs="Arial" w:eastAsia="Arial" w:hAnsi="Arial"/>
          <w:sz w:val="17"/>
          <w:szCs w:val="17"/>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$80.9063 per share.</w:t>
      </w:r>
    </w:p>
    <w:p>
      <w:pPr>
        <w:spacing w:after="0" w:line="204"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2023 Notes and related Convertible Note Hedge and Warrant Transactions are excluded in the calculation of diluted EPS because inclusion would be anti-dilutive.</w:t>
      </w:r>
    </w:p>
    <w:p>
      <w:pPr>
        <w:spacing w:after="0" w:line="190" w:lineRule="exact"/>
        <w:rPr>
          <w:sz w:val="20"/>
          <w:szCs w:val="20"/>
          <w:color w:val="auto"/>
        </w:rPr>
      </w:pPr>
    </w:p>
    <w:p>
      <w:pPr>
        <w:ind w:right="20" w:firstLine="619"/>
        <w:spacing w:after="0" w:line="306" w:lineRule="auto"/>
        <w:rPr>
          <w:sz w:val="20"/>
          <w:szCs w:val="20"/>
          <w:color w:val="auto"/>
        </w:rPr>
      </w:pPr>
      <w:r>
        <w:rPr>
          <w:rFonts w:ascii="Arial" w:cs="Arial" w:eastAsia="Arial" w:hAnsi="Arial"/>
          <w:sz w:val="15"/>
          <w:szCs w:val="15"/>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ind w:left="9280"/>
        <w:spacing w:after="0" w:line="218" w:lineRule="auto"/>
        <w:rPr>
          <w:sz w:val="20"/>
          <w:szCs w:val="20"/>
          <w:color w:val="auto"/>
        </w:rPr>
      </w:pPr>
      <w:r>
        <w:rPr>
          <w:rFonts w:ascii="Arial" w:cs="Arial" w:eastAsia="Arial" w:hAnsi="Arial"/>
          <w:sz w:val="14"/>
          <w:szCs w:val="14"/>
          <w:b w:val="1"/>
          <w:bCs w:val="1"/>
          <w:color w:val="auto"/>
        </w:rPr>
        <w:t>Three Months ended</w:t>
      </w:r>
    </w:p>
    <w:p>
      <w:pPr>
        <w:ind w:left="928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7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2020</w:t>
            </w:r>
          </w:p>
        </w:tc>
      </w:tr>
      <w:tr>
        <w:trPr>
          <w:trHeight w:val="173"/>
        </w:trPr>
        <w:tc>
          <w:tcPr>
            <w:tcW w:w="7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40" w:type="dxa"/>
            <w:vAlign w:val="bottom"/>
          </w:tcPr>
          <w:p>
            <w:pPr>
              <w:jc w:val="right"/>
              <w:ind w:right="926"/>
              <w:spacing w:after="0"/>
              <w:rPr>
                <w:sz w:val="20"/>
                <w:szCs w:val="20"/>
                <w:color w:val="auto"/>
              </w:rPr>
            </w:pPr>
            <w:r>
              <w:rPr>
                <w:rFonts w:ascii="Arial" w:cs="Arial" w:eastAsia="Arial" w:hAnsi="Arial"/>
                <w:sz w:val="14"/>
                <w:szCs w:val="14"/>
                <w:b w:val="1"/>
                <w:bCs w:val="1"/>
                <w:color w:val="auto"/>
                <w:w w:val="94"/>
              </w:rPr>
              <w:t>(unaudited)</w:t>
            </w:r>
          </w:p>
        </w:tc>
      </w:tr>
      <w:tr>
        <w:trPr>
          <w:trHeight w:val="220"/>
        </w:trPr>
        <w:tc>
          <w:tcPr>
            <w:tcW w:w="7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Stock options, RSUs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1,419,203</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3,034,099</w:t>
            </w:r>
          </w:p>
        </w:tc>
      </w:tr>
    </w:tbl>
    <w:p>
      <w:pPr>
        <w:spacing w:after="0" w:line="310" w:lineRule="exact"/>
        <w:rPr>
          <w:sz w:val="20"/>
          <w:szCs w:val="20"/>
          <w:color w:val="auto"/>
        </w:rPr>
      </w:pPr>
    </w:p>
    <w:p>
      <w:pPr>
        <w:jc w:val="both"/>
        <w:ind w:right="40" w:firstLine="619"/>
        <w:spacing w:after="0" w:line="255" w:lineRule="auto"/>
        <w:rPr>
          <w:sz w:val="20"/>
          <w:szCs w:val="20"/>
          <w:color w:val="auto"/>
        </w:rPr>
      </w:pPr>
      <w:r>
        <w:rPr>
          <w:rFonts w:ascii="Arial" w:cs="Arial" w:eastAsia="Arial" w:hAnsi="Arial"/>
          <w:sz w:val="17"/>
          <w:szCs w:val="17"/>
          <w:color w:val="auto"/>
        </w:rPr>
        <w:t>The following table sets forth the computation of basic and diluted net earnings per share for the three months ended March 31, 2021 and 2020 (dollars in thousands, except share and per share amounts):</w:t>
      </w: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60" w:type="dxa"/>
            <w:vAlign w:val="bottom"/>
            <w:gridSpan w:val="4"/>
          </w:tcPr>
          <w:p>
            <w:pPr>
              <w:ind w:left="940"/>
              <w:spacing w:after="0" w:line="139" w:lineRule="exact"/>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2"/>
                <w:szCs w:val="12"/>
                <w:color w:val="auto"/>
              </w:rPr>
            </w:pPr>
          </w:p>
        </w:tc>
      </w:tr>
      <w:tr>
        <w:trPr>
          <w:trHeight w:val="179"/>
        </w:trPr>
        <w:tc>
          <w:tcPr>
            <w:tcW w:w="4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3"/>
        </w:trPr>
        <w:tc>
          <w:tcPr>
            <w:tcW w:w="4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173"/>
        </w:trPr>
        <w:tc>
          <w:tcPr>
            <w:tcW w:w="4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4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Numerator:</w:t>
            </w:r>
          </w:p>
        </w:tc>
        <w:tc>
          <w:tcPr>
            <w:tcW w:w="2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4700" w:type="dxa"/>
            <w:vAlign w:val="bottom"/>
          </w:tcPr>
          <w:p>
            <w:pPr>
              <w:ind w:left="760"/>
              <w:spacing w:after="0"/>
              <w:rPr>
                <w:sz w:val="20"/>
                <w:szCs w:val="20"/>
                <w:color w:val="auto"/>
              </w:rPr>
            </w:pPr>
            <w:r>
              <w:rPr>
                <w:rFonts w:ascii="Arial" w:cs="Arial" w:eastAsia="Arial" w:hAnsi="Arial"/>
                <w:sz w:val="17"/>
                <w:szCs w:val="17"/>
                <w:color w:val="auto"/>
              </w:rPr>
              <w:t>Net earnings</w:t>
            </w:r>
          </w:p>
        </w:tc>
        <w:tc>
          <w:tcPr>
            <w:tcW w:w="3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5,694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21,518</w:t>
            </w:r>
          </w:p>
        </w:tc>
      </w:tr>
      <w:tr>
        <w:trPr>
          <w:trHeight w:val="220"/>
        </w:trPr>
        <w:tc>
          <w:tcPr>
            <w:tcW w:w="4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Denominator:</w:t>
            </w:r>
          </w:p>
        </w:tc>
        <w:tc>
          <w:tcPr>
            <w:tcW w:w="2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4700" w:type="dxa"/>
            <w:vAlign w:val="bottom"/>
          </w:tcPr>
          <w:p>
            <w:pPr>
              <w:ind w:left="760"/>
              <w:spacing w:after="0"/>
              <w:rPr>
                <w:sz w:val="20"/>
                <w:szCs w:val="20"/>
                <w:color w:val="auto"/>
              </w:rPr>
            </w:pPr>
            <w:r>
              <w:rPr>
                <w:rFonts w:ascii="Arial" w:cs="Arial" w:eastAsia="Arial" w:hAnsi="Arial"/>
                <w:sz w:val="17"/>
                <w:szCs w:val="17"/>
                <w:color w:val="auto"/>
              </w:rPr>
              <w:t>Weighted average shares outstanding, basic</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52,927,467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52,534,787</w:t>
            </w:r>
          </w:p>
        </w:tc>
      </w:tr>
      <w:tr>
        <w:trPr>
          <w:trHeight w:val="207"/>
        </w:trPr>
        <w:tc>
          <w:tcPr>
            <w:tcW w:w="47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4700" w:type="dxa"/>
            <w:vAlign w:val="bottom"/>
          </w:tcPr>
          <w:p>
            <w:pPr>
              <w:ind w:left="760"/>
              <w:spacing w:after="0"/>
              <w:rPr>
                <w:sz w:val="20"/>
                <w:szCs w:val="20"/>
                <w:color w:val="auto"/>
              </w:rPr>
            </w:pPr>
            <w:r>
              <w:rPr>
                <w:rFonts w:ascii="Arial" w:cs="Arial" w:eastAsia="Arial" w:hAnsi="Arial"/>
                <w:sz w:val="17"/>
                <w:szCs w:val="17"/>
                <w:color w:val="auto"/>
              </w:rPr>
              <w:t>Effect of dilutive securities: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700" w:type="dxa"/>
            <w:vAlign w:val="bottom"/>
            <w:shd w:val="clear" w:color="auto" w:fill="CCEEFF"/>
          </w:tcPr>
          <w:p>
            <w:pPr>
              <w:ind w:left="940"/>
              <w:spacing w:after="0"/>
              <w:rPr>
                <w:sz w:val="20"/>
                <w:szCs w:val="20"/>
                <w:color w:val="auto"/>
              </w:rPr>
            </w:pPr>
            <w:r>
              <w:rPr>
                <w:rFonts w:ascii="Arial" w:cs="Arial" w:eastAsia="Arial" w:hAnsi="Arial"/>
                <w:sz w:val="17"/>
                <w:szCs w:val="17"/>
                <w:color w:val="auto"/>
              </w:rPr>
              <w:t>Stock options, RSUs and SARs</w:t>
            </w:r>
          </w:p>
        </w:tc>
        <w:tc>
          <w:tcPr>
            <w:tcW w:w="2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1,269,504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1,046,264</w:t>
            </w:r>
          </w:p>
        </w:tc>
      </w:tr>
      <w:tr>
        <w:trPr>
          <w:trHeight w:val="213"/>
        </w:trPr>
        <w:tc>
          <w:tcPr>
            <w:tcW w:w="4700" w:type="dxa"/>
            <w:vAlign w:val="bottom"/>
          </w:tcPr>
          <w:p>
            <w:pPr>
              <w:ind w:left="760"/>
              <w:spacing w:after="0"/>
              <w:rPr>
                <w:sz w:val="20"/>
                <w:szCs w:val="20"/>
                <w:color w:val="auto"/>
              </w:rPr>
            </w:pPr>
            <w:r>
              <w:rPr>
                <w:rFonts w:ascii="Arial" w:cs="Arial" w:eastAsia="Arial" w:hAnsi="Arial"/>
                <w:sz w:val="17"/>
                <w:szCs w:val="17"/>
                <w:color w:val="auto"/>
              </w:rPr>
              <w:t>Weighted average shares outstanding, diluted</w:t>
            </w:r>
          </w:p>
        </w:tc>
        <w:tc>
          <w:tcPr>
            <w:tcW w:w="2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54,196,971</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53,581,051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2"/>
        </w:trPr>
        <w:tc>
          <w:tcPr>
            <w:tcW w:w="47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8"/>
        </w:trPr>
        <w:tc>
          <w:tcPr>
            <w:tcW w:w="4700" w:type="dxa"/>
            <w:vAlign w:val="bottom"/>
          </w:tcPr>
          <w:p>
            <w:pPr>
              <w:ind w:left="640"/>
              <w:spacing w:after="0"/>
              <w:rPr>
                <w:sz w:val="20"/>
                <w:szCs w:val="20"/>
                <w:color w:val="auto"/>
              </w:rPr>
            </w:pPr>
            <w:r>
              <w:rPr>
                <w:rFonts w:ascii="Arial" w:cs="Arial" w:eastAsia="Arial" w:hAnsi="Arial"/>
                <w:sz w:val="17"/>
                <w:szCs w:val="17"/>
                <w:color w:val="auto"/>
              </w:rPr>
              <w:t>Earnings per share, basic</w:t>
            </w:r>
          </w:p>
        </w:tc>
        <w:tc>
          <w:tcPr>
            <w:tcW w:w="3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0.41</w:t>
            </w:r>
          </w:p>
        </w:tc>
      </w:tr>
      <w:tr>
        <w:trPr>
          <w:trHeight w:val="220"/>
        </w:trPr>
        <w:tc>
          <w:tcPr>
            <w:tcW w:w="4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Earnings per share, diluted</w:t>
            </w:r>
          </w:p>
        </w:tc>
        <w:tc>
          <w:tcPr>
            <w:tcW w:w="3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r>
      <w:tr>
        <w:trPr>
          <w:trHeight w:val="862"/>
        </w:trPr>
        <w:tc>
          <w:tcPr>
            <w:tcW w:w="4700" w:type="dxa"/>
            <w:vAlign w:val="bottom"/>
          </w:tcPr>
          <w:p>
            <w:pPr>
              <w:spacing w:after="0"/>
              <w:rPr>
                <w:sz w:val="24"/>
                <w:szCs w:val="24"/>
                <w:color w:val="auto"/>
              </w:rPr>
            </w:pPr>
          </w:p>
        </w:tc>
        <w:tc>
          <w:tcPr>
            <w:tcW w:w="2100" w:type="dxa"/>
            <w:vAlign w:val="bottom"/>
          </w:tcPr>
          <w:p>
            <w:pPr>
              <w:jc w:val="right"/>
              <w:ind w:right="1014"/>
              <w:spacing w:after="0"/>
              <w:rPr>
                <w:sz w:val="20"/>
                <w:szCs w:val="20"/>
                <w:color w:val="auto"/>
              </w:rPr>
            </w:pPr>
            <w:r>
              <w:rPr>
                <w:rFonts w:ascii="Arial" w:cs="Arial" w:eastAsia="Arial" w:hAnsi="Arial"/>
                <w:sz w:val="17"/>
                <w:szCs w:val="17"/>
                <w:color w:val="auto"/>
              </w:rPr>
              <w:t>21</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0"/>
        </w:trPr>
        <w:tc>
          <w:tcPr>
            <w:tcW w:w="47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Income Tax Expense</w:t>
      </w:r>
    </w:p>
    <w:p>
      <w:pPr>
        <w:spacing w:after="0" w:line="197" w:lineRule="exact"/>
        <w:rPr>
          <w:sz w:val="20"/>
          <w:szCs w:val="20"/>
          <w:color w:val="auto"/>
        </w:rPr>
      </w:pPr>
    </w:p>
    <w:p>
      <w:pPr>
        <w:ind w:right="160" w:firstLine="619"/>
        <w:spacing w:after="0" w:line="270" w:lineRule="auto"/>
        <w:rPr>
          <w:sz w:val="20"/>
          <w:szCs w:val="20"/>
          <w:color w:val="auto"/>
        </w:rPr>
      </w:pPr>
      <w:r>
        <w:rPr>
          <w:rFonts w:ascii="Arial" w:cs="Arial" w:eastAsia="Arial" w:hAnsi="Arial"/>
          <w:sz w:val="17"/>
          <w:szCs w:val="17"/>
          <w:color w:val="auto"/>
        </w:rPr>
        <w:t>The following table provides information regarding the Company’s income tax expense for the three months ended March 31, 2021 and 2020 (dollars in thousands):</w:t>
      </w:r>
    </w:p>
    <w:tbl>
      <w:tblPr>
        <w:tblLayout w:type="fixed"/>
        <w:tblInd w:w="0" w:type="dxa"/>
        <w:tblCellMar>
          <w:top w:w="0" w:type="dxa"/>
          <w:left w:w="0" w:type="dxa"/>
          <w:bottom w:w="0" w:type="dxa"/>
          <w:right w:w="0" w:type="dxa"/>
        </w:tblCellMar>
      </w:tblPr>
      <w:tr>
        <w:trPr>
          <w:trHeight w:val="140"/>
        </w:trPr>
        <w:tc>
          <w:tcPr>
            <w:tcW w:w="5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ind w:left="300"/>
              <w:spacing w:after="0" w:line="140" w:lineRule="exact"/>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9"/>
        </w:trPr>
        <w:tc>
          <w:tcPr>
            <w:tcW w:w="54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173"/>
        </w:trPr>
        <w:tc>
          <w:tcPr>
            <w:tcW w:w="54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73"/>
        </w:trPr>
        <w:tc>
          <w:tcPr>
            <w:tcW w:w="5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tcPr>
          <w:p>
            <w:pPr>
              <w:ind w:left="56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20"/>
        </w:trPr>
        <w:tc>
          <w:tcPr>
            <w:tcW w:w="5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tax expense</w:t>
            </w:r>
          </w:p>
        </w:tc>
        <w:tc>
          <w:tcPr>
            <w:tcW w:w="116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5,235</w:t>
            </w:r>
          </w:p>
        </w:tc>
        <w:tc>
          <w:tcPr>
            <w:tcW w:w="1880" w:type="dxa"/>
            <w:vAlign w:val="bottom"/>
            <w:shd w:val="clear" w:color="auto" w:fill="CCEEFF"/>
          </w:tcPr>
          <w:p>
            <w:pPr>
              <w:jc w:val="right"/>
              <w:ind w:right="42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rPr>
              <w:t>7,516</w:t>
            </w:r>
          </w:p>
        </w:tc>
        <w:tc>
          <w:tcPr>
            <w:tcW w:w="480" w:type="dxa"/>
            <w:vAlign w:val="bottom"/>
            <w:shd w:val="clear" w:color="auto" w:fill="CCEEFF"/>
          </w:tcPr>
          <w:p>
            <w:pPr>
              <w:spacing w:after="0"/>
              <w:rPr>
                <w:sz w:val="19"/>
                <w:szCs w:val="19"/>
                <w:color w:val="auto"/>
              </w:rPr>
            </w:pPr>
          </w:p>
        </w:tc>
      </w:tr>
      <w:tr>
        <w:trPr>
          <w:trHeight w:val="218"/>
        </w:trPr>
        <w:tc>
          <w:tcPr>
            <w:tcW w:w="5460" w:type="dxa"/>
            <w:vAlign w:val="bottom"/>
          </w:tcPr>
          <w:p>
            <w:pPr>
              <w:ind w:left="640"/>
              <w:spacing w:after="0"/>
              <w:rPr>
                <w:sz w:val="20"/>
                <w:szCs w:val="20"/>
                <w:color w:val="auto"/>
              </w:rPr>
            </w:pPr>
            <w:r>
              <w:rPr>
                <w:rFonts w:ascii="Arial" w:cs="Arial" w:eastAsia="Arial" w:hAnsi="Arial"/>
                <w:sz w:val="17"/>
                <w:szCs w:val="17"/>
                <w:color w:val="auto"/>
              </w:rPr>
              <w:t>Effective tax rate</w:t>
            </w:r>
          </w:p>
        </w:tc>
        <w:tc>
          <w:tcPr>
            <w:tcW w:w="1160" w:type="dxa"/>
            <w:vAlign w:val="bottom"/>
          </w:tcPr>
          <w:p>
            <w:pPr>
              <w:spacing w:after="0"/>
              <w:rPr>
                <w:sz w:val="18"/>
                <w:szCs w:val="18"/>
                <w:color w:val="auto"/>
              </w:rPr>
            </w:pPr>
          </w:p>
        </w:tc>
        <w:tc>
          <w:tcPr>
            <w:tcW w:w="1140" w:type="dxa"/>
            <w:vAlign w:val="bottom"/>
          </w:tcPr>
          <w:p>
            <w:pPr>
              <w:jc w:val="right"/>
              <w:ind w:right="200"/>
              <w:spacing w:after="0"/>
              <w:rPr>
                <w:sz w:val="20"/>
                <w:szCs w:val="20"/>
                <w:color w:val="auto"/>
              </w:rPr>
            </w:pPr>
            <w:r>
              <w:rPr>
                <w:rFonts w:ascii="Arial" w:cs="Arial" w:eastAsia="Arial" w:hAnsi="Arial"/>
                <w:sz w:val="17"/>
                <w:szCs w:val="17"/>
                <w:color w:val="auto"/>
              </w:rPr>
              <w:t>47.9</w:t>
            </w:r>
          </w:p>
        </w:tc>
        <w:tc>
          <w:tcPr>
            <w:tcW w:w="1880" w:type="dxa"/>
            <w:vAlign w:val="bottom"/>
          </w:tcPr>
          <w:p>
            <w:pPr>
              <w:jc w:val="right"/>
              <w:ind w:right="128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60"/>
              <w:spacing w:after="0"/>
              <w:rPr>
                <w:sz w:val="20"/>
                <w:szCs w:val="20"/>
                <w:color w:val="auto"/>
              </w:rPr>
            </w:pPr>
            <w:r>
              <w:rPr>
                <w:rFonts w:ascii="Arial" w:cs="Arial" w:eastAsia="Arial" w:hAnsi="Arial"/>
                <w:sz w:val="17"/>
                <w:szCs w:val="17"/>
                <w:color w:val="auto"/>
              </w:rPr>
              <w:t>25.9</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99" w:lineRule="exact"/>
        <w:rPr>
          <w:sz w:val="20"/>
          <w:szCs w:val="20"/>
          <w:color w:val="auto"/>
        </w:rPr>
      </w:pPr>
    </w:p>
    <w:p>
      <w:pPr>
        <w:jc w:val="both"/>
        <w:ind w:right="20" w:firstLine="619"/>
        <w:spacing w:after="0" w:line="250" w:lineRule="auto"/>
        <w:rPr>
          <w:sz w:val="20"/>
          <w:szCs w:val="20"/>
          <w:color w:val="auto"/>
        </w:rPr>
      </w:pPr>
      <w:r>
        <w:rPr>
          <w:rFonts w:ascii="Arial" w:cs="Arial" w:eastAsia="Arial" w:hAnsi="Arial"/>
          <w:sz w:val="17"/>
          <w:szCs w:val="17"/>
          <w:color w:val="auto"/>
        </w:rPr>
        <w:t>Income tax expense for the three months ended March 31, 2021, as compared to the same period in the prior year, decreased mainly due to lower earnings before taxes. The effective income tax rate increase was due to changes in the effective state tax rates as a result of the transfer of workforce between legal entities and lower earnings before taxes due to the expensing of the Navitor investment in the first quarter of 2021.</w:t>
      </w:r>
    </w:p>
    <w:p>
      <w:pPr>
        <w:spacing w:after="0" w:line="14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4"/>
          <w:szCs w:val="14"/>
          <w:b w:val="1"/>
          <w:bCs w:val="1"/>
          <w:color w:val="auto"/>
        </w:rPr>
        <w:t>Leases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Leases</w:t>
      </w:r>
    </w:p>
    <w:p>
      <w:pPr>
        <w:spacing w:after="0" w:line="243" w:lineRule="exact"/>
        <w:rPr>
          <w:sz w:val="20"/>
          <w:szCs w:val="20"/>
          <w:color w:val="auto"/>
        </w:rPr>
      </w:pPr>
    </w:p>
    <w:p>
      <w:pPr>
        <w:ind w:right="80" w:firstLine="619"/>
        <w:spacing w:after="0" w:line="290" w:lineRule="auto"/>
        <w:rPr>
          <w:sz w:val="20"/>
          <w:szCs w:val="20"/>
          <w:color w:val="auto"/>
        </w:rPr>
      </w:pPr>
      <w:r>
        <w:rPr>
          <w:rFonts w:ascii="Arial" w:cs="Arial" w:eastAsia="Arial" w:hAnsi="Arial"/>
          <w:sz w:val="16"/>
          <w:szCs w:val="16"/>
          <w:color w:val="auto"/>
        </w:rPr>
        <w:t>The Company has operating leases for its headquarters lease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w:t>
      </w:r>
    </w:p>
    <w:p>
      <w:pPr>
        <w:spacing w:after="0" w:line="184"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The Company's headquarters lease commenced on February 1, 2019 (the Commencement Date) and will continue until April 30, 2034, unless earlier terminated in accordance with the terms of the lease. The lease includes options to extend the lease for up to 10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Finance Lease</w:t>
      </w:r>
    </w:p>
    <w:p>
      <w:pPr>
        <w:spacing w:after="0" w:line="230" w:lineRule="exact"/>
        <w:rPr>
          <w:sz w:val="20"/>
          <w:szCs w:val="20"/>
          <w:color w:val="auto"/>
        </w:rPr>
      </w:pPr>
    </w:p>
    <w:p>
      <w:pPr>
        <w:ind w:right="180" w:firstLine="619"/>
        <w:spacing w:after="0" w:line="231" w:lineRule="auto"/>
        <w:rPr>
          <w:sz w:val="20"/>
          <w:szCs w:val="20"/>
          <w:color w:val="auto"/>
        </w:rPr>
      </w:pPr>
      <w:r>
        <w:rPr>
          <w:rFonts w:ascii="Arial" w:cs="Arial" w:eastAsia="Arial" w:hAnsi="Arial"/>
          <w:sz w:val="17"/>
          <w:szCs w:val="17"/>
          <w:color w:val="auto"/>
        </w:rPr>
        <w:t xml:space="preserve">Contemporaneous with the USWM Acquisition, USWM Enterprises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USWM Enterprises had an existing contract manufacturing agreement with Merz Pharma GmbH &amp; Co. KGaA (Merz), for the manufacture and supply of MYOBLOC (rimabotulinumtoxinB) and NerBloc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(finished products) (Merz Agreement). Pursuant to the Merz Agreement, Merz agreed to provide a dedicated manufacturing facility that included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terms. The Merz Agreement may not be terminated for convenience. In addition, the Company's collaboration partner markets the drug in MYOBLOC, rimabotulinumtoxinB, in Japan under the trade name NerBloc.</w:t>
      </w:r>
    </w:p>
    <w:p>
      <w:pPr>
        <w:spacing w:after="0" w:line="213" w:lineRule="exact"/>
        <w:rPr>
          <w:sz w:val="20"/>
          <w:szCs w:val="20"/>
          <w:color w:val="auto"/>
        </w:rPr>
      </w:pPr>
    </w:p>
    <w:p>
      <w:pPr>
        <w:ind w:right="200" w:firstLine="619"/>
        <w:spacing w:after="0" w:line="250" w:lineRule="auto"/>
        <w:rPr>
          <w:sz w:val="20"/>
          <w:szCs w:val="20"/>
          <w:color w:val="auto"/>
        </w:rPr>
      </w:pPr>
      <w:r>
        <w:rPr>
          <w:rFonts w:ascii="Arial" w:cs="Arial" w:eastAsia="Arial" w:hAnsi="Arial"/>
          <w:sz w:val="17"/>
          <w:szCs w:val="17"/>
          <w:color w:val="auto"/>
        </w:rPr>
        <w:t>Under the terms of the agreement, the Company is required to purchase a minimum quantity of finished products on an annual basis. This minimum purchase requirement represents the in-substance fixed contract consideration associated with the dedicated manufacturing facility which the Company accounts for as an embedded lease.</w:t>
      </w:r>
    </w:p>
    <w:p>
      <w:pPr>
        <w:spacing w:after="0" w:line="201" w:lineRule="exact"/>
        <w:rPr>
          <w:sz w:val="20"/>
          <w:szCs w:val="20"/>
          <w:color w:val="auto"/>
        </w:rPr>
      </w:pPr>
    </w:p>
    <w:p>
      <w:pPr>
        <w:ind w:right="340" w:firstLine="619"/>
        <w:spacing w:after="0" w:line="331" w:lineRule="auto"/>
        <w:rPr>
          <w:sz w:val="20"/>
          <w:szCs w:val="20"/>
          <w:color w:val="auto"/>
        </w:rPr>
      </w:pPr>
      <w:r>
        <w:rPr>
          <w:rFonts w:ascii="Arial" w:cs="Arial" w:eastAsia="Arial" w:hAnsi="Arial"/>
          <w:sz w:val="15"/>
          <w:szCs w:val="15"/>
          <w:color w:val="auto"/>
        </w:rPr>
        <w:t xml:space="preserve">The embedded lease is preliminarily classified as a finance lease. The in-substance fixed contract consideration was allocated to the lease component, since the Company has preliminarily elected not to separate lease and non-lease components. Refer to Note 3, </w:t>
      </w:r>
      <w:r>
        <w:rPr>
          <w:rFonts w:ascii="Arial" w:cs="Arial" w:eastAsia="Arial" w:hAnsi="Arial"/>
          <w:sz w:val="15"/>
          <w:szCs w:val="15"/>
          <w:i w:val="1"/>
          <w:iCs w:val="1"/>
          <w:color w:val="auto"/>
        </w:rPr>
        <w:t>USWM Acquisition</w:t>
      </w:r>
      <w:r>
        <w:rPr>
          <w:rFonts w:ascii="Arial" w:cs="Arial" w:eastAsia="Arial" w:hAnsi="Arial"/>
          <w:sz w:val="15"/>
          <w:szCs w:val="15"/>
          <w:color w:val="auto"/>
        </w:rPr>
        <w:t>, for further discussion.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Operating and finance lease assets and lease liabilities as reported on the condensed consolidated balance sheets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Balance Sheet Classification</w:t>
            </w: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20" w:type="dxa"/>
            <w:vAlign w:val="bottom"/>
          </w:tcPr>
          <w:p>
            <w:pPr>
              <w:jc w:val="right"/>
              <w:ind w:right="216"/>
              <w:spacing w:after="0"/>
              <w:rPr>
                <w:sz w:val="20"/>
                <w:szCs w:val="20"/>
                <w:color w:val="auto"/>
              </w:rPr>
            </w:pPr>
            <w:r>
              <w:rPr>
                <w:rFonts w:ascii="Arial" w:cs="Arial" w:eastAsia="Arial" w:hAnsi="Arial"/>
                <w:sz w:val="14"/>
                <w:szCs w:val="14"/>
                <w:b w:val="1"/>
                <w:bCs w:val="1"/>
                <w:color w:val="auto"/>
                <w:w w:val="95"/>
              </w:rPr>
              <w:t>December 31, 2020</w:t>
            </w:r>
          </w:p>
        </w:tc>
      </w:tr>
      <w:tr>
        <w:trPr>
          <w:trHeight w:val="179"/>
        </w:trPr>
        <w:tc>
          <w:tcPr>
            <w:tcW w:w="428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ind w:right="438"/>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4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assets</w:t>
            </w: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Other assets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20,231</w:t>
            </w:r>
          </w:p>
        </w:tc>
      </w:tr>
      <w:tr>
        <w:trPr>
          <w:trHeight w:val="218"/>
        </w:trPr>
        <w:tc>
          <w:tcPr>
            <w:tcW w:w="4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Finance lease asset</w:t>
            </w: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7"/>
                <w:szCs w:val="17"/>
                <w:color w:val="auto"/>
                <w:w w:val="90"/>
              </w:rPr>
              <w:t>Property and equipment, net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20,874</w:t>
            </w: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assets</w:t>
            </w:r>
          </w:p>
        </w:tc>
        <w:tc>
          <w:tcPr>
            <w:tcW w:w="3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41,105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8"/>
        </w:trPr>
        <w:tc>
          <w:tcPr>
            <w:tcW w:w="4280" w:type="dxa"/>
            <w:vAlign w:val="bottom"/>
          </w:tcPr>
          <w:p>
            <w:pPr>
              <w:ind w:left="140"/>
              <w:spacing w:after="0"/>
              <w:rPr>
                <w:sz w:val="20"/>
                <w:szCs w:val="20"/>
                <w:color w:val="auto"/>
              </w:rPr>
            </w:pPr>
            <w:r>
              <w:rPr>
                <w:rFonts w:ascii="Arial" w:cs="Arial" w:eastAsia="Arial" w:hAnsi="Arial"/>
                <w:sz w:val="17"/>
                <w:szCs w:val="17"/>
                <w:color w:val="auto"/>
              </w:rPr>
              <w:t>Lease liabilities, 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liabilities, current portion</w:t>
            </w: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Accounts payable and accrued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w:t>
            </w:r>
          </w:p>
        </w:tc>
      </w:tr>
      <w:tr>
        <w:trPr>
          <w:trHeight w:val="218"/>
        </w:trPr>
        <w:tc>
          <w:tcPr>
            <w:tcW w:w="4280" w:type="dxa"/>
            <w:vAlign w:val="bottom"/>
          </w:tcPr>
          <w:p>
            <w:pPr>
              <w:ind w:left="340"/>
              <w:spacing w:after="0"/>
              <w:rPr>
                <w:sz w:val="20"/>
                <w:szCs w:val="20"/>
                <w:color w:val="auto"/>
              </w:rPr>
            </w:pPr>
            <w:r>
              <w:rPr>
                <w:rFonts w:ascii="Arial" w:cs="Arial" w:eastAsia="Arial" w:hAnsi="Arial"/>
                <w:sz w:val="17"/>
                <w:szCs w:val="17"/>
                <w:color w:val="auto"/>
              </w:rPr>
              <w:t>Finance lease liability, current portion</w:t>
            </w:r>
          </w:p>
        </w:tc>
        <w:tc>
          <w:tcPr>
            <w:tcW w:w="34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Other current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3,761</w:t>
            </w:r>
          </w:p>
        </w:tc>
      </w:tr>
      <w:tr>
        <w:trPr>
          <w:trHeight w:val="220"/>
        </w:trPr>
        <w:tc>
          <w:tcPr>
            <w:tcW w:w="4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 long term</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8"/>
        </w:trPr>
        <w:tc>
          <w:tcPr>
            <w:tcW w:w="4280" w:type="dxa"/>
            <w:vAlign w:val="bottom"/>
          </w:tcPr>
          <w:p>
            <w:pPr>
              <w:ind w:left="320"/>
              <w:spacing w:after="0"/>
              <w:rPr>
                <w:sz w:val="20"/>
                <w:szCs w:val="20"/>
                <w:color w:val="auto"/>
              </w:rPr>
            </w:pPr>
            <w:r>
              <w:rPr>
                <w:rFonts w:ascii="Arial" w:cs="Arial" w:eastAsia="Arial" w:hAnsi="Arial"/>
                <w:sz w:val="17"/>
                <w:szCs w:val="17"/>
                <w:color w:val="auto"/>
              </w:rPr>
              <w:t>Operating lease liabilities, long term</w:t>
            </w:r>
          </w:p>
        </w:tc>
        <w:tc>
          <w:tcPr>
            <w:tcW w:w="342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Operating lease liabilities, long term</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28,579</w:t>
            </w:r>
          </w:p>
        </w:tc>
      </w:tr>
      <w:tr>
        <w:trPr>
          <w:trHeight w:val="220"/>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Finance lease liability, long term</w:t>
            </w: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20,235</w:t>
            </w:r>
          </w:p>
        </w:tc>
      </w:tr>
      <w:tr>
        <w:trPr>
          <w:trHeight w:val="211"/>
        </w:trPr>
        <w:tc>
          <w:tcPr>
            <w:tcW w:w="4280" w:type="dxa"/>
            <w:vAlign w:val="bottom"/>
          </w:tcPr>
          <w:p>
            <w:pPr>
              <w:ind w:left="20"/>
              <w:spacing w:after="0"/>
              <w:rPr>
                <w:sz w:val="20"/>
                <w:szCs w:val="20"/>
                <w:color w:val="auto"/>
              </w:rPr>
            </w:pPr>
            <w:r>
              <w:rPr>
                <w:rFonts w:ascii="Arial" w:cs="Arial" w:eastAsia="Arial" w:hAnsi="Arial"/>
                <w:sz w:val="17"/>
                <w:szCs w:val="17"/>
                <w:color w:val="auto"/>
              </w:rPr>
              <w:t>Total lease liabilities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56,335</w:t>
            </w:r>
          </w:p>
        </w:tc>
      </w:tr>
      <w:tr>
        <w:trPr>
          <w:trHeight w:val="20"/>
        </w:trPr>
        <w:tc>
          <w:tcPr>
            <w:tcW w:w="4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Composition of Other Balance Sheet Items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details the composition of other balance sheet items (dollars in thousands for amounts in tables):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Receivables</w:t>
      </w:r>
    </w:p>
    <w:p>
      <w:pPr>
        <w:spacing w:after="0" w:line="178"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As of March 31, 2021 and December 31, 2020, the Company has reduced accounts receivable by approximately $10.9 million and $11.4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 Receivables from our three major customers account for more than 90% of our total receivables.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136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7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r>
      <w:tr>
        <w:trPr>
          <w:trHeight w:val="173"/>
        </w:trPr>
        <w:tc>
          <w:tcPr>
            <w:tcW w:w="7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25,987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22,208</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7"/>
                <w:szCs w:val="17"/>
                <w:color w:val="auto"/>
              </w:rPr>
              <w:t>9,330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8,985</w:t>
            </w: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14,909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17,132</w:t>
            </w:r>
          </w:p>
        </w:tc>
      </w:tr>
      <w:tr>
        <w:trPr>
          <w:trHeight w:val="211"/>
        </w:trPr>
        <w:tc>
          <w:tcPr>
            <w:tcW w:w="792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50,226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48,325</w:t>
            </w: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April 2021, the Company received regulatory approval for SPN-812 (Qelbree) for the treatment of ADHD in pediatric patients 6 to 17 years of age.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Pre-launch inventory costs for Qelbree was $24.0 million and $19.1 million as of March 31, 2021 and December 31, 2020, respectively.</w:t>
      </w:r>
    </w:p>
    <w:p>
      <w:pPr>
        <w:spacing w:after="0" w:line="232"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 xml:space="preserve">Inventories include acquired inventory from the USWM Acquisition. Refer to Note 3, </w:t>
      </w:r>
      <w:r>
        <w:rPr>
          <w:rFonts w:ascii="Arial" w:cs="Arial" w:eastAsia="Arial" w:hAnsi="Arial"/>
          <w:sz w:val="17"/>
          <w:szCs w:val="17"/>
          <w:i w:val="1"/>
          <w:iCs w:val="1"/>
          <w:color w:val="auto"/>
        </w:rPr>
        <w:t>USWM Acquisition</w:t>
      </w:r>
      <w:r>
        <w:rPr>
          <w:rFonts w:ascii="Arial" w:cs="Arial" w:eastAsia="Arial" w:hAnsi="Arial"/>
          <w:sz w:val="17"/>
          <w:szCs w:val="17"/>
          <w:color w:val="auto"/>
        </w:rPr>
        <w:t>, for further discussion of the USWM Acquisition.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and Equipment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1360" w:type="dxa"/>
            <w:vAlign w:val="bottom"/>
          </w:tcPr>
          <w:p>
            <w:pPr>
              <w:jc w:val="right"/>
              <w:ind w:right="318"/>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7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r>
      <w:tr>
        <w:trPr>
          <w:trHeight w:val="173"/>
        </w:trPr>
        <w:tc>
          <w:tcPr>
            <w:tcW w:w="7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 equipment and furniture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12,526</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15,183</w:t>
            </w: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Finance lease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22,747</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2,113</w:t>
            </w:r>
          </w:p>
        </w:tc>
      </w:tr>
      <w:tr>
        <w:trPr>
          <w:trHeight w:val="212"/>
        </w:trPr>
        <w:tc>
          <w:tcPr>
            <w:tcW w:w="7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54,864</w:t>
            </w: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(17,040)</w:t>
            </w:r>
          </w:p>
        </w:tc>
      </w:tr>
      <w:tr>
        <w:trPr>
          <w:trHeight w:val="211"/>
        </w:trPr>
        <w:tc>
          <w:tcPr>
            <w:tcW w:w="792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37,824</w:t>
            </w: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Depreciation and amortization expense on property and equipment was approximately $0.6 million and $0.5 million for the three months ended March 31, 2021, and 2020, respectively. The Company retired certain fully depreciated property and equipment for the three months ended March 31, 2021.</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2021, there were no identified indicators of impairment.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Payable and Accrued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9"/>
        </w:trPr>
        <w:tc>
          <w:tcPr>
            <w:tcW w:w="4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3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16,008</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Accrued royalties </w:t>
            </w:r>
            <w:r>
              <w:rPr>
                <w:rFonts w:ascii="Arial" w:cs="Arial" w:eastAsia="Arial" w:hAnsi="Arial"/>
                <w:sz w:val="22"/>
                <w:szCs w:val="22"/>
                <w:color w:val="auto"/>
                <w:vertAlign w:val="superscript"/>
              </w:rPr>
              <w:t>(1)</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13,890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Accrued clinical trial costs </w:t>
            </w:r>
            <w:r>
              <w:rPr>
                <w:rFonts w:ascii="Arial" w:cs="Arial" w:eastAsia="Arial" w:hAnsi="Arial"/>
                <w:sz w:val="22"/>
                <w:szCs w:val="22"/>
                <w:color w:val="auto"/>
                <w:vertAlign w:val="superscript"/>
              </w:rPr>
              <w:t>(2)</w:t>
            </w:r>
          </w:p>
        </w:tc>
        <w:tc>
          <w:tcPr>
            <w:tcW w:w="3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0" w:type="dxa"/>
            <w:vAlign w:val="bottom"/>
          </w:tcPr>
          <w:p>
            <w:pPr>
              <w:spacing w:after="0"/>
              <w:rPr>
                <w:sz w:val="1"/>
                <w:szCs w:val="1"/>
                <w:color w:val="auto"/>
              </w:rPr>
            </w:pPr>
          </w:p>
        </w:tc>
      </w:tr>
      <w:tr>
        <w:trPr>
          <w:trHeight w:val="218"/>
        </w:trPr>
        <w:tc>
          <w:tcPr>
            <w:tcW w:w="45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6,147</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payable</w:t>
            </w:r>
          </w:p>
        </w:tc>
        <w:tc>
          <w:tcPr>
            <w:tcW w:w="3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20" w:type="dxa"/>
            <w:vAlign w:val="bottom"/>
          </w:tcPr>
          <w:p>
            <w:pPr>
              <w:ind w:left="20"/>
              <w:spacing w:after="0"/>
              <w:rPr>
                <w:sz w:val="20"/>
                <w:szCs w:val="20"/>
                <w:color w:val="auto"/>
              </w:rPr>
            </w:pPr>
            <w:r>
              <w:rPr>
                <w:rFonts w:ascii="Arial" w:cs="Arial" w:eastAsia="Arial" w:hAnsi="Arial"/>
                <w:sz w:val="17"/>
                <w:szCs w:val="17"/>
                <w:color w:val="auto"/>
              </w:rPr>
              <w:t>Accrued product costs</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9,587</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professional fees</w:t>
            </w:r>
          </w:p>
        </w:tc>
        <w:tc>
          <w:tcPr>
            <w:tcW w:w="3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7,730</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Operating lease liabilities, current portion </w:t>
            </w:r>
            <w:r>
              <w:rPr>
                <w:rFonts w:ascii="Arial" w:cs="Arial" w:eastAsia="Arial" w:hAnsi="Arial"/>
                <w:sz w:val="22"/>
                <w:szCs w:val="22"/>
                <w:color w:val="auto"/>
                <w:vertAlign w:val="superscript"/>
              </w:rPr>
              <w:t>(3)</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3,760</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3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8,970</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7"/>
                <w:szCs w:val="17"/>
                <w:color w:val="auto"/>
              </w:rPr>
              <w:t>Total</w:t>
            </w:r>
          </w:p>
        </w:tc>
        <w:tc>
          <w:tcPr>
            <w:tcW w:w="3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70,099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78,934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_______________________________</w:t>
            </w:r>
          </w:p>
        </w:tc>
        <w:tc>
          <w:tcPr>
            <w:tcW w:w="3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4520" w:type="dxa"/>
            <w:vAlign w:val="bottom"/>
            <w:vMerge w:val="continue"/>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20" w:type="dxa"/>
            <w:vAlign w:val="bottom"/>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5"/>
                <w:szCs w:val="15"/>
                <w:color w:val="auto"/>
              </w:rPr>
              <w:t xml:space="preserve"> Refer to Note 15,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w:t>
            </w:r>
          </w:p>
        </w:tc>
        <w:tc>
          <w:tcPr>
            <w:tcW w:w="3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line="181" w:lineRule="exact"/>
              <w:rPr>
                <w:sz w:val="20"/>
                <w:szCs w:val="20"/>
                <w:color w:val="auto"/>
              </w:rPr>
            </w:pPr>
            <w:r>
              <w:rPr>
                <w:rFonts w:ascii="Arial" w:cs="Arial" w:eastAsia="Arial" w:hAnsi="Arial"/>
                <w:sz w:val="20"/>
                <w:szCs w:val="20"/>
                <w:color w:val="auto"/>
                <w:vertAlign w:val="superscript"/>
              </w:rPr>
              <w:t>(2)</w:t>
            </w:r>
            <w:r>
              <w:rPr>
                <w:rFonts w:ascii="Arial" w:cs="Arial" w:eastAsia="Arial" w:hAnsi="Arial"/>
                <w:sz w:val="14"/>
                <w:szCs w:val="14"/>
                <w:color w:val="auto"/>
              </w:rPr>
              <w:t xml:space="preserve"> Includes preclinical and all clinical trial-related costs.</w:t>
            </w: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520" w:type="dxa"/>
            <w:vAlign w:val="bottom"/>
          </w:tcPr>
          <w:p>
            <w:pPr>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5"/>
                <w:szCs w:val="15"/>
                <w:color w:val="auto"/>
              </w:rPr>
              <w:t xml:space="preserve"> Refer to Note 12, </w:t>
            </w:r>
            <w:r>
              <w:rPr>
                <w:rFonts w:ascii="Arial" w:cs="Arial" w:eastAsia="Arial" w:hAnsi="Arial"/>
                <w:sz w:val="15"/>
                <w:szCs w:val="15"/>
                <w:i w:val="1"/>
                <w:iCs w:val="1"/>
                <w:color w:val="auto"/>
              </w:rPr>
              <w:t>Leases</w:t>
            </w:r>
            <w:r>
              <w:rPr>
                <w:rFonts w:ascii="Arial" w:cs="Arial" w:eastAsia="Arial" w:hAnsi="Arial"/>
                <w:sz w:val="15"/>
                <w:szCs w:val="15"/>
                <w:color w:val="auto"/>
              </w:rPr>
              <w:t>.</w:t>
            </w: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520" w:type="dxa"/>
            <w:vAlign w:val="bottom"/>
          </w:tcPr>
          <w:p>
            <w:pPr>
              <w:spacing w:after="0"/>
              <w:rPr>
                <w:sz w:val="20"/>
                <w:szCs w:val="20"/>
                <w:color w:val="auto"/>
              </w:rPr>
            </w:pPr>
            <w:r>
              <w:rPr>
                <w:rFonts w:ascii="Arial" w:cs="Arial" w:eastAsia="Arial" w:hAnsi="Arial"/>
                <w:sz w:val="17"/>
                <w:szCs w:val="17"/>
                <w:i w:val="1"/>
                <w:iCs w:val="1"/>
                <w:color w:val="auto"/>
              </w:rPr>
              <w:t>Accrued Product Returns and Rebates</w:t>
            </w: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24"/>
                <w:szCs w:val="2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9"/>
        </w:trPr>
        <w:tc>
          <w:tcPr>
            <w:tcW w:w="4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product rebates</w:t>
            </w:r>
          </w:p>
        </w:tc>
        <w:tc>
          <w:tcPr>
            <w:tcW w:w="3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96,589</w:t>
            </w: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product returns</w:t>
            </w:r>
          </w:p>
        </w:tc>
        <w:tc>
          <w:tcPr>
            <w:tcW w:w="3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29,603</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134"/>
              <w:spacing w:after="0"/>
              <w:rPr>
                <w:sz w:val="20"/>
                <w:szCs w:val="20"/>
                <w:color w:val="auto"/>
              </w:rPr>
            </w:pPr>
            <w:r>
              <w:rPr>
                <w:rFonts w:ascii="Arial" w:cs="Arial" w:eastAsia="Arial" w:hAnsi="Arial"/>
                <w:sz w:val="17"/>
                <w:szCs w:val="17"/>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5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136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7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r>
      <w:tr>
        <w:trPr>
          <w:trHeight w:val="194"/>
        </w:trPr>
        <w:tc>
          <w:tcPr>
            <w:tcW w:w="7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Nonrecourse liability related to sale of future royalties, long term</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13,410</w:t>
            </w:r>
          </w:p>
        </w:tc>
      </w:tr>
      <w:tr>
        <w:trPr>
          <w:trHeight w:val="219"/>
        </w:trPr>
        <w:tc>
          <w:tcPr>
            <w:tcW w:w="79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Finance lease liability, long term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7"/>
                <w:szCs w:val="17"/>
                <w:color w:val="auto"/>
              </w:rPr>
              <w:t>18,499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20,235</w:t>
            </w:r>
          </w:p>
        </w:tc>
      </w:tr>
      <w:tr>
        <w:trPr>
          <w:trHeight w:val="218"/>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9,146</w:t>
            </w:r>
          </w:p>
        </w:tc>
      </w:tr>
      <w:tr>
        <w:trPr>
          <w:trHeight w:val="213"/>
        </w:trPr>
        <w:tc>
          <w:tcPr>
            <w:tcW w:w="792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39,675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42,791</w:t>
            </w: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5"/>
          <w:szCs w:val="15"/>
          <w:color w:val="auto"/>
        </w:rPr>
        <w:t xml:space="preserve"> Refer to Note 12,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0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Interest Expense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details the composition of interest expense (dollars in thousands):</w:t>
      </w:r>
    </w:p>
    <w:p>
      <w:pPr>
        <w:spacing w:after="0" w:line="191"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jc w:val="center"/>
        <w:ind w:left="790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r>
      <w:tr>
        <w:trPr>
          <w:trHeight w:val="173"/>
        </w:trPr>
        <w:tc>
          <w:tcPr>
            <w:tcW w:w="7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5"/>
                <w:szCs w:val="15"/>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(4,693)</w:t>
            </w:r>
          </w:p>
        </w:tc>
      </w:tr>
      <w:tr>
        <w:trPr>
          <w:trHeight w:val="218"/>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 on nonrecourse liability related to sale of future royalties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w:t>
            </w: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Interest expense includes noncash interest expense related to amortization of deferred financing costs, and amortization of the debt discount on the 2023 Notes of $4.3 million and $4.1 million for the three months ended March 31, 2021, and 2020, respectively.</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Licenses</w:t>
      </w:r>
    </w:p>
    <w:p>
      <w:pPr>
        <w:spacing w:after="0" w:line="24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The Company has obtained exclusive licenses from third parties for proprietary rights to support certain products and product candidates.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204" w:lineRule="exact"/>
        <w:rPr>
          <w:sz w:val="20"/>
          <w:szCs w:val="20"/>
          <w:color w:val="auto"/>
        </w:rPr>
      </w:pPr>
    </w:p>
    <w:p>
      <w:pPr>
        <w:ind w:right="480" w:firstLine="619"/>
        <w:spacing w:after="0" w:line="300" w:lineRule="auto"/>
        <w:rPr>
          <w:sz w:val="20"/>
          <w:szCs w:val="20"/>
          <w:color w:val="auto"/>
        </w:rPr>
      </w:pPr>
      <w:r>
        <w:rPr>
          <w:rFonts w:ascii="Arial" w:cs="Arial" w:eastAsia="Arial" w:hAnsi="Arial"/>
          <w:sz w:val="15"/>
          <w:szCs w:val="15"/>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Royalty expense incurred is recognized as </w:t>
      </w:r>
      <w:r>
        <w:rPr>
          <w:rFonts w:ascii="Arial" w:cs="Arial" w:eastAsia="Arial" w:hAnsi="Arial"/>
          <w:sz w:val="15"/>
          <w:szCs w:val="15"/>
          <w:i w:val="1"/>
          <w:iCs w:val="1"/>
          <w:color w:val="auto"/>
        </w:rPr>
        <w:t>Cost of goods sold</w:t>
      </w:r>
      <w:r>
        <w:rPr>
          <w:rFonts w:ascii="Arial" w:cs="Arial" w:eastAsia="Arial" w:hAnsi="Arial"/>
          <w:sz w:val="15"/>
          <w:szCs w:val="15"/>
          <w:color w:val="auto"/>
        </w:rPr>
        <w:t xml:space="preserve"> in the condensed consolidated statements of earnings.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Royalty Agreement</w:t>
      </w:r>
    </w:p>
    <w:p>
      <w:pPr>
        <w:spacing w:after="0" w:line="243" w:lineRule="exact"/>
        <w:rPr>
          <w:sz w:val="20"/>
          <w:szCs w:val="20"/>
          <w:color w:val="auto"/>
        </w:rPr>
      </w:pPr>
    </w:p>
    <w:p>
      <w:pPr>
        <w:ind w:right="180" w:firstLine="619"/>
        <w:spacing w:after="0" w:line="279" w:lineRule="auto"/>
        <w:rPr>
          <w:sz w:val="20"/>
          <w:szCs w:val="20"/>
          <w:color w:val="auto"/>
        </w:rPr>
      </w:pPr>
      <w:r>
        <w:rPr>
          <w:rFonts w:ascii="Arial" w:cs="Arial" w:eastAsia="Arial" w:hAnsi="Arial"/>
          <w:sz w:val="16"/>
          <w:szCs w:val="16"/>
          <w:color w:val="auto"/>
        </w:rPr>
        <w:t>In the third quarter of 2014, the Company received $30 million pursuant to a Royalty Interest Acquisition Agreement related to the purchase, by HealthCare Royalty Partners III, L.P. (HC Royalty), of certain of the Company’s rights under the Company’s agreement with United Therapeutics Corporation. These rights are related to the commercialization of Orenitram (treprostinil) Extended-Release Tablets. Per the terms of the agreement, full ownership of the royalty rights will revert to the Company if and when a certain cumulative payment threshold is reached. Consequent to this agreement, the Company recorded a nonrecourse liability related to this transaction and amortizes this liability as noncash royalty revenue. Refer to Note 4,</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Revenues</w:t>
      </w:r>
      <w:r>
        <w:rPr>
          <w:rFonts w:ascii="Arial" w:cs="Arial" w:eastAsia="Arial" w:hAnsi="Arial"/>
          <w:sz w:val="17"/>
          <w:szCs w:val="17"/>
          <w:color w:val="auto"/>
        </w:rPr>
        <w:t>, and Note 13,</w:t>
      </w:r>
      <w:r>
        <w:rPr>
          <w:rFonts w:ascii="Arial" w:cs="Arial" w:eastAsia="Arial" w:hAnsi="Arial"/>
          <w:sz w:val="17"/>
          <w:szCs w:val="17"/>
          <w:i w:val="1"/>
          <w:iCs w:val="1"/>
          <w:color w:val="auto"/>
        </w:rPr>
        <w:t xml:space="preserve"> Composition of Other Balance Sheet Items</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USWM Enterprise Commitments Assumed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part of the USWM Acquisition, the Company assumed the remaining commitments of USWM Enterprises and its subsidiaries, which are discussed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232"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 xml:space="preserve">In addition to the annual minimum purchase quantity requirements of MYOBLOC, amounting to an estimated €3.0 million annually, under the contract manufacturing agreement with Merz for manufacture and supply, USWM Enterprises had an existing license and distribution agreement for XADAGO. This included an annual minimum promotional spend to support the marketing of XADAGO for the first five years of the agreement. As of March 31, 2021, the remaining contractual commitments were $2.4 million, of which $0.4 million is for the current period through June 2021 and the remainder is for the period from July 2021 to June 2020. Refer to Note 3, </w:t>
      </w:r>
      <w:r>
        <w:rPr>
          <w:rFonts w:ascii="Arial" w:cs="Arial" w:eastAsia="Arial" w:hAnsi="Arial"/>
          <w:sz w:val="17"/>
          <w:szCs w:val="17"/>
          <w:i w:val="1"/>
          <w:iCs w:val="1"/>
          <w:color w:val="auto"/>
        </w:rPr>
        <w:t>USWM Acquisition</w:t>
      </w:r>
      <w:r>
        <w:rPr>
          <w:rFonts w:ascii="Arial" w:cs="Arial" w:eastAsia="Arial" w:hAnsi="Arial"/>
          <w:sz w:val="17"/>
          <w:szCs w:val="17"/>
          <w:color w:val="auto"/>
        </w:rPr>
        <w:t xml:space="preserve">, for further discussion on the USWM Acquisition and Note 12, </w:t>
      </w:r>
      <w:r>
        <w:rPr>
          <w:rFonts w:ascii="Arial" w:cs="Arial" w:eastAsia="Arial" w:hAnsi="Arial"/>
          <w:sz w:val="17"/>
          <w:szCs w:val="17"/>
          <w:i w:val="1"/>
          <w:iCs w:val="1"/>
          <w:color w:val="auto"/>
        </w:rPr>
        <w:t>Leases</w:t>
      </w:r>
      <w:r>
        <w:rPr>
          <w:rFonts w:ascii="Arial" w:cs="Arial" w:eastAsia="Arial" w:hAnsi="Arial"/>
          <w:sz w:val="17"/>
          <w:szCs w:val="17"/>
          <w:color w:val="auto"/>
        </w:rPr>
        <w:t>, for further discussion on the Merz Agreement.</w:t>
      </w:r>
    </w:p>
    <w:p>
      <w:pPr>
        <w:spacing w:after="0" w:line="209"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In March 2019, which is prior to the USWM Acquisition Closing Date,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remaining obligations of the CIA and could become liable for payment of certain stipulated monetary penalties in the event of any CIA violations. In addition, the Company will continue to incur significant costs through March 2024 to maintain a broad array of processes, policies and procedures necessary to comply with the CIA.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 and Litigation</w:t>
      </w:r>
    </w:p>
    <w:p>
      <w:pPr>
        <w:spacing w:after="0" w:line="243"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We do not believe that any of these matters will have a material adverse effect on our financial position. The Company may reassess the potential liability related to these matters and may revise these estimates, which could result in material adverse adjustments to the Company's operating results.</w:t>
      </w:r>
    </w:p>
    <w:p>
      <w:pPr>
        <w:spacing w:after="0" w:line="36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184"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In April 2021, the Company notified the European Medicine Agency that it will cease the marketing of rimabotulinumtoxinB (NeuroBloc) in European countries.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2020 and the related Management’s Discussion and Analysis of Financial Condition and Results of Operations, both of which are contained in our Annual Report on Form 10-K, filed with the Securities and Exchange Commission on March 8, 2021.</w:t>
      </w:r>
    </w:p>
    <w:p>
      <w:pPr>
        <w:spacing w:after="0" w:line="14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4"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ind w:right="160" w:firstLine="619"/>
        <w:spacing w:after="0" w:line="287" w:lineRule="auto"/>
        <w:rPr>
          <w:sz w:val="20"/>
          <w:szCs w:val="20"/>
          <w:color w:val="auto"/>
        </w:rPr>
      </w:pPr>
      <w:r>
        <w:rPr>
          <w:rFonts w:ascii="Arial" w:cs="Arial" w:eastAsia="Arial" w:hAnsi="Arial"/>
          <w:sz w:val="15"/>
          <w:szCs w:val="15"/>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w:t>
      </w:r>
    </w:p>
    <w:p>
      <w:pPr>
        <w:ind w:right="240"/>
        <w:spacing w:after="0" w:line="279" w:lineRule="auto"/>
        <w:rPr>
          <w:sz w:val="20"/>
          <w:szCs w:val="20"/>
          <w:color w:val="auto"/>
        </w:rPr>
      </w:pPr>
      <w:r>
        <w:rPr>
          <w:rFonts w:ascii="Arial" w:cs="Arial" w:eastAsia="Arial" w:hAnsi="Arial"/>
          <w:sz w:val="17"/>
          <w:szCs w:val="17"/>
          <w:color w:val="auto"/>
        </w:rPr>
        <w:t>Parkinson’s Disease (PD), cervical dystonia, and chronic sialorrhea. We are developing a broad range of novel CNS product candidates including new potential treatments for ADHD, hypomobility in PD, epilepsy, depression, and rare CNS disorders.</w:t>
      </w:r>
    </w:p>
    <w:p>
      <w:pPr>
        <w:spacing w:after="0" w:line="177" w:lineRule="exact"/>
        <w:rPr>
          <w:sz w:val="20"/>
          <w:szCs w:val="20"/>
          <w:color w:val="auto"/>
        </w:rPr>
      </w:pPr>
    </w:p>
    <w:p>
      <w:pPr>
        <w:jc w:val="both"/>
        <w:ind w:right="20" w:firstLine="619"/>
        <w:spacing w:after="0" w:line="279" w:lineRule="auto"/>
        <w:rPr>
          <w:sz w:val="20"/>
          <w:szCs w:val="20"/>
          <w:color w:val="auto"/>
        </w:rPr>
      </w:pPr>
      <w:r>
        <w:rPr>
          <w:rFonts w:ascii="Arial" w:cs="Arial" w:eastAsia="Arial" w:hAnsi="Arial"/>
          <w:sz w:val="17"/>
          <w:szCs w:val="17"/>
          <w:color w:val="auto"/>
        </w:rPr>
        <w:t>In April 2021, the U.S. Food and Drug Administration (FDA) approved Qelbree for the treatment of ADHD in pediatric patients 6 to 17 years of age. The Company plans to make Qelbree available in the U.S. during the second quarter of 2021.</w:t>
      </w:r>
    </w:p>
    <w:p>
      <w:pPr>
        <w:spacing w:after="0" w:line="190" w:lineRule="exact"/>
        <w:rPr>
          <w:sz w:val="20"/>
          <w:szCs w:val="20"/>
          <w:color w:val="auto"/>
        </w:rPr>
      </w:pPr>
    </w:p>
    <w:p>
      <w:pPr>
        <w:jc w:val="both"/>
        <w:ind w:right="20" w:firstLine="619"/>
        <w:spacing w:after="0" w:line="262" w:lineRule="auto"/>
        <w:rPr>
          <w:sz w:val="20"/>
          <w:szCs w:val="20"/>
          <w:color w:val="auto"/>
        </w:rPr>
      </w:pPr>
      <w:r>
        <w:rPr>
          <w:rFonts w:ascii="Arial" w:cs="Arial" w:eastAsia="Arial" w:hAnsi="Arial"/>
          <w:sz w:val="17"/>
          <w:szCs w:val="17"/>
          <w:color w:val="auto"/>
        </w:rPr>
        <w:t>On April 28, 2020, the Company entered into a Sale and Purchase Agreement with US WorldMeds Partners, LLC to acquire the CNS portfolio of USWM Enterprises, LLC (USWM Enterprises) (USWM Acquisition). With the acquisition, completed on June 9, 2020, the Company added three established commercial products and a product candidate in late-stage development to its portfolio. These commercial products, APOKYN, XADAGO, and MYOBLOC, are primarily for the treatment of PD.</w:t>
      </w:r>
    </w:p>
    <w:p>
      <w:pPr>
        <w:spacing w:after="0" w:line="204" w:lineRule="exact"/>
        <w:rPr>
          <w:sz w:val="20"/>
          <w:szCs w:val="20"/>
          <w:color w:val="auto"/>
        </w:rPr>
      </w:pPr>
    </w:p>
    <w:p>
      <w:pPr>
        <w:jc w:val="both"/>
        <w:ind w:right="20" w:firstLine="619"/>
        <w:spacing w:after="0" w:line="294" w:lineRule="auto"/>
        <w:rPr>
          <w:sz w:val="20"/>
          <w:szCs w:val="20"/>
          <w:color w:val="auto"/>
        </w:rPr>
      </w:pPr>
      <w:r>
        <w:rPr>
          <w:rFonts w:ascii="Arial" w:cs="Arial" w:eastAsia="Arial" w:hAnsi="Arial"/>
          <w:sz w:val="15"/>
          <w:szCs w:val="15"/>
          <w:color w:val="auto"/>
        </w:rPr>
        <w:t>On April 21, 2020, the Company entered into a Development and Option Agreement (Development Agreement) with Navitor Pharmaceuticals, Inc. (Navitor Inc.). Under the terms of the Development Agreement, the Company and Navitor Inc. will jointly conduct a Phase II clinical program for NV-5138 (SPN-</w:t>
      </w:r>
    </w:p>
    <w:p>
      <w:pPr>
        <w:spacing w:after="0" w:line="1" w:lineRule="exact"/>
        <w:rPr>
          <w:sz w:val="20"/>
          <w:szCs w:val="20"/>
          <w:color w:val="auto"/>
        </w:rPr>
      </w:pPr>
    </w:p>
    <w:p>
      <w:pPr>
        <w:ind w:right="20" w:firstLine="3"/>
        <w:spacing w:after="0" w:line="259" w:lineRule="auto"/>
        <w:tabs>
          <w:tab w:leader="none" w:pos="3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treatment resistant depression (TRD). In addition to entering into the Development Agreement in April 2020, the Company acquired an ownership position in Navitor Inc. In March 2021, Navitor Inc. underwent a legal restructuring whereby Navitor Inc. became a wholly owned subsidiary of a newly formed limited liability company, Navitor Pharmaceuticals, LLC (Navitor LLC) (Navitor Restructuring).</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 portfolio of commercial products and product candidates.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Products</w:t>
      </w:r>
    </w:p>
    <w:p>
      <w:pPr>
        <w:spacing w:after="0" w:line="243" w:lineRule="exact"/>
        <w:rPr>
          <w:sz w:val="20"/>
          <w:szCs w:val="20"/>
          <w:color w:val="auto"/>
        </w:rPr>
      </w:pPr>
    </w:p>
    <w:p>
      <w:pPr>
        <w:ind w:left="620" w:right="180" w:hanging="307"/>
        <w:spacing w:after="0" w:line="22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Trokendi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222" w:lineRule="exact"/>
        <w:rPr>
          <w:rFonts w:ascii="Arial" w:cs="Arial" w:eastAsia="Arial" w:hAnsi="Arial"/>
          <w:sz w:val="17"/>
          <w:szCs w:val="17"/>
          <w:color w:val="auto"/>
        </w:rPr>
      </w:pPr>
    </w:p>
    <w:p>
      <w:pPr>
        <w:ind w:left="620" w:right="100" w:hanging="307"/>
        <w:spacing w:after="0" w:line="22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Oxtellar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222" w:lineRule="exact"/>
        <w:rPr>
          <w:rFonts w:ascii="Arial" w:cs="Arial" w:eastAsia="Arial" w:hAnsi="Arial"/>
          <w:sz w:val="17"/>
          <w:szCs w:val="17"/>
          <w:color w:val="auto"/>
        </w:rPr>
      </w:pPr>
    </w:p>
    <w:p>
      <w:pPr>
        <w:ind w:left="620" w:right="20" w:hanging="307"/>
        <w:spacing w:after="0" w:line="22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Qelbree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(viloxazine extended-release capsules) is a novel non-stimulant product indicated for the treatment of ADHD in pediatric patients 6 to 17 years of age.</w:t>
      </w:r>
    </w:p>
    <w:p>
      <w:pPr>
        <w:spacing w:after="0" w:line="222" w:lineRule="exact"/>
        <w:rPr>
          <w:rFonts w:ascii="Arial" w:cs="Arial" w:eastAsia="Arial" w:hAnsi="Arial"/>
          <w:sz w:val="17"/>
          <w:szCs w:val="17"/>
          <w:color w:val="auto"/>
        </w:rPr>
      </w:pPr>
    </w:p>
    <w:p>
      <w:pPr>
        <w:ind w:left="620" w:right="60" w:hanging="307"/>
        <w:spacing w:after="0" w:line="22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APOKYN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222" w:lineRule="exact"/>
        <w:rPr>
          <w:rFonts w:ascii="Arial" w:cs="Arial" w:eastAsia="Arial" w:hAnsi="Arial"/>
          <w:sz w:val="17"/>
          <w:szCs w:val="17"/>
          <w:color w:val="auto"/>
        </w:rPr>
      </w:pPr>
    </w:p>
    <w:p>
      <w:pPr>
        <w:ind w:left="620" w:right="100" w:hanging="307"/>
        <w:spacing w:after="0" w:line="22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MYOBLOC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(rimabotulinumtoxinB) is a product indicated for the treatment of cervical dystonia and sialorrhea in adults, and it is the only Type B toxin available on the market.</w:t>
      </w:r>
    </w:p>
    <w:p>
      <w:pPr>
        <w:spacing w:after="0" w:line="22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XADAGO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(safinamide) is a once-daily product indicated as adjunctive treatment to levodopa/carbidopa in patients with PD experiencing “off” episodes.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Candidates</w:t>
      </w:r>
    </w:p>
    <w:p>
      <w:pPr>
        <w:spacing w:after="0" w:line="243"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SPN-812 (viloxazine hydrochloride) is a novel non-stimulant product candidate for the treatment of ADHD in adult patients.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SPN-830 (Apomorphine Infusion Pump) is a late-stage drug/device combination product candidate for the continuous prevention of “off” episodes in PD.</w:t>
      </w:r>
    </w:p>
    <w:p>
      <w:pPr>
        <w:spacing w:after="0" w:line="265"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SPN-817 is a novel product candidate for the treatment of severe epilepsy.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right="14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SPN-820 is a first-in-class product candidate for TRD. It is an orally active small molecule that directly activates brain mechanistic target of rapamycin complex 1 (mTORC1).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Qelbree Launch Update</w:t>
      </w:r>
    </w:p>
    <w:p>
      <w:pPr>
        <w:spacing w:after="0" w:line="243" w:lineRule="exact"/>
        <w:rPr>
          <w:sz w:val="20"/>
          <w:szCs w:val="20"/>
          <w:color w:val="auto"/>
        </w:rPr>
      </w:pPr>
    </w:p>
    <w:p>
      <w:pPr>
        <w:ind w:left="620" w:right="1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April 2021, the U.S. Food and Drug Administration (FDA) approved Qelbree for the treatment of attention-deficit hyperactivity disorder (ADHD) in pediatric patients 6 to 17 years of age. We plan to make Qelbree available in the U.S. during the second quarter of 2021.</w:t>
      </w:r>
    </w:p>
    <w:p>
      <w:pPr>
        <w:spacing w:after="0" w:line="190" w:lineRule="exact"/>
        <w:rPr>
          <w:rFonts w:ascii="Arial" w:cs="Arial" w:eastAsia="Arial" w:hAnsi="Arial"/>
          <w:sz w:val="17"/>
          <w:szCs w:val="17"/>
          <w:color w:val="auto"/>
        </w:rPr>
      </w:pPr>
    </w:p>
    <w:p>
      <w:pPr>
        <w:ind w:left="620" w:hanging="307"/>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conduct post-marketing commitment studies, including a new study of Qelbree in preschool aged children with ADHD, 4 to 5 years of age. The completion of these studies responds to a written request from the FDA and should therefore result in the FDA granting an additional 6 months of market exclusivity.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Pipeline Update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Qelbree (viloxazine, extended-release capsules) - Novel non-stimulant for the treatment of ADHD in adults</w:t>
      </w:r>
    </w:p>
    <w:p>
      <w:pPr>
        <w:spacing w:after="0" w:line="243" w:lineRule="exact"/>
        <w:rPr>
          <w:sz w:val="20"/>
          <w:szCs w:val="20"/>
          <w:color w:val="auto"/>
        </w:rPr>
      </w:pPr>
    </w:p>
    <w:p>
      <w:pPr>
        <w:ind w:left="620" w:right="38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December 2020, we announced positive results from a Phase III trial in adult patients with ADHD and plans to submit a supplemental New Drug Application (sNDA) to the FDA for Qelbree in adults in the third quarter of 2021.</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SPN-830 (apomorphine infusion pump) - Continuous treatment of motor fluctuations (“on-off” episodes) in PD</w:t>
      </w:r>
    </w:p>
    <w:p>
      <w:pPr>
        <w:spacing w:after="0" w:line="243" w:lineRule="exact"/>
        <w:rPr>
          <w:sz w:val="20"/>
          <w:szCs w:val="20"/>
          <w:color w:val="auto"/>
        </w:rPr>
      </w:pPr>
    </w:p>
    <w:p>
      <w:pPr>
        <w:ind w:left="620" w:right="20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recently met with the FDA to discuss the path forward for resubmission of the SPN-830 NDA. The FDA provided additional clarity related to the contents of the November 2020 Refusal to File (RTF) letter and the requirements for resubmission. We now plan to resubmit the SPN-830 NDA in the second half of 2021.</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SPN-820 - Novel first-in-class activator of mTORC1</w:t>
      </w:r>
    </w:p>
    <w:p>
      <w:pPr>
        <w:spacing w:after="0" w:line="243" w:lineRule="exact"/>
        <w:rPr>
          <w:sz w:val="20"/>
          <w:szCs w:val="20"/>
          <w:color w:val="auto"/>
        </w:rPr>
      </w:pPr>
    </w:p>
    <w:p>
      <w:pPr>
        <w:ind w:left="620" w:right="40" w:hanging="307"/>
        <w:spacing w:after="0" w:line="266"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SPN-820 has advanced to a Phase II clinical program in treatment-resistant depression following the successful completion of a multiple-ascending dose (MAD) study in healthy volunteers. In the MAD study, SPN-820 exhibited a favorable safety and tolerability profile across a broad range of potentially therapeutic doses.</w:t>
      </w:r>
    </w:p>
    <w:p>
      <w:pPr>
        <w:spacing w:after="0" w:line="200"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expect to initiate a randomized Phase II clinical study in treatment-resistant depression by the end of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the Use of Estimates</w:t>
      </w:r>
    </w:p>
    <w:p>
      <w:pPr>
        <w:spacing w:after="0" w:line="197"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Our condensed consolidated financial statements are prepared in accordance with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 We believe the judgments, estimates, and assumptions associated with the following critical accounting policies have the greatest potential impact on our condensed consolidated financial statements:</w:t>
      </w:r>
    </w:p>
    <w:p>
      <w:pPr>
        <w:spacing w:after="0" w:line="209"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Business combination accounting and valuation of acquired assets, including goodwill and intangible assets;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Valuation of contingent consideration;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232"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There were no changes to the disclosures with respect to the above listed critical accounting policies in our Annual Report on Form 10-K for the year ended December 31, 2020. A summary of our significant accounting policies appears in the notes to our audited consolidated financial statements included in the Annual Report on Form 10-K for the year ended December 31, 2020.</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Revenues</w:t>
      </w:r>
    </w:p>
    <w:p>
      <w:pPr>
        <w:spacing w:after="0" w:line="178" w:lineRule="exact"/>
        <w:rPr>
          <w:sz w:val="20"/>
          <w:szCs w:val="20"/>
          <w:color w:val="auto"/>
        </w:rPr>
      </w:pPr>
    </w:p>
    <w:p>
      <w:pPr>
        <w:ind w:right="240" w:firstLine="619"/>
        <w:spacing w:after="0" w:line="306" w:lineRule="auto"/>
        <w:rPr>
          <w:sz w:val="20"/>
          <w:szCs w:val="20"/>
          <w:color w:val="auto"/>
        </w:rPr>
      </w:pPr>
      <w:r>
        <w:rPr>
          <w:rFonts w:ascii="Arial" w:cs="Arial" w:eastAsia="Arial" w:hAnsi="Arial"/>
          <w:sz w:val="15"/>
          <w:szCs w:val="15"/>
          <w:color w:val="auto"/>
        </w:rPr>
        <w:t>Revenues consist primarily of net product sales of our commercial products in the U.S., supplemented by royalty revenues from our collaborative licensing arrangements. The following table provides information regarding our revenues during the three months ended March 31,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56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r>
      <w:tr>
        <w:trPr>
          <w:trHeight w:val="178"/>
        </w:trPr>
        <w:tc>
          <w:tcPr>
            <w:tcW w:w="39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w w:val="97"/>
              </w:rPr>
              <w:t>Percent</w:t>
            </w:r>
          </w:p>
        </w:tc>
      </w:tr>
      <w:tr>
        <w:trPr>
          <w:trHeight w:val="200"/>
        </w:trPr>
        <w:tc>
          <w:tcPr>
            <w:tcW w:w="3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product sales</w:t>
            </w:r>
          </w:p>
        </w:tc>
        <w:tc>
          <w:tcPr>
            <w:tcW w:w="9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8"/>
        </w:trPr>
        <w:tc>
          <w:tcPr>
            <w:tcW w:w="3920" w:type="dxa"/>
            <w:vAlign w:val="bottom"/>
          </w:tcPr>
          <w:p>
            <w:pPr>
              <w:ind w:left="760"/>
              <w:spacing w:after="0"/>
              <w:rPr>
                <w:sz w:val="20"/>
                <w:szCs w:val="20"/>
                <w:color w:val="auto"/>
              </w:rPr>
            </w:pPr>
            <w:r>
              <w:rPr>
                <w:rFonts w:ascii="Arial" w:cs="Arial" w:eastAsia="Arial" w:hAnsi="Arial"/>
                <w:sz w:val="17"/>
                <w:szCs w:val="17"/>
                <w:color w:val="auto"/>
              </w:rPr>
              <w:t>Trokendi XR</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71,819</w:t>
            </w:r>
          </w:p>
        </w:tc>
        <w:tc>
          <w:tcPr>
            <w:tcW w:w="10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68,551</w:t>
            </w:r>
          </w:p>
        </w:tc>
        <w:tc>
          <w:tcPr>
            <w:tcW w:w="1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center"/>
              <w:ind w:left="116"/>
              <w:spacing w:after="0"/>
              <w:rPr>
                <w:sz w:val="20"/>
                <w:szCs w:val="20"/>
                <w:color w:val="auto"/>
              </w:rPr>
            </w:pPr>
            <w:r>
              <w:rPr>
                <w:rFonts w:ascii="Arial" w:cs="Arial" w:eastAsia="Arial" w:hAnsi="Arial"/>
                <w:sz w:val="17"/>
                <w:szCs w:val="17"/>
                <w:color w:val="auto"/>
                <w:w w:val="97"/>
              </w:rPr>
              <w:t>5%</w:t>
            </w:r>
          </w:p>
        </w:tc>
      </w:tr>
      <w:tr>
        <w:trPr>
          <w:trHeight w:val="220"/>
        </w:trPr>
        <w:tc>
          <w:tcPr>
            <w:tcW w:w="39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Oxtellar XR</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6"/>
              <w:spacing w:after="0"/>
              <w:rPr>
                <w:sz w:val="20"/>
                <w:szCs w:val="20"/>
                <w:color w:val="auto"/>
              </w:rPr>
            </w:pPr>
            <w:r>
              <w:rPr>
                <w:rFonts w:ascii="Arial" w:cs="Arial" w:eastAsia="Arial" w:hAnsi="Arial"/>
                <w:sz w:val="17"/>
                <w:szCs w:val="17"/>
                <w:color w:val="auto"/>
                <w:w w:val="93"/>
              </w:rPr>
              <w:t>14%</w:t>
            </w:r>
          </w:p>
        </w:tc>
      </w:tr>
      <w:tr>
        <w:trPr>
          <w:trHeight w:val="218"/>
        </w:trPr>
        <w:tc>
          <w:tcPr>
            <w:tcW w:w="3920" w:type="dxa"/>
            <w:vAlign w:val="bottom"/>
          </w:tcPr>
          <w:p>
            <w:pPr>
              <w:ind w:left="740"/>
              <w:spacing w:after="0"/>
              <w:rPr>
                <w:sz w:val="20"/>
                <w:szCs w:val="20"/>
                <w:color w:val="auto"/>
              </w:rPr>
            </w:pPr>
            <w:r>
              <w:rPr>
                <w:rFonts w:ascii="Arial" w:cs="Arial" w:eastAsia="Arial" w:hAnsi="Arial"/>
                <w:sz w:val="17"/>
                <w:szCs w:val="17"/>
                <w:color w:val="auto"/>
              </w:rPr>
              <w:t>APOKYN</w:t>
            </w:r>
          </w:p>
        </w:tc>
        <w:tc>
          <w:tcPr>
            <w:tcW w:w="9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21,730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21,730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center"/>
              <w:ind w:left="116"/>
              <w:spacing w:after="0"/>
              <w:rPr>
                <w:sz w:val="20"/>
                <w:szCs w:val="20"/>
                <w:color w:val="auto"/>
              </w:rPr>
            </w:pPr>
            <w:r>
              <w:rPr>
                <w:rFonts w:ascii="Arial" w:cs="Arial" w:eastAsia="Arial" w:hAnsi="Arial"/>
                <w:sz w:val="17"/>
                <w:szCs w:val="17"/>
                <w:color w:val="auto"/>
              </w:rPr>
              <w:t>**</w:t>
            </w:r>
          </w:p>
        </w:tc>
      </w:tr>
      <w:tr>
        <w:trPr>
          <w:trHeight w:val="220"/>
        </w:trPr>
        <w:tc>
          <w:tcPr>
            <w:tcW w:w="39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MYOBLOC</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16"/>
              <w:spacing w:after="0"/>
              <w:rPr>
                <w:sz w:val="20"/>
                <w:szCs w:val="20"/>
                <w:color w:val="auto"/>
              </w:rPr>
            </w:pPr>
            <w:r>
              <w:rPr>
                <w:rFonts w:ascii="Arial" w:cs="Arial" w:eastAsia="Arial" w:hAnsi="Arial"/>
                <w:sz w:val="17"/>
                <w:szCs w:val="17"/>
                <w:color w:val="auto"/>
              </w:rPr>
              <w:t>**</w:t>
            </w:r>
          </w:p>
        </w:tc>
      </w:tr>
      <w:tr>
        <w:trPr>
          <w:trHeight w:val="218"/>
        </w:trPr>
        <w:tc>
          <w:tcPr>
            <w:tcW w:w="3920" w:type="dxa"/>
            <w:vAlign w:val="bottom"/>
          </w:tcPr>
          <w:p>
            <w:pPr>
              <w:ind w:left="740"/>
              <w:spacing w:after="0"/>
              <w:rPr>
                <w:sz w:val="20"/>
                <w:szCs w:val="20"/>
                <w:color w:val="auto"/>
              </w:rPr>
            </w:pPr>
            <w:r>
              <w:rPr>
                <w:rFonts w:ascii="Arial" w:cs="Arial" w:eastAsia="Arial" w:hAnsi="Arial"/>
                <w:sz w:val="17"/>
                <w:szCs w:val="17"/>
                <w:color w:val="auto"/>
              </w:rPr>
              <w:t>XADAGO</w:t>
            </w:r>
          </w:p>
        </w:tc>
        <w:tc>
          <w:tcPr>
            <w:tcW w:w="9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center"/>
              <w:ind w:left="116"/>
              <w:spacing w:after="0"/>
              <w:rPr>
                <w:sz w:val="20"/>
                <w:szCs w:val="20"/>
                <w:color w:val="auto"/>
              </w:rPr>
            </w:pPr>
            <w:r>
              <w:rPr>
                <w:rFonts w:ascii="Arial" w:cs="Arial" w:eastAsia="Arial" w:hAnsi="Arial"/>
                <w:sz w:val="17"/>
                <w:szCs w:val="17"/>
                <w:color w:val="auto"/>
              </w:rPr>
              <w:t>**</w:t>
            </w:r>
          </w:p>
        </w:tc>
      </w:tr>
      <w:tr>
        <w:trPr>
          <w:trHeight w:val="213"/>
        </w:trPr>
        <w:tc>
          <w:tcPr>
            <w:tcW w:w="3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net product sales</w:t>
            </w:r>
          </w:p>
        </w:tc>
        <w:tc>
          <w:tcPr>
            <w:tcW w:w="9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128,381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92,490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center"/>
              <w:ind w:left="116"/>
              <w:spacing w:after="0"/>
              <w:rPr>
                <w:sz w:val="20"/>
                <w:szCs w:val="20"/>
                <w:color w:val="auto"/>
              </w:rPr>
            </w:pPr>
            <w:r>
              <w:rPr>
                <w:rFonts w:ascii="Arial" w:cs="Arial" w:eastAsia="Arial" w:hAnsi="Arial"/>
                <w:sz w:val="17"/>
                <w:szCs w:val="17"/>
                <w:color w:val="auto"/>
                <w:w w:val="93"/>
              </w:rPr>
              <w:t>39%</w:t>
            </w:r>
          </w:p>
        </w:tc>
      </w:tr>
      <w:tr>
        <w:trPr>
          <w:trHeight w:val="218"/>
        </w:trPr>
        <w:tc>
          <w:tcPr>
            <w:tcW w:w="39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Royalty revenues</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left="116"/>
              <w:spacing w:after="0"/>
              <w:rPr>
                <w:sz w:val="20"/>
                <w:szCs w:val="20"/>
                <w:color w:val="auto"/>
              </w:rPr>
            </w:pPr>
            <w:r>
              <w:rPr>
                <w:rFonts w:ascii="Arial" w:cs="Arial" w:eastAsia="Arial" w:hAnsi="Arial"/>
                <w:sz w:val="17"/>
                <w:szCs w:val="17"/>
                <w:color w:val="auto"/>
                <w:w w:val="97"/>
              </w:rPr>
              <w:t>3%</w:t>
            </w:r>
          </w:p>
        </w:tc>
      </w:tr>
      <w:tr>
        <w:trPr>
          <w:trHeight w:val="238"/>
        </w:trPr>
        <w:tc>
          <w:tcPr>
            <w:tcW w:w="3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revenues</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130,932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35,956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left="116"/>
              <w:spacing w:after="0"/>
              <w:rPr>
                <w:sz w:val="20"/>
                <w:szCs w:val="20"/>
                <w:color w:val="auto"/>
              </w:rPr>
            </w:pPr>
            <w:r>
              <w:rPr>
                <w:rFonts w:ascii="Arial" w:cs="Arial" w:eastAsia="Arial" w:hAnsi="Arial"/>
                <w:sz w:val="17"/>
                <w:szCs w:val="17"/>
                <w:color w:val="auto"/>
                <w:w w:val="93"/>
              </w:rPr>
              <w:t>38%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The $35.9 million and 39% increase in net product sales for the three months ended March 31, 2021, as compared to the same period in 2020, was primarily due to the inclusion of $29.2 million in net product sales, consequent to the completion of the USWM acquisition on June 9, 2020. The combined annual growth of Trokendi XR and Oxtellar XR was $6.7 million or 7% as compared to the same period in 2020.</w:t>
      </w:r>
    </w:p>
    <w:p>
      <w:pPr>
        <w:spacing w:after="0" w:line="149"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Trokendi XR net product sales increased by 5% to $71.8 million for the three months ended March 31, 2021 as compared to the same period in 2020. This increase was attributable to the favorable impact of the price increase taken in January 2021, coupled with favorable improvements in sales deductions that offset a decline in unit demand. Oxtellar XR net product sales increased by 14% to $27.4 million for the three months ended March 31, 2021 as compared to the same period in 2020. This increase was primarily attributable to the favorable impact of both unit demand and a price increase in January 2021.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Sales Deductions and Related Accruals</w:t>
      </w:r>
    </w:p>
    <w:p>
      <w:pPr>
        <w:spacing w:after="0" w:line="178" w:lineRule="exact"/>
        <w:rPr>
          <w:sz w:val="20"/>
          <w:szCs w:val="20"/>
          <w:color w:val="auto"/>
        </w:rPr>
      </w:pPr>
    </w:p>
    <w:p>
      <w:pPr>
        <w:ind w:right="40" w:firstLine="619"/>
        <w:spacing w:after="0" w:line="318" w:lineRule="auto"/>
        <w:rPr>
          <w:sz w:val="20"/>
          <w:szCs w:val="20"/>
          <w:color w:val="auto"/>
        </w:rPr>
      </w:pPr>
      <w:r>
        <w:rPr>
          <w:rFonts w:ascii="Arial" w:cs="Arial" w:eastAsia="Arial" w:hAnsi="Arial"/>
          <w:sz w:val="15"/>
          <w:szCs w:val="15"/>
          <w:color w:val="auto"/>
        </w:rPr>
        <w:t xml:space="preserve">We record accrued product rebates and accrued product returns as current liabilities in </w:t>
      </w:r>
      <w:r>
        <w:rPr>
          <w:rFonts w:ascii="Arial" w:cs="Arial" w:eastAsia="Arial" w:hAnsi="Arial"/>
          <w:sz w:val="15"/>
          <w:szCs w:val="15"/>
          <w:i w:val="1"/>
          <w:iCs w:val="1"/>
          <w:color w:val="auto"/>
        </w:rPr>
        <w:t>Accrued product returns and rebates,</w:t>
      </w:r>
      <w:r>
        <w:rPr>
          <w:rFonts w:ascii="Arial" w:cs="Arial" w:eastAsia="Arial" w:hAnsi="Arial"/>
          <w:sz w:val="15"/>
          <w:szCs w:val="15"/>
          <w:color w:val="auto"/>
        </w:rPr>
        <w:t xml:space="preserve"> on our condensed consolidated balance sheets. We record sales discounts as a reduction against </w:t>
      </w:r>
      <w:r>
        <w:rPr>
          <w:rFonts w:ascii="Arial" w:cs="Arial" w:eastAsia="Arial" w:hAnsi="Arial"/>
          <w:sz w:val="15"/>
          <w:szCs w:val="15"/>
          <w:i w:val="1"/>
          <w:iCs w:val="1"/>
          <w:color w:val="auto"/>
        </w:rPr>
        <w:t>Accounts receivable</w:t>
      </w:r>
      <w:r>
        <w:rPr>
          <w:rFonts w:ascii="Arial" w:cs="Arial" w:eastAsia="Arial" w:hAnsi="Arial"/>
          <w:sz w:val="15"/>
          <w:szCs w:val="15"/>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40" w:firstLine="619"/>
        <w:spacing w:after="0" w:line="270" w:lineRule="auto"/>
        <w:rPr>
          <w:sz w:val="20"/>
          <w:szCs w:val="20"/>
          <w:color w:val="auto"/>
        </w:rPr>
      </w:pPr>
      <w:r>
        <w:rPr>
          <w:rFonts w:ascii="Arial" w:cs="Arial" w:eastAsia="Arial" w:hAnsi="Arial"/>
          <w:sz w:val="17"/>
          <w:szCs w:val="17"/>
          <w:color w:val="auto"/>
        </w:rPr>
        <w:t>The following table provides a summary of activity with respect to sales deductions and related accruals during the periods indicated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Accrued Product Returns and Rebates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Product</w:t>
            </w:r>
          </w:p>
        </w:tc>
        <w:tc>
          <w:tcPr>
            <w:tcW w:w="720" w:type="dxa"/>
            <w:vAlign w:val="bottom"/>
          </w:tcPr>
          <w:p>
            <w:pPr>
              <w:spacing w:after="0"/>
              <w:rPr>
                <w:sz w:val="10"/>
                <w:szCs w:val="10"/>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Product</w:t>
            </w:r>
          </w:p>
        </w:tc>
        <w:tc>
          <w:tcPr>
            <w:tcW w:w="800" w:type="dxa"/>
            <w:vAlign w:val="bottom"/>
          </w:tcPr>
          <w:p>
            <w:pPr>
              <w:spacing w:after="0"/>
              <w:rPr>
                <w:sz w:val="10"/>
                <w:szCs w:val="10"/>
                <w:color w:val="auto"/>
              </w:rPr>
            </w:pPr>
          </w:p>
        </w:tc>
        <w:tc>
          <w:tcPr>
            <w:tcW w:w="1220" w:type="dxa"/>
            <w:vAlign w:val="bottom"/>
            <w:gridSpan w:val="2"/>
          </w:tcPr>
          <w:p>
            <w:pPr>
              <w:ind w:left="100"/>
              <w:spacing w:after="0" w:line="116" w:lineRule="exact"/>
              <w:rPr>
                <w:sz w:val="20"/>
                <w:szCs w:val="20"/>
                <w:color w:val="auto"/>
              </w:rPr>
            </w:pPr>
            <w:r>
              <w:rPr>
                <w:rFonts w:ascii="Arial" w:cs="Arial" w:eastAsia="Arial" w:hAnsi="Arial"/>
                <w:sz w:val="13"/>
                <w:szCs w:val="13"/>
                <w:b w:val="1"/>
                <w:bCs w:val="1"/>
                <w:color w:val="auto"/>
              </w:rPr>
              <w:t>Reduction to</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Accounts Receivable for</w:t>
            </w:r>
          </w:p>
        </w:tc>
        <w:tc>
          <w:tcPr>
            <w:tcW w:w="920" w:type="dxa"/>
            <w:vAlign w:val="bottom"/>
          </w:tcPr>
          <w:p>
            <w:pPr>
              <w:spacing w:after="0"/>
              <w:rPr>
                <w:sz w:val="11"/>
                <w:szCs w:val="11"/>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Rebates</w:t>
            </w:r>
          </w:p>
        </w:tc>
        <w:tc>
          <w:tcPr>
            <w:tcW w:w="7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Returns</w:t>
            </w: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Sales Discounts</w:t>
            </w:r>
          </w:p>
        </w:tc>
        <w:tc>
          <w:tcPr>
            <w:tcW w:w="9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96,589</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29,603</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137,596</w:t>
            </w:r>
          </w:p>
        </w:tc>
        <w:tc>
          <w:tcPr>
            <w:tcW w:w="0" w:type="dxa"/>
            <w:vAlign w:val="bottom"/>
          </w:tcPr>
          <w:p>
            <w:pPr>
              <w:spacing w:after="0"/>
              <w:rPr>
                <w:sz w:val="1"/>
                <w:szCs w:val="1"/>
                <w:color w:val="auto"/>
              </w:rPr>
            </w:pPr>
          </w:p>
        </w:tc>
      </w:tr>
      <w:tr>
        <w:trPr>
          <w:trHeight w:val="218"/>
        </w:trPr>
        <w:tc>
          <w:tcPr>
            <w:tcW w:w="3240" w:type="dxa"/>
            <w:vAlign w:val="bottom"/>
          </w:tcPr>
          <w:p>
            <w:pPr>
              <w:ind w:left="640"/>
              <w:spacing w:after="0"/>
              <w:rPr>
                <w:sz w:val="20"/>
                <w:szCs w:val="20"/>
                <w:color w:val="auto"/>
              </w:rPr>
            </w:pPr>
            <w:r>
              <w:rPr>
                <w:rFonts w:ascii="Arial" w:cs="Arial" w:eastAsia="Arial" w:hAnsi="Arial"/>
                <w:sz w:val="17"/>
                <w:szCs w:val="17"/>
                <w:color w:val="auto"/>
              </w:rPr>
              <w:t>Provision</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Provision for current year sales</w:t>
            </w: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114,589</w:t>
            </w:r>
          </w:p>
        </w:tc>
        <w:tc>
          <w:tcPr>
            <w:tcW w:w="0" w:type="dxa"/>
            <w:vAlign w:val="bottom"/>
          </w:tcPr>
          <w:p>
            <w:pPr>
              <w:spacing w:after="0"/>
              <w:rPr>
                <w:sz w:val="1"/>
                <w:szCs w:val="1"/>
                <w:color w:val="auto"/>
              </w:rPr>
            </w:pPr>
          </w:p>
        </w:tc>
      </w:tr>
      <w:tr>
        <w:trPr>
          <w:trHeight w:val="168"/>
        </w:trPr>
        <w:tc>
          <w:tcPr>
            <w:tcW w:w="3240" w:type="dxa"/>
            <w:vAlign w:val="bottom"/>
          </w:tcPr>
          <w:p>
            <w:pPr>
              <w:ind w:left="760"/>
              <w:spacing w:after="0" w:line="168" w:lineRule="exact"/>
              <w:rPr>
                <w:sz w:val="20"/>
                <w:szCs w:val="20"/>
                <w:color w:val="auto"/>
              </w:rPr>
            </w:pPr>
            <w:r>
              <w:rPr>
                <w:rFonts w:ascii="Arial" w:cs="Arial" w:eastAsia="Arial" w:hAnsi="Arial"/>
                <w:sz w:val="17"/>
                <w:szCs w:val="17"/>
                <w:color w:val="auto"/>
                <w:w w:val="98"/>
              </w:rPr>
              <w:t>Adjustments relating to prior year</w:t>
            </w: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sales</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provision</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114,869</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Actual payments/credits</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(95,107)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(112,840)</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Balance at March 31, 2021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96,638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32,098</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139,625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320" w:firstLine="619"/>
        <w:spacing w:after="0" w:line="349" w:lineRule="auto"/>
        <w:rPr>
          <w:sz w:val="20"/>
          <w:szCs w:val="20"/>
          <w:color w:val="auto"/>
        </w:rPr>
      </w:pPr>
      <w:r>
        <w:rPr>
          <w:rFonts w:ascii="Arial" w:cs="Arial" w:eastAsia="Arial" w:hAnsi="Arial"/>
          <w:sz w:val="15"/>
          <w:szCs w:val="15"/>
          <w:color w:val="auto"/>
        </w:rPr>
        <w:t>Increased product rebates were primarily attributable to greater utilization of our patient co-payment programs, as well as higher per patient payments under both Medicaid and commercial managed care programs. The increase in product returns balance is primarily due to the timing of related return activity.</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Royalty Revenues</w:t>
      </w:r>
    </w:p>
    <w:p>
      <w:pPr>
        <w:spacing w:after="0" w:line="178"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Royalty revenues include a royalty from net product sales of Mydayis, a product of Takeda Pharmaceuticals Company Ltd., and noncash royalty revenue pursuant to our agreement with Healthcare Royalty Partners III, L.P. (HC Royalty). HC Royalty receives royalty payments from United Therapeutics Corporation (United Therapeutics) based on net product sales of United Therapeutics’ product Orenitram.</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Royalty revenues were $2.6 million and $2.5 million for the three month period ended March 31, 2021 and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Cost of Goods Sold</w:t>
      </w:r>
    </w:p>
    <w:p>
      <w:pPr>
        <w:spacing w:after="0" w:line="178"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Cost of goods sold was $15.0 million and $4.2 million for the three months ended March 31, 2021 and 2020, respectively. The $10.8 million increase was primarily attributable to inclusion of cost of goods sold of the acquired commercial products from the USWM Acquisition. Royalty payments associated with APOKYN and XADAGO made up the majority of this cost increase.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Research and Development Expenses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provides information regarding our research and development (R&amp;D) expenses during the periods indicated (dollars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880" w:type="dxa"/>
            <w:vAlign w:val="bottom"/>
            <w:gridSpan w:val="3"/>
          </w:tcPr>
          <w:p>
            <w:pPr>
              <w:ind w:left="120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r>
      <w:tr>
        <w:trPr>
          <w:trHeight w:val="178"/>
        </w:trPr>
        <w:tc>
          <w:tcPr>
            <w:tcW w:w="40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Percent</w:t>
            </w:r>
          </w:p>
        </w:tc>
      </w:tr>
      <w:tr>
        <w:trPr>
          <w:trHeight w:val="200"/>
        </w:trPr>
        <w:tc>
          <w:tcPr>
            <w:tcW w:w="406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7"/>
                <w:szCs w:val="17"/>
                <w:color w:val="auto"/>
              </w:rPr>
              <w:t xml:space="preserve">Direct Project Costs </w:t>
            </w:r>
            <w:r>
              <w:rPr>
                <w:rFonts w:ascii="Arial" w:cs="Arial" w:eastAsia="Arial" w:hAnsi="Arial"/>
                <w:sz w:val="22"/>
                <w:szCs w:val="22"/>
                <w:color w:val="auto"/>
                <w:vertAlign w:val="superscript"/>
              </w:rPr>
              <w:t>(1)</w:t>
            </w: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8"/>
        </w:trPr>
        <w:tc>
          <w:tcPr>
            <w:tcW w:w="4060" w:type="dxa"/>
            <w:vAlign w:val="bottom"/>
          </w:tcPr>
          <w:p>
            <w:pPr>
              <w:ind w:left="120"/>
              <w:spacing w:after="0"/>
              <w:rPr>
                <w:sz w:val="20"/>
                <w:szCs w:val="20"/>
                <w:color w:val="auto"/>
              </w:rPr>
            </w:pPr>
            <w:r>
              <w:rPr>
                <w:rFonts w:ascii="Arial" w:cs="Arial" w:eastAsia="Arial" w:hAnsi="Arial"/>
                <w:sz w:val="17"/>
                <w:szCs w:val="17"/>
                <w:color w:val="auto"/>
              </w:rPr>
              <w:t>SPN-812</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3,968</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9,062</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(5,094)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316"/>
              <w:spacing w:after="0"/>
              <w:rPr>
                <w:sz w:val="20"/>
                <w:szCs w:val="20"/>
                <w:color w:val="auto"/>
              </w:rPr>
            </w:pPr>
            <w:r>
              <w:rPr>
                <w:rFonts w:ascii="Arial" w:cs="Arial" w:eastAsia="Arial" w:hAnsi="Arial"/>
                <w:sz w:val="17"/>
                <w:szCs w:val="17"/>
                <w:color w:val="auto"/>
                <w:w w:val="96"/>
              </w:rPr>
              <w:t>(56)%</w:t>
            </w:r>
          </w:p>
        </w:tc>
      </w:tr>
      <w:tr>
        <w:trPr>
          <w:trHeight w:val="220"/>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SPN-830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6"/>
              <w:spacing w:after="0"/>
              <w:rPr>
                <w:sz w:val="20"/>
                <w:szCs w:val="20"/>
                <w:color w:val="auto"/>
              </w:rPr>
            </w:pPr>
            <w:r>
              <w:rPr>
                <w:rFonts w:ascii="Arial" w:cs="Arial" w:eastAsia="Arial" w:hAnsi="Arial"/>
                <w:sz w:val="17"/>
                <w:szCs w:val="17"/>
                <w:color w:val="auto"/>
              </w:rPr>
              <w:t>**</w:t>
            </w:r>
          </w:p>
        </w:tc>
      </w:tr>
      <w:tr>
        <w:trPr>
          <w:trHeight w:val="218"/>
        </w:trPr>
        <w:tc>
          <w:tcPr>
            <w:tcW w:w="4060" w:type="dxa"/>
            <w:vAlign w:val="bottom"/>
          </w:tcPr>
          <w:p>
            <w:pPr>
              <w:ind w:left="120"/>
              <w:spacing w:after="0"/>
              <w:rPr>
                <w:sz w:val="20"/>
                <w:szCs w:val="20"/>
                <w:color w:val="auto"/>
              </w:rPr>
            </w:pPr>
            <w:r>
              <w:rPr>
                <w:rFonts w:ascii="Arial" w:cs="Arial" w:eastAsia="Arial" w:hAnsi="Arial"/>
                <w:sz w:val="17"/>
                <w:szCs w:val="17"/>
                <w:color w:val="auto"/>
              </w:rPr>
              <w:t>SPN-820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316"/>
              <w:spacing w:after="0"/>
              <w:rPr>
                <w:sz w:val="20"/>
                <w:szCs w:val="20"/>
                <w:color w:val="auto"/>
              </w:rPr>
            </w:pPr>
            <w:r>
              <w:rPr>
                <w:rFonts w:ascii="Arial" w:cs="Arial" w:eastAsia="Arial" w:hAnsi="Arial"/>
                <w:sz w:val="17"/>
                <w:szCs w:val="17"/>
                <w:color w:val="auto"/>
              </w:rPr>
              <w:t>**</w:t>
            </w:r>
          </w:p>
        </w:tc>
      </w:tr>
      <w:tr>
        <w:trPr>
          <w:trHeight w:val="220"/>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SPN-810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6"/>
              <w:spacing w:after="0"/>
              <w:rPr>
                <w:sz w:val="20"/>
                <w:szCs w:val="20"/>
                <w:color w:val="auto"/>
              </w:rPr>
            </w:pPr>
            <w:r>
              <w:rPr>
                <w:rFonts w:ascii="Arial" w:cs="Arial" w:eastAsia="Arial" w:hAnsi="Arial"/>
                <w:sz w:val="17"/>
                <w:szCs w:val="17"/>
                <w:color w:val="auto"/>
                <w:w w:val="96"/>
              </w:rPr>
              <w:t>(48)%</w:t>
            </w:r>
          </w:p>
        </w:tc>
      </w:tr>
      <w:tr>
        <w:trPr>
          <w:trHeight w:val="218"/>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center"/>
              <w:ind w:right="316"/>
              <w:spacing w:after="0"/>
              <w:rPr>
                <w:sz w:val="20"/>
                <w:szCs w:val="20"/>
                <w:color w:val="auto"/>
              </w:rPr>
            </w:pPr>
            <w:r>
              <w:rPr>
                <w:rFonts w:ascii="Arial" w:cs="Arial" w:eastAsia="Arial" w:hAnsi="Arial"/>
                <w:sz w:val="17"/>
                <w:szCs w:val="17"/>
                <w:color w:val="auto"/>
                <w:w w:val="93"/>
              </w:rPr>
              <w:t>12%</w:t>
            </w:r>
          </w:p>
        </w:tc>
      </w:tr>
      <w:tr>
        <w:trPr>
          <w:trHeight w:val="213"/>
        </w:trPr>
        <w:tc>
          <w:tcPr>
            <w:tcW w:w="4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16"/>
              <w:spacing w:after="0"/>
              <w:rPr>
                <w:sz w:val="20"/>
                <w:szCs w:val="20"/>
                <w:color w:val="auto"/>
              </w:rPr>
            </w:pPr>
            <w:r>
              <w:rPr>
                <w:rFonts w:ascii="Arial" w:cs="Arial" w:eastAsia="Arial" w:hAnsi="Arial"/>
                <w:sz w:val="17"/>
                <w:szCs w:val="17"/>
                <w:color w:val="auto"/>
                <w:w w:val="96"/>
              </w:rPr>
              <w:t>(20)%</w:t>
            </w:r>
          </w:p>
        </w:tc>
      </w:tr>
      <w:tr>
        <w:trPr>
          <w:trHeight w:val="258"/>
        </w:trPr>
        <w:tc>
          <w:tcPr>
            <w:tcW w:w="4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R&amp;D expense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16"/>
              <w:spacing w:after="0"/>
              <w:rPr>
                <w:sz w:val="20"/>
                <w:szCs w:val="20"/>
                <w:color w:val="auto"/>
              </w:rPr>
            </w:pPr>
            <w:r>
              <w:rPr>
                <w:rFonts w:ascii="Arial" w:cs="Arial" w:eastAsia="Arial" w:hAnsi="Arial"/>
                <w:sz w:val="17"/>
                <w:szCs w:val="17"/>
                <w:color w:val="auto"/>
              </w:rPr>
              <w:t>**</w:t>
            </w:r>
          </w:p>
        </w:tc>
      </w:tr>
      <w:tr>
        <w:trPr>
          <w:trHeight w:val="239"/>
        </w:trPr>
        <w:tc>
          <w:tcPr>
            <w:tcW w:w="4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9"/>
        </w:trPr>
        <w:tc>
          <w:tcPr>
            <w:tcW w:w="40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Indirect Project Costs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4060" w:type="dxa"/>
            <w:vAlign w:val="bottom"/>
          </w:tcPr>
          <w:p>
            <w:pPr>
              <w:ind w:left="120"/>
              <w:spacing w:after="0"/>
              <w:rPr>
                <w:sz w:val="20"/>
                <w:szCs w:val="20"/>
                <w:color w:val="auto"/>
              </w:rPr>
            </w:pPr>
            <w:r>
              <w:rPr>
                <w:rFonts w:ascii="Arial" w:cs="Arial" w:eastAsia="Arial" w:hAnsi="Arial"/>
                <w:sz w:val="17"/>
                <w:szCs w:val="17"/>
                <w:color w:val="auto"/>
              </w:rPr>
              <w:t>Share-based compensation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316"/>
              <w:spacing w:after="0"/>
              <w:rPr>
                <w:sz w:val="20"/>
                <w:szCs w:val="20"/>
                <w:color w:val="auto"/>
              </w:rPr>
            </w:pPr>
            <w:r>
              <w:rPr>
                <w:rFonts w:ascii="Arial" w:cs="Arial" w:eastAsia="Arial" w:hAnsi="Arial"/>
                <w:sz w:val="17"/>
                <w:szCs w:val="17"/>
                <w:color w:val="auto"/>
                <w:w w:val="96"/>
              </w:rPr>
              <w:t>(14)%</w:t>
            </w:r>
          </w:p>
        </w:tc>
      </w:tr>
      <w:tr>
        <w:trPr>
          <w:trHeight w:val="220"/>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indirect overhead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316"/>
              <w:spacing w:after="0"/>
              <w:rPr>
                <w:sz w:val="20"/>
                <w:szCs w:val="20"/>
                <w:color w:val="auto"/>
              </w:rPr>
            </w:pPr>
            <w:r>
              <w:rPr>
                <w:rFonts w:ascii="Arial" w:cs="Arial" w:eastAsia="Arial" w:hAnsi="Arial"/>
                <w:sz w:val="17"/>
                <w:szCs w:val="17"/>
                <w:color w:val="auto"/>
                <w:w w:val="93"/>
              </w:rPr>
              <w:t>58%</w:t>
            </w:r>
          </w:p>
        </w:tc>
      </w:tr>
      <w:tr>
        <w:trPr>
          <w:trHeight w:val="211"/>
        </w:trPr>
        <w:tc>
          <w:tcPr>
            <w:tcW w:w="40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center"/>
              <w:ind w:right="316"/>
              <w:spacing w:after="0"/>
              <w:rPr>
                <w:sz w:val="20"/>
                <w:szCs w:val="20"/>
                <w:color w:val="auto"/>
              </w:rPr>
            </w:pPr>
            <w:r>
              <w:rPr>
                <w:rFonts w:ascii="Arial" w:cs="Arial" w:eastAsia="Arial" w:hAnsi="Arial"/>
                <w:sz w:val="17"/>
                <w:szCs w:val="17"/>
                <w:color w:val="auto"/>
                <w:w w:val="93"/>
              </w:rPr>
              <w:t>50%</w:t>
            </w: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right="316"/>
              <w:spacing w:after="0"/>
              <w:rPr>
                <w:sz w:val="20"/>
                <w:szCs w:val="20"/>
                <w:color w:val="auto"/>
              </w:rPr>
            </w:pPr>
            <w:r>
              <w:rPr>
                <w:rFonts w:ascii="Arial" w:cs="Arial" w:eastAsia="Arial" w:hAnsi="Arial"/>
                <w:sz w:val="17"/>
                <w:szCs w:val="17"/>
                <w:color w:val="auto"/>
                <w:w w:val="93"/>
              </w:rPr>
              <w:t>81%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751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281" w:lineRule="exact"/>
        <w:rPr>
          <w:sz w:val="20"/>
          <w:szCs w:val="20"/>
          <w:color w:val="auto"/>
        </w:rPr>
      </w:pPr>
    </w:p>
    <w:p>
      <w:pPr>
        <w:ind w:left="320" w:right="20" w:hanging="317"/>
        <w:spacing w:after="0" w:line="258" w:lineRule="auto"/>
        <w:tabs>
          <w:tab w:leader="none" w:pos="15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Direct costs, which include personnel costs and related benefits, are recorded on a project-by-project basis. Many of our R&amp;D costs are not attributable to any individual project because we share resources across several development projects. Indirect costs that support a number of our R&amp;D activities are recorded in the aggregate, including stock-based compensation.</w:t>
      </w:r>
    </w:p>
    <w:p>
      <w:pPr>
        <w:spacing w:after="0" w:line="136" w:lineRule="exact"/>
        <w:rPr>
          <w:sz w:val="20"/>
          <w:szCs w:val="20"/>
          <w:color w:val="auto"/>
        </w:rPr>
      </w:pPr>
    </w:p>
    <w:p>
      <w:pPr>
        <w:ind w:right="320" w:firstLine="619"/>
        <w:spacing w:after="0" w:line="259" w:lineRule="auto"/>
        <w:rPr>
          <w:sz w:val="20"/>
          <w:szCs w:val="20"/>
          <w:color w:val="auto"/>
        </w:rPr>
      </w:pPr>
      <w:r>
        <w:rPr>
          <w:rFonts w:ascii="Arial" w:cs="Arial" w:eastAsia="Arial" w:hAnsi="Arial"/>
          <w:sz w:val="17"/>
          <w:szCs w:val="17"/>
          <w:color w:val="auto"/>
        </w:rPr>
        <w:t xml:space="preserve">R&amp;D expenses was $34.3 million and $18.9 million for the three months ended March 31, 2021 and 2020, respectively. The $15 million increase was primarily due to the write-down of the investment in Navitor LLC. In addition, increased cost associated with developmental activities related to SPN-820, regulatory activities related to the acquired products, were generally offset by a decrease in the cost of SPN-812 development activities. Refer to Part I, Item 1, Unaudited Condensed Consolidated Financial Statements, Note 5,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in the Notes to the Condensed Consolidated Financial Statements, for further discussion of the write-down of the investment in Navitor LLC.</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Selling, General and Administrative Expenses</w:t>
      </w:r>
    </w:p>
    <w:p>
      <w:pPr>
        <w:spacing w:after="0" w:line="178"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The following table provides information regarding our selling, general and administrative (SG&amp;A) expenses during the periods indicated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178"/>
        </w:trPr>
        <w:tc>
          <w:tcPr>
            <w:tcW w:w="5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center"/>
              <w:ind w:right="258"/>
              <w:spacing w:after="0"/>
              <w:rPr>
                <w:sz w:val="20"/>
                <w:szCs w:val="20"/>
                <w:color w:val="auto"/>
              </w:rPr>
            </w:pPr>
            <w:r>
              <w:rPr>
                <w:rFonts w:ascii="Arial" w:cs="Arial" w:eastAsia="Arial" w:hAnsi="Arial"/>
                <w:sz w:val="14"/>
                <w:szCs w:val="14"/>
                <w:b w:val="1"/>
                <w:bCs w:val="1"/>
                <w:color w:val="auto"/>
                <w:w w:val="85"/>
              </w:rPr>
              <w:t>Percent</w:t>
            </w:r>
          </w:p>
        </w:tc>
      </w:tr>
      <w:tr>
        <w:trPr>
          <w:trHeight w:val="213"/>
        </w:trPr>
        <w:tc>
          <w:tcPr>
            <w:tcW w:w="50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Selling and marketing</w:t>
            </w:r>
          </w:p>
        </w:tc>
        <w:tc>
          <w:tcPr>
            <w:tcW w:w="92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38,447</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29,041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right="258"/>
              <w:spacing w:after="0"/>
              <w:rPr>
                <w:sz w:val="20"/>
                <w:szCs w:val="20"/>
                <w:color w:val="auto"/>
              </w:rPr>
            </w:pPr>
            <w:r>
              <w:rPr>
                <w:rFonts w:ascii="Arial" w:cs="Arial" w:eastAsia="Arial" w:hAnsi="Arial"/>
                <w:sz w:val="17"/>
                <w:szCs w:val="17"/>
                <w:color w:val="auto"/>
                <w:w w:val="93"/>
              </w:rPr>
              <w:t>32%</w:t>
            </w:r>
          </w:p>
        </w:tc>
      </w:tr>
      <w:tr>
        <w:trPr>
          <w:trHeight w:val="218"/>
        </w:trPr>
        <w:tc>
          <w:tcPr>
            <w:tcW w:w="50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23,010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12,573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center"/>
              <w:ind w:right="258"/>
              <w:spacing w:after="0"/>
              <w:rPr>
                <w:sz w:val="20"/>
                <w:szCs w:val="20"/>
                <w:color w:val="auto"/>
              </w:rPr>
            </w:pPr>
            <w:r>
              <w:rPr>
                <w:rFonts w:ascii="Arial" w:cs="Arial" w:eastAsia="Arial" w:hAnsi="Arial"/>
                <w:sz w:val="17"/>
                <w:szCs w:val="17"/>
                <w:color w:val="auto"/>
                <w:w w:val="93"/>
              </w:rPr>
              <w:t>83%</w:t>
            </w:r>
          </w:p>
        </w:tc>
      </w:tr>
      <w:tr>
        <w:trPr>
          <w:trHeight w:val="238"/>
        </w:trPr>
        <w:tc>
          <w:tcPr>
            <w:tcW w:w="5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61,457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41,614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ind w:right="258"/>
              <w:spacing w:after="0"/>
              <w:rPr>
                <w:sz w:val="20"/>
                <w:szCs w:val="20"/>
                <w:color w:val="auto"/>
              </w:rPr>
            </w:pPr>
            <w:r>
              <w:rPr>
                <w:rFonts w:ascii="Arial" w:cs="Arial" w:eastAsia="Arial" w:hAnsi="Arial"/>
                <w:sz w:val="17"/>
                <w:szCs w:val="17"/>
                <w:color w:val="auto"/>
                <w:w w:val="93"/>
              </w:rPr>
              <w:t>48%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Selling, general and administrative expenses were $61.5 million and $41.6 million for the three months ended March 31, 2021 and 2020, respectively. The $19.8 million increase was primarily attributable to increased marketing expenses and professional consulting spend related to the commercial products, including the acquired commercial products from the USWM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Acquisition, and preparations for the launch of Qelbree. In addition, employee-related expenses also increased due to increased headcount consequent to the acquired employees from the USWM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Amortization of Intangible Assets</w:t>
      </w:r>
    </w:p>
    <w:p>
      <w:pPr>
        <w:spacing w:after="0" w:line="178"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Amortization of intangible assets was $6.0 million and $1.3 million for the three months ended March 31, 2021 and 2020, respectively. The $4.7 million increase was primarily due to amortization of the definite-lived intangible assets acquired in the USWM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Contingent Consideration Expense</w:t>
      </w:r>
    </w:p>
    <w:p>
      <w:pPr>
        <w:spacing w:after="0" w:line="191"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Contingent consideration expense of $1.0 million for the three months ended March 31, 2021 represents the increase in the fair value of the contingent consideration liabilities associated with the USWM Acquisition due to the passage of time.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Income (Expense)</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income (expense) was an expense of $2.3 million and income of $22.0 thousand for the three months ended March 31,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$2.3 million decrease was primarily due to lower interest income on marketable securities holdings.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 Expense</w:t>
      </w:r>
    </w:p>
    <w:p>
      <w:pPr>
        <w:spacing w:after="0" w:line="17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Income tax expense was $5.2 million and $7.5 million for the three months ended March 31, 2021 and 2020, respectively. The decrease was mainly due to lower earnings before taxes. The effective income tax rate was 47.9% and 25.9% for the three months ended March 31, 2021 and 2020, respectively. The effective income tax rate increase was due to changes in the effective state tax rates as a result of the transfer of workforce between legal entities and lower earnings before taxes due to the expensing of the Navitor investment in the first quarter of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right="640" w:firstLine="619"/>
        <w:spacing w:after="0" w:line="262" w:lineRule="auto"/>
        <w:rPr>
          <w:sz w:val="20"/>
          <w:szCs w:val="20"/>
          <w:color w:val="auto"/>
        </w:rPr>
      </w:pPr>
      <w:r>
        <w:rPr>
          <w:rFonts w:ascii="Arial" w:cs="Arial" w:eastAsia="Arial" w:hAnsi="Arial"/>
          <w:sz w:val="17"/>
          <w:szCs w:val="17"/>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continued commercial success of our commercial products as well as the commercial success of our product candidates, if approved by the U.S. Food and Drug Administration (FDA).</w:t>
      </w:r>
    </w:p>
    <w:p>
      <w:pPr>
        <w:spacing w:after="0" w:line="204" w:lineRule="exact"/>
        <w:rPr>
          <w:sz w:val="20"/>
          <w:szCs w:val="20"/>
          <w:color w:val="auto"/>
        </w:rPr>
      </w:pPr>
    </w:p>
    <w:p>
      <w:pPr>
        <w:ind w:right="160" w:firstLine="619"/>
        <w:spacing w:after="0" w:line="250" w:lineRule="auto"/>
        <w:rPr>
          <w:sz w:val="20"/>
          <w:szCs w:val="20"/>
          <w:color w:val="auto"/>
        </w:rPr>
      </w:pPr>
      <w:r>
        <w:rPr>
          <w:rFonts w:ascii="Arial" w:cs="Arial" w:eastAsia="Arial" w:hAnsi="Arial"/>
          <w:sz w:val="17"/>
          <w:szCs w:val="17"/>
          <w:color w:val="auto"/>
        </w:rPr>
        <w:t>While we expect continued profitability in future years, we anticipate there may be significant variability from year to year in the level of our profits, particularly as we move forward with the anticipated commercial launch of Qelbree, and the likely unfavorable impact of the upcoming loss of patent exclusivity for Trokendi XR in January 2023, or sooner under certain conditions.</w:t>
      </w:r>
    </w:p>
    <w:p>
      <w:pPr>
        <w:spacing w:after="0" w:line="201"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business development, including acquisition and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194"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Financial Condition</w:t>
      </w:r>
    </w:p>
    <w:p>
      <w:pPr>
        <w:spacing w:after="0" w:line="243" w:lineRule="exact"/>
        <w:rPr>
          <w:sz w:val="20"/>
          <w:szCs w:val="20"/>
          <w:color w:val="auto"/>
        </w:rPr>
      </w:pPr>
    </w:p>
    <w:p>
      <w:pPr>
        <w:ind w:right="620" w:firstLine="619"/>
        <w:spacing w:after="0" w:line="276" w:lineRule="auto"/>
        <w:rPr>
          <w:sz w:val="20"/>
          <w:szCs w:val="20"/>
          <w:color w:val="auto"/>
        </w:rPr>
      </w:pPr>
      <w:r>
        <w:rPr>
          <w:rFonts w:ascii="Arial" w:cs="Arial" w:eastAsia="Arial" w:hAnsi="Arial"/>
          <w:sz w:val="17"/>
          <w:szCs w:val="17"/>
          <w:color w:val="auto"/>
        </w:rPr>
        <w:t>Cash and cash equivalents, marketable securities, and long term marketable securities as of the periods presented below, are as follows (dollars in thousands):</w:t>
      </w:r>
    </w:p>
    <w:tbl>
      <w:tblPr>
        <w:tblLayout w:type="fixed"/>
        <w:tblInd w:w="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860"/>
              <w:spacing w:after="0"/>
              <w:rPr>
                <w:sz w:val="20"/>
                <w:szCs w:val="20"/>
                <w:color w:val="auto"/>
              </w:rPr>
            </w:pPr>
            <w:r>
              <w:rPr>
                <w:rFonts w:ascii="Arial" w:cs="Arial" w:eastAsia="Arial" w:hAnsi="Arial"/>
                <w:sz w:val="15"/>
                <w:szCs w:val="15"/>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03"/>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97"/>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Percent</w:t>
            </w:r>
          </w:p>
        </w:tc>
      </w:tr>
      <w:tr>
        <w:trPr>
          <w:trHeight w:val="214"/>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216"/>
              <w:spacing w:after="0"/>
              <w:rPr>
                <w:sz w:val="20"/>
                <w:szCs w:val="20"/>
                <w:color w:val="auto"/>
              </w:rPr>
            </w:pPr>
            <w:r>
              <w:rPr>
                <w:rFonts w:ascii="Arial" w:cs="Arial" w:eastAsia="Arial" w:hAnsi="Arial"/>
                <w:sz w:val="17"/>
                <w:szCs w:val="17"/>
                <w:color w:val="auto"/>
                <w:w w:val="96"/>
              </w:rPr>
              <w:t>(11)%</w:t>
            </w:r>
          </w:p>
        </w:tc>
      </w:tr>
      <w:tr>
        <w:trPr>
          <w:trHeight w:val="218"/>
        </w:trPr>
        <w:tc>
          <w:tcPr>
            <w:tcW w:w="578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133,893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ind w:right="216"/>
              <w:spacing w:after="0"/>
              <w:rPr>
                <w:sz w:val="20"/>
                <w:szCs w:val="20"/>
                <w:color w:val="auto"/>
              </w:rPr>
            </w:pPr>
            <w:r>
              <w:rPr>
                <w:rFonts w:ascii="Arial" w:cs="Arial" w:eastAsia="Arial" w:hAnsi="Arial"/>
                <w:sz w:val="17"/>
                <w:szCs w:val="17"/>
                <w:color w:val="auto"/>
                <w:w w:val="97"/>
              </w:rPr>
              <w:t>1%</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 term marketable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416,566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350,359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3"/>
              </w:rPr>
              <w:t>19%</w:t>
            </w:r>
          </w:p>
        </w:tc>
      </w:tr>
      <w:tr>
        <w:trPr>
          <w:trHeight w:val="213"/>
        </w:trPr>
        <w:tc>
          <w:tcPr>
            <w:tcW w:w="578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807,667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772,892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ind w:right="216"/>
              <w:spacing w:after="0"/>
              <w:rPr>
                <w:sz w:val="20"/>
                <w:szCs w:val="20"/>
                <w:color w:val="auto"/>
              </w:rPr>
            </w:pPr>
            <w:r>
              <w:rPr>
                <w:rFonts w:ascii="Arial" w:cs="Arial" w:eastAsia="Arial" w:hAnsi="Arial"/>
                <w:sz w:val="17"/>
                <w:szCs w:val="17"/>
                <w:color w:val="auto"/>
                <w:w w:val="97"/>
              </w:rPr>
              <w:t>4%</w:t>
            </w: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45"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Total cash and cash equivalents, marketable securities and long term marketable securities increased by $34.8 million in the first three months of 2021, primarily due to cash generated from ongoing operations.</w:t>
      </w:r>
    </w:p>
    <w:p>
      <w:pPr>
        <w:spacing w:after="0" w:line="126" w:lineRule="exact"/>
        <w:rPr>
          <w:sz w:val="20"/>
          <w:szCs w:val="20"/>
          <w:color w:val="auto"/>
        </w:rPr>
      </w:pPr>
    </w:p>
    <w:p>
      <w:pPr>
        <w:ind w:right="280" w:firstLine="619"/>
        <w:spacing w:after="0" w:line="259" w:lineRule="auto"/>
        <w:rPr>
          <w:sz w:val="20"/>
          <w:szCs w:val="20"/>
          <w:color w:val="auto"/>
        </w:rPr>
      </w:pPr>
      <w:r>
        <w:rPr>
          <w:rFonts w:ascii="Arial" w:cs="Arial" w:eastAsia="Arial" w:hAnsi="Arial"/>
          <w:sz w:val="17"/>
          <w:szCs w:val="17"/>
          <w:color w:val="auto"/>
        </w:rPr>
        <w:t xml:space="preserve">As of March 31, 2021 and December 31, 2020, the outstanding principal on our 0.625% Convertible Senior Notes Due 2023 (2023 Notes) was $402.5 million. No 2023 Notes have been converted as of March 31, 2021. There were no changes to the separate convertible note hedge transactions (collectively, the Convertible Note Hedge Transactions) and separate warrant transactions (the Warrant Transactions). Refer to Part I, Item 1, Unaudited Condensed Financial Statements, Note 8, </w:t>
      </w:r>
      <w:r>
        <w:rPr>
          <w:rFonts w:ascii="Arial" w:cs="Arial" w:eastAsia="Arial" w:hAnsi="Arial"/>
          <w:sz w:val="17"/>
          <w:szCs w:val="17"/>
          <w:i w:val="1"/>
          <w:iCs w:val="1"/>
          <w:color w:val="auto"/>
        </w:rPr>
        <w:t>Convertible Senior Notes Due 2023,</w:t>
      </w:r>
      <w:r>
        <w:rPr>
          <w:rFonts w:ascii="Arial" w:cs="Arial" w:eastAsia="Arial" w:hAnsi="Arial"/>
          <w:sz w:val="17"/>
          <w:szCs w:val="17"/>
          <w:color w:val="auto"/>
        </w:rPr>
        <w:t xml:space="preserve"> in the Notes to the Condensed Consolidated Financial Statements, for further discussion of the 2023 Notes and our other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Cash Flows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major sources and uses of cash for the periods set forth below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08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78"/>
        </w:trPr>
        <w:tc>
          <w:tcPr>
            <w:tcW w:w="51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r>
      <w:tr>
        <w:trPr>
          <w:trHeight w:val="200"/>
        </w:trPr>
        <w:tc>
          <w:tcPr>
            <w:tcW w:w="5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provided by (used in):</w:t>
            </w: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8"/>
        </w:trPr>
        <w:tc>
          <w:tcPr>
            <w:tcW w:w="5180" w:type="dxa"/>
            <w:vAlign w:val="bottom"/>
          </w:tcPr>
          <w:p>
            <w:pPr>
              <w:ind w:left="800"/>
              <w:spacing w:after="0"/>
              <w:rPr>
                <w:sz w:val="20"/>
                <w:szCs w:val="20"/>
                <w:color w:val="auto"/>
              </w:rPr>
            </w:pPr>
            <w:r>
              <w:rPr>
                <w:rFonts w:ascii="Arial" w:cs="Arial" w:eastAsia="Arial" w:hAnsi="Arial"/>
                <w:sz w:val="17"/>
                <w:szCs w:val="17"/>
                <w:color w:val="auto"/>
              </w:rPr>
              <w:t>Operating activities</w:t>
            </w: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36,200</w:t>
            </w:r>
          </w:p>
        </w:tc>
        <w:tc>
          <w:tcPr>
            <w:tcW w:w="100" w:type="dxa"/>
            <w:vAlign w:val="bottom"/>
          </w:tcPr>
          <w:p>
            <w:pPr>
              <w:spacing w:after="0"/>
              <w:rPr>
                <w:sz w:val="18"/>
                <w:szCs w:val="18"/>
                <w:color w:val="auto"/>
              </w:rPr>
            </w:pPr>
          </w:p>
        </w:tc>
        <w:tc>
          <w:tcPr>
            <w:tcW w:w="9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8,916</w:t>
            </w:r>
          </w:p>
        </w:tc>
        <w:tc>
          <w:tcPr>
            <w:tcW w:w="10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27,284</w:t>
            </w:r>
          </w:p>
        </w:tc>
      </w:tr>
      <w:tr>
        <w:trPr>
          <w:trHeight w:val="220"/>
        </w:trPr>
        <w:tc>
          <w:tcPr>
            <w:tcW w:w="51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Investing activities</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35,438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(106,883)</w:t>
            </w:r>
          </w:p>
        </w:tc>
      </w:tr>
      <w:tr>
        <w:trPr>
          <w:trHeight w:val="218"/>
        </w:trPr>
        <w:tc>
          <w:tcPr>
            <w:tcW w:w="5180" w:type="dxa"/>
            <w:vAlign w:val="bottom"/>
            <w:tcBorders>
              <w:bottom w:val="single" w:sz="8" w:color="CCEEFF"/>
            </w:tcBorders>
          </w:tcPr>
          <w:p>
            <w:pPr>
              <w:ind w:left="800"/>
              <w:spacing w:after="0"/>
              <w:rPr>
                <w:sz w:val="20"/>
                <w:szCs w:val="20"/>
                <w:color w:val="auto"/>
              </w:rPr>
            </w:pPr>
            <w:r>
              <w:rPr>
                <w:rFonts w:ascii="Arial" w:cs="Arial" w:eastAsia="Arial" w:hAnsi="Arial"/>
                <w:sz w:val="17"/>
                <w:szCs w:val="17"/>
                <w:color w:val="auto"/>
              </w:rPr>
              <w:t>Financing activities</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2,215</w:t>
            </w:r>
          </w:p>
        </w:tc>
      </w:tr>
      <w:tr>
        <w:trPr>
          <w:trHeight w:val="237"/>
        </w:trPr>
        <w:tc>
          <w:tcPr>
            <w:tcW w:w="5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Net change in cash and cash equivalents</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44,386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(77,384)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43" w:lineRule="exact"/>
        <w:rPr>
          <w:sz w:val="20"/>
          <w:szCs w:val="20"/>
          <w:color w:val="auto"/>
        </w:rPr>
      </w:pPr>
    </w:p>
    <w:p>
      <w:pPr>
        <w:jc w:val="both"/>
        <w:ind w:right="340" w:firstLine="619"/>
        <w:spacing w:after="0" w:line="266" w:lineRule="auto"/>
        <w:rPr>
          <w:sz w:val="20"/>
          <w:szCs w:val="20"/>
          <w:color w:val="auto"/>
        </w:rPr>
      </w:pPr>
      <w:r>
        <w:rPr>
          <w:rFonts w:ascii="Arial" w:cs="Arial" w:eastAsia="Arial" w:hAnsi="Arial"/>
          <w:sz w:val="17"/>
          <w:szCs w:val="17"/>
          <w:color w:val="auto"/>
        </w:rPr>
        <w:t>Net cash provided by operating activities was $36.2 million and $8.9 million for the three months ended March 31, 2021, and 2020, respectively. The increase in cash flows provided by operating activities is primarily due to changes in working capital which reflects the timing impacts of: cash collections on receivables; increases in accrued product returns and rebates; and settlement of payables.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43" w:lineRule="exact"/>
        <w:rPr>
          <w:sz w:val="20"/>
          <w:szCs w:val="20"/>
          <w:color w:val="auto"/>
        </w:rPr>
      </w:pPr>
    </w:p>
    <w:p>
      <w:pPr>
        <w:ind w:right="280" w:firstLine="619"/>
        <w:spacing w:after="0" w:line="250" w:lineRule="auto"/>
        <w:rPr>
          <w:sz w:val="20"/>
          <w:szCs w:val="20"/>
          <w:color w:val="auto"/>
        </w:rPr>
      </w:pPr>
      <w:r>
        <w:rPr>
          <w:rFonts w:ascii="Arial" w:cs="Arial" w:eastAsia="Arial" w:hAnsi="Arial"/>
          <w:sz w:val="17"/>
          <w:szCs w:val="17"/>
          <w:color w:val="auto"/>
        </w:rPr>
        <w:t>Net cash used in investing activities was $71.4 million for the three months ended March 31, 2021, as compared to $35.4 million net cash provided by investing activities for the same period in 2020. The change was primarily due to an increase in net purchases of marketable securities in 2021 resulting from investment of excess cash in long term marketable securities as compared to the same period in prior year.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43" w:lineRule="exact"/>
        <w:rPr>
          <w:sz w:val="20"/>
          <w:szCs w:val="20"/>
          <w:color w:val="auto"/>
        </w:rPr>
      </w:pPr>
    </w:p>
    <w:p>
      <w:pPr>
        <w:ind w:right="120" w:firstLine="619"/>
        <w:spacing w:after="0" w:line="264" w:lineRule="auto"/>
        <w:rPr>
          <w:sz w:val="20"/>
          <w:szCs w:val="20"/>
          <w:color w:val="auto"/>
        </w:rPr>
      </w:pPr>
      <w:r>
        <w:rPr>
          <w:rFonts w:ascii="Arial" w:cs="Arial" w:eastAsia="Arial" w:hAnsi="Arial"/>
          <w:sz w:val="17"/>
          <w:szCs w:val="17"/>
          <w:color w:val="auto"/>
        </w:rPr>
        <w:t>Net cash provided by financing activities for the three months ended March 31, 2021 increased by $2.2 million, as compared to the same period in 2020, primarily due to higher proceeds from option exercises.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78"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 xml:space="preserve">Refer to the “Contractual Obligations and Commitments” section in “Part II, Item 7 — Management’s Discussion and Analysis of Liquidity and Capital Resources”, of our Annual Report on Form 10-K for the year ended December 31, 2020, and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Notes to the Condensed Consolidated Financial Statements in Part I, Item 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Unaudited Condensed Financial Statements, of this Quarterly Report on Form 10-Q for the discussion of our contractual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Other than the unconsolidated variable interest entities discussed in Part I, Item 1, Unaudited Condensed Financial Statements, of this Quarterly Report on Form 10-Q, 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we do not engage in trading activities involving non-exchange traded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4"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For a discussion of new accounting pronouncements, see Note 2 in the Notes to the Condensed Consolidated Financial Statements in Part I, Item 1, Unaudited Condensed Financial Statements, of this Quarterly Report on Form 10-Q.</w:t>
      </w:r>
    </w:p>
    <w:p>
      <w:pPr>
        <w:spacing w:after="0" w:line="12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49"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 term marketable securities. As of March 31, 2021, we had unrestricted cash, cash equivalents, marketable securities, and long term marketable securities of $807.7 million.</w:t>
      </w:r>
    </w:p>
    <w:p>
      <w:pPr>
        <w:spacing w:after="0" w:line="209"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201" w:lineRule="exact"/>
        <w:rPr>
          <w:sz w:val="20"/>
          <w:szCs w:val="20"/>
          <w:color w:val="auto"/>
        </w:rPr>
      </w:pPr>
    </w:p>
    <w:p>
      <w:pPr>
        <w:ind w:right="160" w:firstLine="619"/>
        <w:spacing w:after="0" w:line="277" w:lineRule="auto"/>
        <w:rPr>
          <w:sz w:val="20"/>
          <w:szCs w:val="20"/>
          <w:color w:val="auto"/>
        </w:rPr>
      </w:pPr>
      <w:r>
        <w:rPr>
          <w:rFonts w:ascii="Arial" w:cs="Arial" w:eastAsia="Arial" w:hAnsi="Arial"/>
          <w:sz w:val="16"/>
          <w:szCs w:val="16"/>
          <w:color w:val="auto"/>
        </w:rPr>
        <w:t>Our cash and cash equivalents consist primarily of cash held at banks and investments in highly liquid financial instruments with an original maturity of three months or less. Our marketable securities as of March 31, 2021, which are reported at fair value, consist of investment grade corporate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 change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96"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We may contract with clinical research organizations (CROs), investigational sites and contract manufacturing organizations (CMOs) globally. Currently, we have only one ongoing trial, for SPN-817, outside the U.S. We have CMOs outside of the U.S. who manufacture and supply certain of our clinical and commercial products and raw materials. We do not hedge our foreign currency exchange rate risk. Transactions denominated in currencies other than the U.S. dollar are recorded based on exchange rates at the time such transactions arise. As of March 31, 2021 and December 31, 2020, substantially all of our liabilities were denominated in the U.S. dollar. We do not believe that changes in foreign currency exchange rates over the quarters ended March 31, 2021 and December 31, 2020 had a significant impact on our consolidated results of operations.</w:t>
      </w:r>
    </w:p>
    <w:p>
      <w:pPr>
        <w:spacing w:after="0" w:line="196" w:lineRule="exact"/>
        <w:rPr>
          <w:sz w:val="20"/>
          <w:szCs w:val="20"/>
          <w:color w:val="auto"/>
        </w:rPr>
      </w:pPr>
    </w:p>
    <w:p>
      <w:pPr>
        <w:ind w:right="600" w:firstLine="619"/>
        <w:spacing w:after="0" w:line="331" w:lineRule="auto"/>
        <w:rPr>
          <w:sz w:val="20"/>
          <w:szCs w:val="20"/>
          <w:color w:val="auto"/>
        </w:rPr>
      </w:pPr>
      <w:r>
        <w:rPr>
          <w:rFonts w:ascii="Arial" w:cs="Arial" w:eastAsia="Arial" w:hAnsi="Arial"/>
          <w:sz w:val="15"/>
          <w:szCs w:val="15"/>
          <w:color w:val="auto"/>
        </w:rPr>
        <w:t>Inflation generally affects us by increasing our cost of labor and the cost of services provided by our vendors. We do not believe that inflation and changing prices over the quarters ended March 31, 2021 and December 31, 2020 had a significant impact on our consolidated results of operations.</w:t>
      </w:r>
    </w:p>
    <w:p>
      <w:pPr>
        <w:spacing w:after="0" w:line="8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4"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maintain disclosure controls and procedures over financial reporting, as defined in Rule 13a-15(e) of the Securities Exchange Act of 1934, as amended, or the Exchange Act. Our disclosure controls and procedures are designed to provide reasonable assurance that the information required to be disclosed in the reports we file or submit under the Exchange Act has been appropriately recorded, processed, summarized and reported within the time periods specified in the Securities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Exchange Commission’s rules and forms. Moreover, such information is accumulated and communicated to our management, including our CEO and CFO, to allow timely decisions regarding required disclosure.</w:t>
      </w:r>
    </w:p>
    <w:p>
      <w:pPr>
        <w:spacing w:after="0" w:line="139" w:lineRule="exact"/>
        <w:rPr>
          <w:sz w:val="20"/>
          <w:szCs w:val="20"/>
          <w:color w:val="auto"/>
        </w:rPr>
      </w:pPr>
    </w:p>
    <w:p>
      <w:pPr>
        <w:jc w:val="both"/>
        <w:ind w:right="480" w:firstLine="619"/>
        <w:spacing w:after="0" w:line="290"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over financial reporting as of March 31, 2021, the end of the period covered by this report. Based on that evaluation, under the supervision and with the participation of our management, including our CEO and CFO, we concluded that our disclosure controls and procedures were effective as of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On June 6, 2020, the Company completed the USWM Acquisition. As of March 31, 2021, the integration of the internal controls relating to the business acquired through the USWM Acquisition into ours has been substantially completed, with the exception of the business combination accounting that will be completed during the second quarter of 2021, and the acquired business will be included in our evaluation of the effectiveness of our internal control over financial reporting for fiscal 2021. During the three months ended March 31, 2021, no changes occurred in our internal control over financial reporting that materially affected, or are reasonably likely to materially affect, our internal control over financial reporting.</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Oxtellar XR®</w:t>
      </w:r>
    </w:p>
    <w:p>
      <w:pPr>
        <w:spacing w:after="0" w:line="19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received a Paragraph IV Notice Letter from generic drug maker RiconPharma, LLC (“Ricon”)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Supernus is reviewing the details of Ricon’s Notice Letter and intends to vigorously enforce its intellectual property rights relating to Oxtellar XR®.</w:t>
      </w:r>
    </w:p>
    <w:p>
      <w:pPr>
        <w:spacing w:after="0" w:line="144"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Apotex also asserted Counterclaims seeking declaratory judgments of non-infringement for the nine Oxtellar XR® Orange Book patents. On October 30, 2020, the Company filed its Reply, denying the substantive allegations of Apotex’s Counterclaims. Following the initial Rule 16 Scheduling Conference, the Court issued a case schedule that provides for a trial in June or July 2022. Pretrial discovery is ongoing as of the date of this filing.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Trokendi XR®</w:t>
      </w:r>
    </w:p>
    <w:p>
      <w:pPr>
        <w:spacing w:after="0" w:line="191"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 Company received a Paragraph IV Notice Letter from generic drug makers Ajanta Pharma Limited and Ajanta Pharma USA Inc. (collectively “Ajanta”)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On March 26, 2021, the Company filed a lawsuit against Ajanta alleging infringement of the Company’s Trokendi XR® Orange Book patents. The Complaint—filed in the U.S. District Court for the District of New Jersey—alleges,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inter alia, that Ajanta infringed the Company’s Trokendi XR® patents by submitting to the FDA an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XADAGO®</w:t>
      </w:r>
    </w:p>
    <w:p>
      <w:pPr>
        <w:spacing w:after="0" w:line="178"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OIn April 29, 2021, Newron Pharmaceuticals S.p.A. (“Newron”) received a Paragraph IV Notice Letter (“Notice Letter”) from Aurobindo Pharma Limited, India and its wholly owned subsidiary Aurobindo Pharma USA Inc. (collectively “Aurobindo”) , advising Newron of the filing by Aurobindo of an Abbreviated New Drug Application to the U.S. Food and Drug Administration (“FDA”) seeking approval for safinamide tablets. The Notice Letter is directed to the three XADAGO patents with U.S. patent numbers 8,076,515, 8,278,485 and 8,283,380, that expire between June 2027 and December 2028 and are listed in the FDA's publication, Approved Drug Products with Therapeutic Equivalence Evaluations, commonly referred to as the Orange Book. The Company has a license agreement with Zambon S.p.A., Newron’s partner, related to the XADAGO Patents, and as a new chemical entity, XADAGO is under the 5 year FDA exclusivity period that expires on March 21, 2022. The Company is currently reviewing the details of this Notice Letter with its partners to respond as appropriate to protect the intellectual property rights relating to XADAGO.</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7"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2020.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130"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risks described below reflect substantive changes from, or additions to, the risks described in our Annual Report on Form 10-K for the year ended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Industry and Business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are dependent on the commercial success of our products in the U.S.</w:t>
      </w:r>
    </w:p>
    <w:p>
      <w:pPr>
        <w:spacing w:after="0" w:line="243"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Our financial performance, including our ability to replace revenue and income lost to generic products and other competitors as well as to grow our business, depends heavily on the commercial success of our products. A substantial amount of our resources are focused on generating, maintaining and/or expanding the revenue generated by our approved products in the U.S. If any of our major products, Trokendi XR, Oxtellar XR, Qelbree or APOKYN,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In addition, our revenue and profit could be significantly impacted by the timing and rate of commercial acceptance of key new products.</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Our ability to generate significant product revenue from sales of our products in the near term will depend on, among other things, our ability to:</w:t>
      </w:r>
    </w:p>
    <w:p>
      <w:pPr>
        <w:spacing w:after="0" w:line="243"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Defend our patents, intellectual property, and products from the competition, both branded and generic;</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commercial manufacturing arrangements with third-party manufacturers;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Produce, through a validated process, sufficiently large quantities of our products to meet demand;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 to maintain a wide variety of internal sales, distribution, and marketing capabilities, sufficient to sustain and grow revenue;</w:t>
      </w:r>
    </w:p>
    <w:p>
      <w:pPr>
        <w:spacing w:after="0" w:line="10" w:lineRule="exact"/>
        <w:rPr>
          <w:rFonts w:ascii="Arial" w:cs="Arial" w:eastAsia="Arial" w:hAnsi="Arial"/>
          <w:sz w:val="17"/>
          <w:szCs w:val="17"/>
          <w:color w:val="auto"/>
        </w:rPr>
      </w:pPr>
    </w:p>
    <w:p>
      <w:pPr>
        <w:ind w:left="620" w:right="580" w:hanging="307"/>
        <w:spacing w:after="0" w:line="253"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 to maintain and grow widespread acceptance of our products from physicians, health care payors, patients, pharmacists, and the medical community;</w:t>
      </w:r>
    </w:p>
    <w:p>
      <w:pPr>
        <w:ind w:left="620" w:right="660" w:hanging="307"/>
        <w:spacing w:after="0" w:line="253"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Properly price and obtain adequate reimbursement coverage of these products by governmental authorities, private health insurers, managed care organizations, and other third-party payors;</w:t>
      </w:r>
    </w:p>
    <w:p>
      <w:pPr>
        <w:ind w:left="620" w:hanging="30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Maintain compliance with ongoing FDA labeling, packaging, storage, advertising, promotion, recordkeeping, safety, and other post-market requirements;</w:t>
      </w:r>
    </w:p>
    <w:p>
      <w:pPr>
        <w:spacing w:after="0" w:line="33" w:lineRule="exact"/>
        <w:rPr>
          <w:rFonts w:ascii="Arial" w:cs="Arial" w:eastAsia="Arial" w:hAnsi="Arial"/>
          <w:sz w:val="15"/>
          <w:szCs w:val="15"/>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 approval from the FDA to expand the labeling of our approved products for additional indications;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right="100" w:hanging="307"/>
        <w:spacing w:after="0" w:line="25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Adequately protect against and effectively respond to any claims by holders of patents and other IP rights alleging that our products infringe their rights; and</w:t>
      </w:r>
    </w:p>
    <w:p>
      <w:pPr>
        <w:spacing w:after="0" w:line="1" w:lineRule="exact"/>
        <w:rPr>
          <w:rFonts w:ascii="Arial" w:cs="Arial" w:eastAsia="Arial" w:hAnsi="Arial"/>
          <w:sz w:val="17"/>
          <w:szCs w:val="17"/>
          <w:color w:val="auto"/>
        </w:rPr>
      </w:pPr>
    </w:p>
    <w:p>
      <w:pPr>
        <w:ind w:left="620" w:right="320" w:hanging="307"/>
        <w:spacing w:after="0" w:line="25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207" w:lineRule="exact"/>
        <w:rPr>
          <w:sz w:val="20"/>
          <w:szCs w:val="20"/>
          <w:color w:val="auto"/>
        </w:rPr>
      </w:pPr>
    </w:p>
    <w:p>
      <w:pPr>
        <w:ind w:right="240" w:firstLine="619"/>
        <w:spacing w:after="0" w:line="349" w:lineRule="auto"/>
        <w:rPr>
          <w:sz w:val="20"/>
          <w:szCs w:val="20"/>
          <w:color w:val="auto"/>
        </w:rPr>
      </w:pPr>
      <w:r>
        <w:rPr>
          <w:rFonts w:ascii="Arial" w:cs="Arial" w:eastAsia="Arial" w:hAnsi="Arial"/>
          <w:sz w:val="15"/>
          <w:szCs w:val="15"/>
          <w:color w:val="auto"/>
        </w:rPr>
        <w:t>There are no guarantees that we will be successful in completing these tasks. We will need to continue investing substantial financial and management resources to maintain our commercial sales and marketing infrastructure and recruit and train qualified marketing, sales, and other personnel.</w:t>
      </w:r>
    </w:p>
    <w:p>
      <w:pPr>
        <w:spacing w:after="0" w:line="143" w:lineRule="exact"/>
        <w:rPr>
          <w:sz w:val="20"/>
          <w:szCs w:val="20"/>
          <w:color w:val="auto"/>
        </w:rPr>
      </w:pPr>
    </w:p>
    <w:p>
      <w:pPr>
        <w:jc w:val="both"/>
        <w:ind w:right="400" w:firstLine="619"/>
        <w:spacing w:after="0" w:line="266" w:lineRule="auto"/>
        <w:rPr>
          <w:sz w:val="20"/>
          <w:szCs w:val="20"/>
          <w:color w:val="auto"/>
        </w:rPr>
      </w:pPr>
      <w:r>
        <w:rPr>
          <w:rFonts w:ascii="Arial" w:cs="Arial" w:eastAsia="Arial" w:hAnsi="Arial"/>
          <w:sz w:val="17"/>
          <w:szCs w:val="17"/>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20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90"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Acceptable evidence of safety and efficacy;</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Prevalence, nature, and severity of any adverse side effects;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Availability of alternative treatments, including branded and generic products;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Pricing and cost effectiveness.</w:t>
      </w:r>
    </w:p>
    <w:p>
      <w:pPr>
        <w:spacing w:after="0" w:line="232"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does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94"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201" w:lineRule="exact"/>
        <w:rPr>
          <w:sz w:val="20"/>
          <w:szCs w:val="20"/>
          <w:color w:val="auto"/>
        </w:rPr>
      </w:pPr>
    </w:p>
    <w:p>
      <w:pPr>
        <w:ind w:right="540" w:firstLine="619"/>
        <w:spacing w:after="0" w:line="349" w:lineRule="auto"/>
        <w:rPr>
          <w:sz w:val="20"/>
          <w:szCs w:val="20"/>
          <w:color w:val="auto"/>
        </w:rPr>
      </w:pPr>
      <w:r>
        <w:rPr>
          <w:rFonts w:ascii="Arial" w:cs="Arial" w:eastAsia="Arial" w:hAnsi="Arial"/>
          <w:sz w:val="15"/>
          <w:szCs w:val="15"/>
          <w:b w:val="1"/>
          <w:bCs w:val="1"/>
          <w:i w:val="1"/>
          <w:iCs w:val="1"/>
          <w:color w:val="auto"/>
        </w:rPr>
        <w:t>If other versions of extended or controlled release oxcarbazepine or topiramate, or other products including generics containing apomorphine hydrochloride or viloxazine hydrochloride, are approved and successfully commercialized, our business could be materially harmed.</w:t>
      </w:r>
    </w:p>
    <w:p>
      <w:pPr>
        <w:spacing w:after="0" w:line="143"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Third parties have, and in the future may, receive approval to manufacture and market their own versions of extended release topiramate in the U.S. For example, Upsher-Smith launched Qudexy XR (extended release topiramate) and a branded generic version of Qudexy XR in 2014. Upsher Smith also entered into a settlement with two generic companies to launch a generic to Qudexy XR in 2020. In February 2021, one of the generic companies, Glenmark, entered the U.S. market with its own therapeutically equivalent generic products to Qudexy XR. The entry of new generic products could adversely impact the sales or prescriptions for Trokendi XR or could result in an earlier than anticipated entry of generics to compete with Trokendi XR. The Company has entered into settlement agreements with third parties permitting the sale of a generic version of Trokendi XR on January 1, 2023, or earlier under certain circumstances. These circumstances include specific thresholds of volume declines for extended unit prescriptions as reported by IQVIA. We have the right to defend our products against third parties who may infringe or are infringing our patents.</w:t>
      </w:r>
    </w:p>
    <w:p>
      <w:pPr>
        <w:spacing w:after="0" w:line="196"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Third parties in the future may receive approval to manufacture and market their own versions of extended release oxcarbazepine in the U.S. 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Accordingly, if any third party is successful in obtaining approval to manufacture and market its own version of extended release oxcarbazepine or topiramate in the U.S., we may not be able to prospectively realize revenues from Oxtellar XR or Trokendi XR.</w:t>
      </w:r>
    </w:p>
    <w:p>
      <w:pPr>
        <w:spacing w:after="0" w:line="190"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In addition, third parties have, and in the future may, receive approval to manufacture and market their own products, including generics containing apomorphine hydrochloride for the treatment of Parkinson’s Disease in the U.S. For example, Acorda Therapeutics, Inc. launched Inbrija, an inhalable form of levodopa in 2019 and Sunovion Pharmaceuticals, Inc.’s (Sunovion, a subsidiary of Sumitomo Dainippon Pharma Co. Ltd) launched KYNMOBI, a sublingual film formulation of apomorphine hydrochloride, in 2020. The success of these products and the entry of new products could adversely impact the sales of prescriptions for APOKYN.</w:t>
      </w:r>
    </w:p>
    <w:p>
      <w:pPr>
        <w:spacing w:after="0" w:line="209"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Third parties in the future may receive approval to manufacture and market their own versions of viloxazine hydrochloride. Accordingly, if any third party is successful in obtaining approval to manufacture and market its own version of viloxazine hydrochloride, such competing products may limit the potential success of Qelbree in the U.S. Our business and growth prospects could be materially impaired.</w:t>
      </w:r>
    </w:p>
    <w:p>
      <w:pPr>
        <w:spacing w:after="0" w:line="201"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b w:val="1"/>
          <w:bCs w:val="1"/>
          <w:i w:val="1"/>
          <w:iCs w:val="1"/>
          <w:color w:val="auto"/>
        </w:rPr>
        <w:t>We are subject to uncertainty relating to payment or managed care reimbursement policies, which, if not favorable for our products or product candidates, could hinder or prevent our commercial success.</w:t>
      </w:r>
    </w:p>
    <w:p>
      <w:pPr>
        <w:spacing w:after="0" w:line="19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intense, adverse publicity about pricing for pharmaceuticals. These prices are sometimes characterized as excessive, leading to government investigations and legal proceedings regarding pharmaceutical pricing practices.</w:t>
      </w:r>
    </w:p>
    <w:p>
      <w:pPr>
        <w:spacing w:after="0" w:line="211"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Our ability, or our collaborators' ability, to successfully commercialize our products and product candidates, including SPN-812 for adult ADHD patients and SPN-830, will depend in part on the coverage and reimbursement levels set by governmental authorities, private health insurers, managed care organizations, and other third-party payors.</w:t>
      </w:r>
    </w:p>
    <w:p>
      <w:pPr>
        <w:spacing w:after="0" w:line="20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204"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including Oxtellar XR, Trokendi XR, Qelbree and APOKYN,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94" w:lineRule="exact"/>
        <w:rPr>
          <w:sz w:val="20"/>
          <w:szCs w:val="20"/>
          <w:color w:val="auto"/>
        </w:rPr>
      </w:pPr>
    </w:p>
    <w:p>
      <w:pPr>
        <w:ind w:right="100" w:firstLine="619"/>
        <w:spacing w:after="0" w:line="256" w:lineRule="auto"/>
        <w:rPr>
          <w:sz w:val="20"/>
          <w:szCs w:val="20"/>
          <w:color w:val="auto"/>
        </w:rPr>
      </w:pPr>
      <w:r>
        <w:rPr>
          <w:rFonts w:ascii="Arial" w:cs="Arial" w:eastAsia="Arial" w:hAnsi="Arial"/>
          <w:sz w:val="17"/>
          <w:szCs w:val="17"/>
          <w:color w:val="auto"/>
        </w:rPr>
        <w:t>We expect that private insurers and managed care organizations will consider the efficacy, cost effectiveness, and safety of our products or product candidates, including Oxtellar XR, Trokendi XR, Qelbree and APOKYN,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right="40" w:firstLine="619"/>
        <w:spacing w:after="0" w:line="290" w:lineRule="auto"/>
        <w:rPr>
          <w:sz w:val="20"/>
          <w:szCs w:val="20"/>
          <w:color w:val="auto"/>
        </w:rPr>
      </w:pPr>
      <w:r>
        <w:rPr>
          <w:rFonts w:ascii="Arial" w:cs="Arial" w:eastAsia="Arial" w:hAnsi="Arial"/>
          <w:sz w:val="16"/>
          <w:szCs w:val="16"/>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84"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Our business would also be adversely affected if private insurers, managed care organizations, the Medicare program, or other reimbursing bodies or payors limit the indications for which our products or product candidates will be reimbursed.</w:t>
      </w:r>
    </w:p>
    <w:p>
      <w:pPr>
        <w:spacing w:after="0" w:line="190"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Moreover, increasing efforts by governmental and third-party payors in the U.S. to cap or reduce healthcare costs may cause such organizations to limit both coverage and the level of reimbursement for newly approved products. As a result, they may not cover or provide adequate reimbursement for our products or product candidates.</w:t>
      </w:r>
    </w:p>
    <w:p>
      <w:pPr>
        <w:spacing w:after="0" w:line="201"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w:t>
      </w:r>
    </w:p>
    <w:p>
      <w:pPr>
        <w:spacing w:after="0" w:line="20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209"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or product candidates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209"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We expect these challenges to continue and to potentially intensify in 2021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 as well as on our reputation.</w:t>
      </w:r>
    </w:p>
    <w:p>
      <w:pPr>
        <w:spacing w:after="0" w:line="204" w:lineRule="exact"/>
        <w:rPr>
          <w:sz w:val="20"/>
          <w:szCs w:val="20"/>
          <w:color w:val="auto"/>
        </w:rPr>
      </w:pPr>
    </w:p>
    <w:p>
      <w:pPr>
        <w:ind w:right="700" w:firstLine="619"/>
        <w:spacing w:after="0" w:line="279" w:lineRule="auto"/>
        <w:rPr>
          <w:sz w:val="20"/>
          <w:szCs w:val="20"/>
          <w:color w:val="auto"/>
        </w:rPr>
      </w:pPr>
      <w:r>
        <w:rPr>
          <w:rFonts w:ascii="Arial" w:cs="Arial" w:eastAsia="Arial" w:hAnsi="Arial"/>
          <w:sz w:val="17"/>
          <w:szCs w:val="17"/>
          <w:b w:val="1"/>
          <w:bCs w:val="1"/>
          <w:i w:val="1"/>
          <w:iCs w:val="1"/>
          <w:color w:val="auto"/>
        </w:rPr>
        <w:t>We depend on wholesalers, distributors, and specialty pharmacies for the retail distribution of our products. If we lose any of our significant wholesaler, distributor, or specialty pharmacy accounts, our business could be harmed.</w:t>
      </w:r>
    </w:p>
    <w:p>
      <w:pPr>
        <w:spacing w:after="0" w:line="190"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The majority of the sales of Oxtellar XR, Trokendi XR, XADAGO, and MYOBLOC are made to wholesalers and distributors who, in turn, sell our products to pharmacies, hospitals, and other customers. The majority of sales of APOKYN are made to specialty pharmacies, including Accredo Health Group, Inc. and Caremark LLC. For the year ended December 31, 2020, three wholesale pharmaceutical distributors, AmerisourceBergen Drug Corporation, Cardinal Health, Inc., and McKesson Corporation, each individually accounted for more than 25% of our total revenue from sales of our commercial products and collectively accounted for more than 85% of our total revenue from sales of these products in 2020. For the year ended December 31, 2020, the two specialty pharmacies, Accredo Health Group, Inc. and Caremark LLC, accounted for more than 35% individually and more than 80% collectively of the total revenue from sales of APOKYN.</w:t>
      </w:r>
    </w:p>
    <w:p>
      <w:pPr>
        <w:spacing w:after="0" w:line="211"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consolidation marked by mergers and acquisitions. As a result, a small number of large wholesale distributors control a significant share of the market.</w:t>
      </w:r>
    </w:p>
    <w:p>
      <w:pPr>
        <w:spacing w:after="0" w:line="254" w:lineRule="exact"/>
        <w:rPr>
          <w:sz w:val="20"/>
          <w:szCs w:val="20"/>
          <w:color w:val="auto"/>
        </w:rPr>
      </w:pPr>
    </w:p>
    <w:p>
      <w:pPr>
        <w:ind w:right="120" w:firstLine="619"/>
        <w:spacing w:after="0" w:line="312" w:lineRule="auto"/>
        <w:rPr>
          <w:sz w:val="20"/>
          <w:szCs w:val="20"/>
          <w:color w:val="auto"/>
        </w:rPr>
      </w:pPr>
      <w:r>
        <w:rPr>
          <w:rFonts w:ascii="Arial" w:cs="Arial" w:eastAsia="Arial" w:hAnsi="Arial"/>
          <w:sz w:val="16"/>
          <w:szCs w:val="16"/>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166"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spacing w:after="0" w:line="208"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We may not be able to effectively market and sell our product candidates, if approved, in the U.S.</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plan on building or expanding our sales and marketing capabilities in the U.S. to commercialize our product candidates if approved. This will require investing significant amounts of financial and management resources. If we are unable to establish and maintain adequate sales and marketing capabilities for our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Qelbree, our sales representatives who currently support Trokendi XR and Oxtellar XR will now devote their full efforts to the launch of Qelbree. In turn, these sales representatives will be replaced with a smaller contract field force, which could have a detrimental impact on the future sales performance of Trokendi XR and Oxtellar XR.</w:t>
      </w:r>
    </w:p>
    <w:p>
      <w:pPr>
        <w:spacing w:after="0" w:line="211" w:lineRule="exact"/>
        <w:rPr>
          <w:sz w:val="20"/>
          <w:szCs w:val="20"/>
          <w:color w:val="auto"/>
        </w:rPr>
      </w:pPr>
    </w:p>
    <w:p>
      <w:pPr>
        <w:ind w:right="40" w:firstLine="619"/>
        <w:spacing w:after="0" w:line="31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166" w:lineRule="exact"/>
        <w:rPr>
          <w:sz w:val="20"/>
          <w:szCs w:val="20"/>
          <w:color w:val="auto"/>
        </w:rPr>
      </w:pPr>
    </w:p>
    <w:p>
      <w:pPr>
        <w:ind w:right="120" w:firstLine="619"/>
        <w:spacing w:after="0" w:line="277" w:lineRule="auto"/>
        <w:rPr>
          <w:sz w:val="20"/>
          <w:szCs w:val="20"/>
          <w:color w:val="auto"/>
        </w:rPr>
      </w:pPr>
      <w:r>
        <w:rPr>
          <w:rFonts w:ascii="Arial" w:cs="Arial" w:eastAsia="Arial" w:hAnsi="Arial"/>
          <w:sz w:val="16"/>
          <w:szCs w:val="16"/>
          <w:color w:val="auto"/>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96"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The FDA has substantial discretion in the drug approval process, including the ability to delay, limit or deny approval of a product candidate or deny a prior approval supplement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for many reasons. For example, the FDA</w:t>
      </w:r>
    </w:p>
    <w:p>
      <w:pPr>
        <w:spacing w:after="0" w:line="123"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Could reject or delay the marketing application for an NCE;</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Could determine that we cannot rely on Section 505(b)(2) for any approval of our product candidates;</w:t>
      </w:r>
    </w:p>
    <w:p>
      <w:pPr>
        <w:spacing w:after="0" w:line="10" w:lineRule="exact"/>
        <w:rPr>
          <w:rFonts w:ascii="Arial" w:cs="Arial" w:eastAsia="Arial" w:hAnsi="Arial"/>
          <w:sz w:val="17"/>
          <w:szCs w:val="17"/>
          <w:color w:val="auto"/>
        </w:rPr>
      </w:pPr>
    </w:p>
    <w:p>
      <w:pPr>
        <w:ind w:left="620" w:right="28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Could determine that the information provided by us was inadequate, contained clinical deficiencies, or otherwise failed to demonstrate the safety and effectiveness of any of our product candidates for a specific indication;</w:t>
      </w:r>
    </w:p>
    <w:p>
      <w:pPr>
        <w:ind w:left="620" w:right="40" w:hanging="307"/>
        <w:spacing w:after="0" w:line="25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May not find the data from bioequivalence studies and/or clinical trials sufficient to support the submission of an NDA or to obtain marketing approval in the U.S.;</w:t>
      </w: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May find the clinical and other benefits of our product candidates do not outweigh their safety risks;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right="200" w:hanging="307"/>
        <w:spacing w:after="0" w:line="257"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 w:lineRule="exact"/>
        <w:rPr>
          <w:rFonts w:ascii="Arial" w:cs="Arial" w:eastAsia="Arial" w:hAnsi="Arial"/>
          <w:sz w:val="17"/>
          <w:szCs w:val="17"/>
          <w:color w:val="auto"/>
        </w:rPr>
      </w:pPr>
    </w:p>
    <w:p>
      <w:pPr>
        <w:ind w:left="620" w:right="44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determine that we have identified the wrong reference listed drug or drugs, or that approval of our Section 505(b)(2) application of our product candidate is blocked by patent or non-patent exclusivity of the reference listed drug or drugs;</w:t>
      </w:r>
    </w:p>
    <w:p>
      <w:pPr>
        <w:ind w:left="620" w:right="4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an interruption in the ability to supply product;</w:t>
      </w:r>
    </w:p>
    <w:p>
      <w:pPr>
        <w:ind w:left="62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approve our product candidates for fewer or more limited indications than we request, or may grant approval contingent on the performance of costly post-approval clinical trials;</w:t>
      </w: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change their approval policies or adopt new regulations;</w:t>
      </w:r>
    </w:p>
    <w:p>
      <w:pPr>
        <w:spacing w:after="0" w:line="10" w:lineRule="exact"/>
        <w:rPr>
          <w:rFonts w:ascii="Arial" w:cs="Arial" w:eastAsia="Arial" w:hAnsi="Arial"/>
          <w:sz w:val="17"/>
          <w:szCs w:val="17"/>
          <w:color w:val="auto"/>
        </w:rPr>
      </w:pPr>
    </w:p>
    <w:p>
      <w:pPr>
        <w:ind w:left="620" w:right="320" w:hanging="307"/>
        <w:spacing w:after="0" w:line="269"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not approve the addition of new indications to the label of our existing products.</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_______________</w:t>
      </w:r>
    </w:p>
    <w:p>
      <w:pPr>
        <w:spacing w:after="0" w:line="3" w:lineRule="exact"/>
        <w:rPr>
          <w:sz w:val="20"/>
          <w:szCs w:val="20"/>
          <w:color w:val="auto"/>
        </w:rPr>
      </w:pPr>
    </w:p>
    <w:p>
      <w:pPr>
        <w:ind w:right="120" w:firstLine="622"/>
        <w:spacing w:after="0" w:line="248" w:lineRule="auto"/>
        <w:tabs>
          <w:tab w:leader="none" w:pos="792"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Changes that have a substantial potential to have an adverse effect on product quality, identity strength, purity, or potency (i.e., major changes) require submission of a "prior approval supplement" and approval by the FDA prior to distribution of the drug product made using the change.</w:t>
      </w:r>
    </w:p>
    <w:p>
      <w:pPr>
        <w:spacing w:after="0" w:line="214"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94"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20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201"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Following FDA approval of Qelbree in April 2021 for the treatment of ADHD in pediatric patients, additional indications may be submitted using the Section 505(b)(2) regulatory pathway. We plan to submit a filing under Section 505(b)(2) to the FDA for Qelbree in adults in the third quarter of 2021. The FDA may not approve our filing under Section 505(b)(2) for this for other indication(s), and therefore we would be required to submit a full NDA filing. In such a case, the time and financial resources required to obtain approval could also significantly increase.</w:t>
      </w:r>
    </w:p>
    <w:p>
      <w:pPr>
        <w:spacing w:after="0" w:line="20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In addition, we intend to complete the development of an infusion-pump delivery system containing apomorphine (SPN-830) and have submitted the NDA for SPN-830 to the FDA in September 2020. We received a refusal to file letter from the FDA and met with the FDA in March 2021 to clarify the steps required for the resubmission of the NDA for SPN-830. We are investing significant amounts of resources into the continued development of SPN-830. If we are unable to gain FDA approval for SPN-830 or are unable to successfully commercialize it, we may not be able to generate revenue to cover the cost of invested company resources invested in this product candidate. In addition, as discussed further below, failure to gain FDA approval could have an adverse effect on SPN-830’s commercial potential or could require additional costly studies.</w:t>
      </w:r>
    </w:p>
    <w:p>
      <w:pPr>
        <w:spacing w:after="0" w:line="209"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201"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We do not currently own or operate manufacturing facilities for the commercial production of any of our products or our product candidates, nor do we have plans to develop our own manufacturing operations at a commercial scale in the foreseeable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future. We currently depend on third-party clinical manufacturing organizations (CMOs), who offer a comprehensive range of contract manufacturing and packaging services, in various countries for the supply of API for our products and product candidates, including drug substances for our preclinical research and clinical trials. For Trokendi XR, Oxtellar XR, Qelbree, MYOBLOC, XADAGO, and APOKYN, we currently rely on single source suppliers for raw materials, including API, as well as single source suppliers to produce and package final dosage forms.</w:t>
      </w:r>
    </w:p>
    <w:p>
      <w:pPr>
        <w:spacing w:after="0" w:line="189"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There is a risk that supplies of our products or product candidates may be significantly delayed by or may become unavailable as a result of manufacturing, equipment, process, or business-related issues affecting our suppliers. Any future curtailment in the availability of raw materials or finished goods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such as the case for example for SPN-830 where the supplier for the infusion pump device is based in Italy and for APOKYN, XADAGO and MYOBLOC where the API manufacturer and finished goods supplier, respectively, are in Europe.</w:t>
      </w:r>
    </w:p>
    <w:p>
      <w:pPr>
        <w:spacing w:after="0" w:line="211"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spacing w:after="0" w:line="196"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202"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9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 xml:space="preserve">Even though U.S. regulatory approval has been obtained for our products, the FDA may impose significant restrictions on their indicated uses, or may impose restrictions on marketing, or may impose requirements for costly post-approval studies. For example, both Trokendi XR and Oxtellar XR were approved on the basis of post-approval commitments, including the development of additional age-appropriate formulations of the drugs and the conduct of post-approval clinical studies in accordance with timelines laid out in the approval letters. The post-approval commitments required the creation of new drug product formulations, which we have not been able to accomplish. Despite significant efforts, in certain cases, we have been unable to meet the FDA's timelines. Refer to Part I, Item 1, </w:t>
      </w:r>
      <w:r>
        <w:rPr>
          <w:rFonts w:ascii="Arial" w:cs="Arial" w:eastAsia="Arial" w:hAnsi="Arial"/>
          <w:sz w:val="17"/>
          <w:szCs w:val="17"/>
          <w:i w:val="1"/>
          <w:iCs w:val="1"/>
          <w:color w:val="auto"/>
        </w:rPr>
        <w:t>Business, Post-approval Regulatory Requirements</w:t>
      </w:r>
      <w:r>
        <w:rPr>
          <w:rFonts w:ascii="Arial" w:cs="Arial" w:eastAsia="Arial" w:hAnsi="Arial"/>
          <w:sz w:val="17"/>
          <w:szCs w:val="17"/>
          <w:color w:val="auto"/>
        </w:rPr>
        <w:t xml:space="preserve"> of the Annual Report on Form 10-K filed with the SEC on March 8, 2021, for more information. To date, the only consequence of our failure to meet our PREA commitment deadlines has been a notation on FDA websites, making the status of PREA publicly known.</w:t>
      </w:r>
    </w:p>
    <w:p>
      <w:pPr>
        <w:spacing w:after="0" w:line="20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approval study requirements, the FDA may disagree. Refer to Part I, Item 1, Business, Post-approval Regulatory Requirements, in the Annual Report on Form 10-K filed with the SEC on March 8, 2021, for more information.</w:t>
      </w:r>
    </w:p>
    <w:p>
      <w:pPr>
        <w:spacing w:after="0" w:line="190"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We have post-marketing clinical and manufacturing studies and data commitments for MYOBLOC. We are required to conduct a post-marketing study of MYOBLOC for treatment of sialorrhea and spasticity.</w:t>
      </w:r>
    </w:p>
    <w:p>
      <w:pPr>
        <w:spacing w:after="0" w:line="190" w:lineRule="exact"/>
        <w:rPr>
          <w:sz w:val="20"/>
          <w:szCs w:val="20"/>
          <w:color w:val="auto"/>
        </w:rPr>
      </w:pPr>
    </w:p>
    <w:p>
      <w:pPr>
        <w:jc w:val="both"/>
        <w:ind w:right="180" w:firstLine="619"/>
        <w:spacing w:after="0" w:line="266" w:lineRule="auto"/>
        <w:rPr>
          <w:sz w:val="20"/>
          <w:szCs w:val="20"/>
          <w:color w:val="auto"/>
        </w:rPr>
      </w:pPr>
      <w:r>
        <w:rPr>
          <w:rFonts w:ascii="Arial" w:cs="Arial" w:eastAsia="Arial" w:hAnsi="Arial"/>
          <w:sz w:val="17"/>
          <w:szCs w:val="17"/>
          <w:color w:val="auto"/>
        </w:rPr>
        <w:t>We received approval for Qelbree from the FDA based on certain post-marketing commitments,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and potential complications.</w:t>
      </w:r>
    </w:p>
    <w:p>
      <w:pPr>
        <w:spacing w:after="0" w:line="201"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spacing w:after="0" w:line="196"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90"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Issue warning letters or untitled letters;</w:t>
      </w:r>
    </w:p>
    <w:p>
      <w:pPr>
        <w:spacing w:after="0" w:line="2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Impose civil or criminal penalties;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regulatory approval;</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any ongoing bioequivalence and/or clinical trials;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10" w:lineRule="exact"/>
        <w:rPr>
          <w:rFonts w:ascii="Arial" w:cs="Arial" w:eastAsia="Arial" w:hAnsi="Arial"/>
          <w:sz w:val="17"/>
          <w:szCs w:val="17"/>
          <w:color w:val="auto"/>
        </w:rPr>
      </w:pPr>
    </w:p>
    <w:p>
      <w:pPr>
        <w:ind w:left="940" w:right="800" w:hanging="318"/>
        <w:spacing w:after="0" w:line="253"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Impose restrictions on operations, including costly new manufacturing requirements, or suspend production for a sustained period of time; or</w:t>
      </w: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Seize or detain products or require us to initiate a product recall.</w:t>
      </w:r>
    </w:p>
    <w:p>
      <w:pPr>
        <w:spacing w:after="0" w:line="232"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and revenues.</w:t>
      </w:r>
    </w:p>
    <w:p>
      <w:pPr>
        <w:spacing w:after="0" w:line="196"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Further, the FDA's policies may prospectively change. Additional government regulations may be enacted that could affect our products or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failure to successfully develop and market our product candidates would impair our ability to grow.</w:t>
      </w:r>
    </w:p>
    <w:p>
      <w:pPr>
        <w:spacing w:after="0" w:line="243"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promising pharmaceutical product candidates and approved products, and to manage our spending as expenses related to undertaking clinical trials can be substantial.</w:t>
      </w:r>
    </w:p>
    <w:p>
      <w:pPr>
        <w:spacing w:after="0" w:line="190" w:lineRule="exact"/>
        <w:rPr>
          <w:sz w:val="20"/>
          <w:szCs w:val="20"/>
          <w:color w:val="auto"/>
        </w:rPr>
      </w:pPr>
    </w:p>
    <w:p>
      <w:pPr>
        <w:jc w:val="both"/>
        <w:ind w:right="420" w:firstLine="619"/>
        <w:spacing w:after="0" w:line="266" w:lineRule="auto"/>
        <w:rPr>
          <w:sz w:val="20"/>
          <w:szCs w:val="20"/>
          <w:color w:val="auto"/>
        </w:rPr>
      </w:pPr>
      <w:r>
        <w:rPr>
          <w:rFonts w:ascii="Arial" w:cs="Arial" w:eastAsia="Arial" w:hAnsi="Arial"/>
          <w:sz w:val="17"/>
          <w:szCs w:val="17"/>
          <w:color w:val="auto"/>
        </w:rPr>
        <w:t>An existing team of experienced Supernus sales representatives who supported Trokendi XR and Oxtellar XR will now devote their full focus to the launch of Qelbree. By removing these resources from the field promotion of Trokendi XR and Oxtellar XR and replacing them with a contract field force of smaller size there could be a detrimental impact on the performance of Trokendi XR and Oxtellar XR.</w:t>
      </w:r>
    </w:p>
    <w:p>
      <w:pPr>
        <w:spacing w:after="0" w:line="201" w:lineRule="exact"/>
        <w:rPr>
          <w:sz w:val="20"/>
          <w:szCs w:val="20"/>
          <w:color w:val="auto"/>
        </w:rPr>
      </w:pPr>
    </w:p>
    <w:p>
      <w:pPr>
        <w:ind w:right="260" w:firstLine="619"/>
        <w:spacing w:after="0" w:line="259" w:lineRule="auto"/>
        <w:rPr>
          <w:sz w:val="20"/>
          <w:szCs w:val="20"/>
          <w:color w:val="auto"/>
        </w:rPr>
      </w:pPr>
      <w:r>
        <w:rPr>
          <w:rFonts w:ascii="Arial" w:cs="Arial" w:eastAsia="Arial" w:hAnsi="Arial"/>
          <w:sz w:val="17"/>
          <w:szCs w:val="17"/>
          <w:color w:val="auto"/>
        </w:rPr>
        <w:t>In September 2020, we submitted the NDA for SPN-830 to the FDA. In November 2020, we received a Refusal to File (RTF) letter from the FDA regarding the NDA in which the FDA determined that the NDA was not sufficiently complete to permit a substantive review. In the letter, the FDA requested certain documents and reports to be submitted in support of the NDA. In March 2021, we met with the FDA to discuss the path forward for resubmission of the SPN-830 NDA. The FDA provided additional clarity related to the contents of the RTF letter and the requirements for resubmission and we are working on responding to the FDA’s requirements to refile the NDA for SPN-830.</w:t>
      </w:r>
    </w:p>
    <w:p>
      <w:pPr>
        <w:spacing w:after="0" w:line="209"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b w:val="1"/>
          <w:bCs w:val="1"/>
          <w:i w:val="1"/>
          <w:iCs w:val="1"/>
          <w:color w:val="auto"/>
        </w:rPr>
        <w:t>We rely on and will continue to rely on outsourcing arrangements for certain of our critical activities, including clinical research of our product candidates, manufacture of our compounds and product candidates beyond Phase II clinical trials, and the manufacture of our commercial products.</w:t>
      </w:r>
    </w:p>
    <w:p>
      <w:pPr>
        <w:spacing w:after="0" w:line="14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204" w:lineRule="exact"/>
        <w:rPr>
          <w:sz w:val="20"/>
          <w:szCs w:val="20"/>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Non-compliance by third parties with regulatory and quality control standards;</w:t>
      </w:r>
    </w:p>
    <w:p>
      <w:pPr>
        <w:spacing w:after="0" w:line="21" w:lineRule="exact"/>
        <w:rPr>
          <w:rFonts w:ascii="Arial" w:cs="Arial" w:eastAsia="Arial" w:hAnsi="Arial"/>
          <w:sz w:val="17"/>
          <w:szCs w:val="17"/>
          <w:color w:val="auto"/>
        </w:rPr>
      </w:pPr>
    </w:p>
    <w:p>
      <w:pPr>
        <w:ind w:left="940" w:right="1200" w:hanging="318"/>
        <w:spacing w:after="0" w:line="253"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Sanctions imposed by regulatory authorities if compounds supplied or manufactured by a third party supplier or manufacturer fail to comply with applicable regulatory standards;</w:t>
      </w:r>
    </w:p>
    <w:p>
      <w:pPr>
        <w:jc w:val="both"/>
        <w:ind w:left="940" w:right="860" w:hanging="318"/>
        <w:spacing w:after="0" w:line="287" w:lineRule="auto"/>
        <w:tabs>
          <w:tab w:leader="none" w:pos="9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ind w:left="940" w:right="1020" w:hanging="318"/>
        <w:spacing w:after="0" w:line="266"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Termination or non-renewal of an agreement by a third party at a time that is inconvenient for us and for reasons not entirely under our control.</w:t>
      </w:r>
    </w:p>
    <w:p>
      <w:pPr>
        <w:spacing w:after="0" w:line="200"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do not own or operate manufacturing facilities for the production of any of our products or product candidates beyond Phase II clinical trials, nor do we have plans in the foreseeable future to develop our own manufacturing operations to support Phase III clinical trials or support commercial production. We currently depend on third-party CMOs for all of our required raw materials and drug substances for our preclinical research and clinical trials. For our commercial products, including Oxtellar XR, Trokendi XR, Qelbree and APOKYN, we currently rely on single source suppliers for raw materials, including API, and rely on third-party manufacturers for the production and packaging of final commercial products. In addition, we rely on a single source supplier of API for SPN-812 and API and infusion delivery pump system for SPN-830.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202"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90"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w:t>
      </w:r>
    </w:p>
    <w:p>
      <w:pPr>
        <w:spacing w:after="0" w:line="204"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Immediate release oxcarbazepine and topiramate products, which use the same APIs as Oxtellar XR and Trokendi XR, are known to cause various side effects, including but not limited to: dizziness; paresthesia; headaches, and cognitive deficiencies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such as memory loss and speech impediment; digestive problems; somnolence; double vision; gingival enlargement; nausea; weight gain; oral malformation birth defects; visual field defects; infants small for gestational age; and fatigue. The use of Oxtellar XR and Trokendi XR may cause similar side effects as compared to their reference products or may cause additional or different side effects.</w:t>
      </w:r>
    </w:p>
    <w:p>
      <w:pPr>
        <w:spacing w:after="0" w:line="201" w:lineRule="exact"/>
        <w:rPr>
          <w:sz w:val="20"/>
          <w:szCs w:val="20"/>
          <w:color w:val="auto"/>
        </w:rPr>
      </w:pPr>
    </w:p>
    <w:p>
      <w:pPr>
        <w:ind w:right="540" w:firstLine="619"/>
        <w:spacing w:after="0" w:line="318" w:lineRule="auto"/>
        <w:rPr>
          <w:sz w:val="20"/>
          <w:szCs w:val="20"/>
          <w:color w:val="auto"/>
        </w:rPr>
      </w:pPr>
      <w:r>
        <w:rPr>
          <w:rFonts w:ascii="Arial" w:cs="Arial" w:eastAsia="Arial" w:hAnsi="Arial"/>
          <w:sz w:val="15"/>
          <w:szCs w:val="15"/>
          <w:color w:val="auto"/>
        </w:rPr>
        <w:t>Apomorphine hydrochloride products, which use the same API as APOKYN, are known to cause various side effects, including but not limited to: yawning; sleepiness; dyskinesias; dizziness; runny nose; nausea and/or vomiting; hallucinations/confusion; and swelling of hands, arms, legs, and feet, somnolence. The use of APOKYN may cause similar side effects compared to these reference products, or may cause additional or different side effects.</w:t>
      </w:r>
    </w:p>
    <w:p>
      <w:pPr>
        <w:spacing w:after="0" w:line="165" w:lineRule="exact"/>
        <w:rPr>
          <w:sz w:val="20"/>
          <w:szCs w:val="20"/>
          <w:color w:val="auto"/>
        </w:rPr>
      </w:pPr>
    </w:p>
    <w:p>
      <w:pPr>
        <w:ind w:right="320" w:firstLine="619"/>
        <w:spacing w:after="0" w:line="349" w:lineRule="auto"/>
        <w:rPr>
          <w:sz w:val="20"/>
          <w:szCs w:val="20"/>
          <w:color w:val="auto"/>
        </w:rPr>
      </w:pPr>
      <w:r>
        <w:rPr>
          <w:rFonts w:ascii="Arial" w:cs="Arial" w:eastAsia="Arial" w:hAnsi="Arial"/>
          <w:sz w:val="15"/>
          <w:szCs w:val="15"/>
          <w:color w:val="auto"/>
        </w:rPr>
        <w:t>Safinamide products, which use the same API as XADAGO, are known to cause various side effects, including but not limited to: dyskinesia, nausea, falls, insomnia. The use of XADAGO may cause similar side effects compared to these reference products or may cause additional or different side effects.</w:t>
      </w:r>
    </w:p>
    <w:p>
      <w:pPr>
        <w:spacing w:after="0" w:line="14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Botulinum toxin products, which use the same API as MYOBLOC, are known to cause various side effects due to the spread of botulinum toxins from the area of injections. These may include: asthenia; generalized muscle weakness; diplopia; blurred vision; ptosis; dysphagia; dysphonia; dysarthria; urinary incontinence; and breathing difficulties. These symptoms have been reported hours to weeks after injection. Swallowing and breathing difficulties can be life threatening. There have been reports of death. The use of MYOBLOC may cause similar side effects compared to its reference products or may cause additional or different side effects.</w:t>
      </w:r>
    </w:p>
    <w:p>
      <w:pPr>
        <w:spacing w:after="0" w:line="209"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Qelbree may increase suicidal thoughts and behavior. Patients treated with Qelbree had higher rates of insomnia and irritability. These symptoms, along with other symptoms such as depressed mood, anxiety, agitation, akathisia, mania, hypomania, panic attacks, impulsive behavior, and aggression may represent precursors to emerging suicidal ideation or behavior. Patients treated with Qelbree should be observed for the emergence of these symptoms, especially within the first few months of treatment or when the dose is changed. Qelbree is not indicated in patients that also take monoamine oxidase inhibitors, or MAOIs, or those patients who take medicines metabolized by CYP1A2, such as theophylline.</w:t>
      </w:r>
    </w:p>
    <w:p>
      <w:pPr>
        <w:spacing w:after="0" w:line="209"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Products that were or are currently on the market and use the same API as our product candidates, including Qelbree and SPN-817 (dietary supplements),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Qelbree and SPN-817 may cause similar side effects as compared to these reference products or may cause additional or different side effects.</w:t>
      </w:r>
    </w:p>
    <w:p>
      <w:pPr>
        <w:spacing w:after="0" w:line="195" w:lineRule="exact"/>
        <w:rPr>
          <w:sz w:val="20"/>
          <w:szCs w:val="20"/>
          <w:color w:val="auto"/>
        </w:rPr>
      </w:pPr>
    </w:p>
    <w:p>
      <w:pPr>
        <w:ind w:right="160" w:firstLine="619"/>
        <w:spacing w:after="0" w:line="312" w:lineRule="auto"/>
        <w:rPr>
          <w:sz w:val="20"/>
          <w:szCs w:val="20"/>
          <w:color w:val="auto"/>
        </w:rPr>
      </w:pPr>
      <w:r>
        <w:rPr>
          <w:rFonts w:ascii="Arial" w:cs="Arial" w:eastAsia="Arial" w:hAnsi="Arial"/>
          <w:sz w:val="16"/>
          <w:szCs w:val="16"/>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166" w:lineRule="exact"/>
        <w:rPr>
          <w:sz w:val="20"/>
          <w:szCs w:val="20"/>
          <w:color w:val="auto"/>
        </w:rPr>
      </w:pPr>
    </w:p>
    <w:p>
      <w:pPr>
        <w:ind w:left="940" w:right="1280" w:hanging="318"/>
        <w:spacing w:after="0" w:line="259"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withdraw approval of the product candidate or otherwise require us to take the approved product off the market;</w:t>
      </w:r>
    </w:p>
    <w:p>
      <w:pPr>
        <w:spacing w:after="0" w:line="1"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or a narrowing of the indication on the product label;</w:t>
      </w:r>
    </w:p>
    <w:p>
      <w:pPr>
        <w:spacing w:after="0" w:line="10" w:lineRule="exact"/>
        <w:rPr>
          <w:rFonts w:ascii="Arial" w:cs="Arial" w:eastAsia="Arial" w:hAnsi="Arial"/>
          <w:sz w:val="17"/>
          <w:szCs w:val="17"/>
          <w:color w:val="auto"/>
        </w:rPr>
      </w:pPr>
    </w:p>
    <w:p>
      <w:pPr>
        <w:ind w:left="940" w:right="860" w:hanging="318"/>
        <w:spacing w:after="0" w:line="253"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proper use of the medication and the risks of side effects for distribution to patients;</w:t>
      </w: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modify the product in some way;</w:t>
      </w:r>
    </w:p>
    <w:p>
      <w:pPr>
        <w:spacing w:after="0" w:line="10" w:lineRule="exact"/>
        <w:rPr>
          <w:rFonts w:ascii="Arial" w:cs="Arial" w:eastAsia="Arial" w:hAnsi="Arial"/>
          <w:sz w:val="17"/>
          <w:szCs w:val="17"/>
          <w:color w:val="auto"/>
        </w:rPr>
      </w:pPr>
    </w:p>
    <w:p>
      <w:pPr>
        <w:ind w:left="940" w:right="800" w:hanging="318"/>
        <w:spacing w:after="0" w:line="253"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require us to conduct additional clinical trials, or costly post-marketing testing and surveillance, to monitor the safety or efficacy of the product;</w:t>
      </w: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 of approved products may decrease significantly;</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could be sued and be held liable for harm caused to patients; or</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32" w:lineRule="exact"/>
        <w:rPr>
          <w:sz w:val="20"/>
          <w:szCs w:val="20"/>
          <w:color w:val="auto"/>
        </w:rPr>
      </w:pPr>
    </w:p>
    <w:p>
      <w:pPr>
        <w:ind w:right="840" w:firstLine="619"/>
        <w:spacing w:after="0" w:line="279" w:lineRule="auto"/>
        <w:rPr>
          <w:sz w:val="20"/>
          <w:szCs w:val="20"/>
          <w:color w:val="auto"/>
        </w:rPr>
      </w:pPr>
      <w:r>
        <w:rPr>
          <w:rFonts w:ascii="Arial" w:cs="Arial" w:eastAsia="Arial" w:hAnsi="Arial"/>
          <w:sz w:val="17"/>
          <w:szCs w:val="17"/>
          <w:color w:val="auto"/>
        </w:rPr>
        <w:t>Any of these events could prevent us from achieving or maintaining the commercial success of our products and product candidates and could substantially increase commercialization costs.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We depend on collaborators to work with us to develop, manufacture and commercialize their and our products and product candidates.</w:t>
      </w:r>
    </w:p>
    <w:p>
      <w:pPr>
        <w:spacing w:after="0" w:line="254"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United Therapeutics Corporation launched Orenitram (treprostinil) in 2014, which triggered payment of a milestone payment to us of $2.0 million. In the third quarter of 2014, we received a cash payment of $30.0 million from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w:t>
      </w:r>
    </w:p>
    <w:p>
      <w:pPr>
        <w:spacing w:after="0" w:line="194"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We are entitled to receive milestones and royalties for the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20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spacing w:after="0" w:line="20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spacing w:after="0" w:line="209"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For Qelbree, we are negotiating to enter into agreements with leading CMOs including Bachem for the production of API and Catalent Pharma Solutions, for the manufacture of the commercial products. These CMOs offer a comprehensive range of contract manufacturing services.</w:t>
      </w:r>
    </w:p>
    <w:p>
      <w:pPr>
        <w:spacing w:after="0" w:line="190" w:lineRule="exact"/>
        <w:rPr>
          <w:sz w:val="20"/>
          <w:szCs w:val="20"/>
          <w:color w:val="auto"/>
        </w:rPr>
      </w:pPr>
    </w:p>
    <w:p>
      <w:pPr>
        <w:ind w:right="740" w:firstLine="619"/>
        <w:spacing w:after="0" w:line="279" w:lineRule="auto"/>
        <w:rPr>
          <w:sz w:val="20"/>
          <w:szCs w:val="20"/>
          <w:color w:val="auto"/>
        </w:rPr>
      </w:pPr>
      <w:r>
        <w:rPr>
          <w:rFonts w:ascii="Arial" w:cs="Arial" w:eastAsia="Arial" w:hAnsi="Arial"/>
          <w:sz w:val="17"/>
          <w:szCs w:val="17"/>
          <w:color w:val="auto"/>
        </w:rPr>
        <w:t xml:space="preserve">Refer to Part I, Item 1, </w:t>
      </w:r>
      <w:r>
        <w:rPr>
          <w:rFonts w:ascii="Arial" w:cs="Arial" w:eastAsia="Arial" w:hAnsi="Arial"/>
          <w:sz w:val="17"/>
          <w:szCs w:val="17"/>
          <w:i w:val="1"/>
          <w:iCs w:val="1"/>
          <w:color w:val="auto"/>
        </w:rPr>
        <w:t>Business, Collaborations and Licensing Agreements</w:t>
      </w:r>
      <w:r>
        <w:rPr>
          <w:rFonts w:ascii="Arial" w:cs="Arial" w:eastAsia="Arial" w:hAnsi="Arial"/>
          <w:sz w:val="17"/>
          <w:szCs w:val="17"/>
          <w:color w:val="auto"/>
        </w:rPr>
        <w:t>, of our Annual Report on Form 10-K for discussion on the different collaborations and licensing arrangements.</w:t>
      </w:r>
    </w:p>
    <w:p>
      <w:pPr>
        <w:spacing w:after="0" w:line="190"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We intend to rely on third-party collaborators to market and commercialize our products and product candidates outside the U.S. We utilize strategic partners outside the U.S.,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209" w:lineRule="exact"/>
        <w:rPr>
          <w:sz w:val="20"/>
          <w:szCs w:val="20"/>
          <w:color w:val="auto"/>
        </w:rPr>
      </w:pPr>
    </w:p>
    <w:p>
      <w:pPr>
        <w:ind w:right="120" w:firstLine="619"/>
        <w:spacing w:after="0" w:line="279" w:lineRule="auto"/>
        <w:rPr>
          <w:sz w:val="20"/>
          <w:szCs w:val="20"/>
          <w:color w:val="auto"/>
        </w:rPr>
      </w:pPr>
      <w:r>
        <w:rPr>
          <w:rFonts w:ascii="Arial" w:cs="Arial" w:eastAsia="Arial" w:hAnsi="Arial"/>
          <w:sz w:val="16"/>
          <w:szCs w:val="16"/>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94" w:lineRule="exact"/>
        <w:rPr>
          <w:sz w:val="20"/>
          <w:szCs w:val="20"/>
          <w:color w:val="auto"/>
        </w:rPr>
      </w:pPr>
    </w:p>
    <w:p>
      <w:pPr>
        <w:ind w:left="940" w:right="1280" w:hanging="318"/>
        <w:spacing w:after="0" w:line="259"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 the focus of their development and commercialization efforts, or may have insufficient resources to effectively develop our product candidates;</w:t>
      </w:r>
    </w:p>
    <w:p>
      <w:pPr>
        <w:spacing w:after="0" w:line="1" w:lineRule="exact"/>
        <w:rPr>
          <w:rFonts w:ascii="Arial" w:cs="Arial" w:eastAsia="Arial" w:hAnsi="Arial"/>
          <w:sz w:val="17"/>
          <w:szCs w:val="17"/>
          <w:color w:val="auto"/>
        </w:rPr>
      </w:pPr>
    </w:p>
    <w:p>
      <w:pPr>
        <w:ind w:left="940" w:right="800" w:hanging="318"/>
        <w:spacing w:after="0" w:line="257"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940" w:right="780" w:hanging="318"/>
        <w:spacing w:after="0" w:line="257"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1" w:lineRule="exact"/>
        <w:rPr>
          <w:rFonts w:ascii="Arial" w:cs="Arial" w:eastAsia="Arial" w:hAnsi="Arial"/>
          <w:sz w:val="17"/>
          <w:szCs w:val="17"/>
          <w:color w:val="auto"/>
        </w:rPr>
      </w:pPr>
    </w:p>
    <w:p>
      <w:pPr>
        <w:ind w:left="940" w:right="1000" w:hanging="318"/>
        <w:spacing w:after="0" w:line="253"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 and commercialize, either alone or with others, drugs that are similar to or competitive with the product candidates that are the subject of their collaboration with us;</w:t>
      </w:r>
    </w:p>
    <w:p>
      <w:pPr>
        <w:ind w:left="940" w:right="1200" w:hanging="318"/>
        <w:spacing w:after="0" w:line="253"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have necessary and sufficient resources to develop the product candidate through clinical development, marketing approval, and commercialization;</w:t>
      </w: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 to comply with applicable regulatory requirements;</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Are unable to obtain the necessary marketing approvals; or</w:t>
      </w:r>
    </w:p>
    <w:p>
      <w:pPr>
        <w:spacing w:after="0" w:line="10"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Breach or terminate their arrangement with us.</w:t>
      </w:r>
    </w:p>
    <w:p>
      <w:pPr>
        <w:spacing w:after="0" w:line="232"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96" w:lineRule="exact"/>
        <w:rPr>
          <w:sz w:val="20"/>
          <w:szCs w:val="20"/>
          <w:color w:val="auto"/>
        </w:rPr>
      </w:pPr>
    </w:p>
    <w:p>
      <w:pPr>
        <w:ind w:right="960" w:firstLine="619"/>
        <w:spacing w:after="0" w:line="279" w:lineRule="auto"/>
        <w:rPr>
          <w:sz w:val="20"/>
          <w:szCs w:val="20"/>
          <w:color w:val="auto"/>
        </w:rPr>
      </w:pPr>
      <w:r>
        <w:rPr>
          <w:rFonts w:ascii="Arial" w:cs="Arial" w:eastAsia="Arial" w:hAnsi="Arial"/>
          <w:sz w:val="17"/>
          <w:szCs w:val="17"/>
          <w:b w:val="1"/>
          <w:bCs w:val="1"/>
          <w:i w:val="1"/>
          <w:iCs w:val="1"/>
          <w:color w:val="auto"/>
        </w:rPr>
        <w:t>We could be involved in lawsuits to protect or enforce our patents, which could be expensive, time consuming, distracting, and ultimately unsuccessful.</w:t>
      </w:r>
    </w:p>
    <w:p>
      <w:pPr>
        <w:spacing w:after="0" w:line="190"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Competitors may infringe our patents. To counter infringement or unauthorized use, we may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89"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For example, we received a Paragraph IV Notice Letter from generic drug makers Apotex Inc. and Apotex Corp. (collectively “Apotex”) in May 2020, directed to nine of its Oxtellar XR Orange Book patents, which generally cover once-a-day oxcarbazepine formulations and methods of treating seizures using those formulations. The FDA Orange Book lists all nine of our Oxtellar XR patents as expiring on April 13, 2027. In June 2020, we filed a lawsuit against Apotex alleging infringement of all nine patents. In September 2020, Apotex answered the Complaint and denied the substantive allegations of the Complaint. Apotex also asserted Counterclaims seeking declaratory judgments of non-infringement for the nine Oxtellar XR Orange Book patents. Our responses to Apotex’s counterclaims were filed in October 2020.</w:t>
      </w:r>
    </w:p>
    <w:p>
      <w:pPr>
        <w:spacing w:after="0" w:line="209"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In April 2021, we received a second Paragraph IV Notice Letter from generic drug maker RiconPharma, LLC (“Ricon”) dated April 20, 2021 directed to nine of its Oxtellar XR Orange Book patents. The Company is currently reviewing the details of Ricon’s Notice Letter and intends to vigorously enforce its intellectual property rights relating to Oxtellar XR.</w:t>
      </w:r>
    </w:p>
    <w:p>
      <w:pPr>
        <w:spacing w:after="0" w:line="201"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We also received a Paragraph IV Notice Letter from generic drug maker Ajanta Pharma Limited on February 11, 2021, directed to ten of its Trokendi XR Orange Book patents, which generally cover once-a-day topiramate formulations and methods of treating seizures using those formulations. The FDA Orange Book lists one patent with an expiration date of April 4, 2028 and nine patents with an expiration date of November 16, 2027. The Company is currently reviewing Ajanta’s Notice Letter and intends to vigorously enforce its intellectual property rights relating to Trokendi XR.</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more information, refer to Part II, Item 1—</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contained in this Quarterly Report on Form 10-Q.</w:t>
      </w:r>
    </w:p>
    <w:p>
      <w:pPr>
        <w:spacing w:after="0" w:line="243" w:lineRule="exact"/>
        <w:rPr>
          <w:sz w:val="20"/>
          <w:szCs w:val="20"/>
          <w:color w:val="auto"/>
        </w:rPr>
      </w:pPr>
    </w:p>
    <w:p>
      <w:pPr>
        <w:jc w:val="both"/>
        <w:ind w:right="200" w:firstLine="619"/>
        <w:spacing w:after="0" w:line="318" w:lineRule="auto"/>
        <w:rPr>
          <w:sz w:val="20"/>
          <w:szCs w:val="20"/>
          <w:color w:val="auto"/>
        </w:rPr>
      </w:pPr>
      <w:r>
        <w:rPr>
          <w:rFonts w:ascii="Arial" w:cs="Arial" w:eastAsia="Arial" w:hAnsi="Arial"/>
          <w:sz w:val="15"/>
          <w:szCs w:val="15"/>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65"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84"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0" w:lineRule="exact"/>
        <w:rPr>
          <w:sz w:val="20"/>
          <w:szCs w:val="20"/>
          <w:color w:val="auto"/>
        </w:rPr>
      </w:pPr>
    </w:p>
    <w:p>
      <w:pPr>
        <w:jc w:val="both"/>
        <w:ind w:right="140" w:firstLine="619"/>
        <w:spacing w:after="0" w:line="266"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can be no assurance that our product candidates will not be subject to the same risks.</w:t>
      </w:r>
    </w:p>
    <w:p>
      <w:pPr>
        <w:spacing w:after="0" w:line="200" w:lineRule="exact"/>
        <w:rPr>
          <w:sz w:val="20"/>
          <w:szCs w:val="20"/>
          <w:color w:val="auto"/>
        </w:rPr>
      </w:pPr>
    </w:p>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Sales of Unregistered Securities.</w:t>
      </w:r>
    </w:p>
    <w:p>
      <w:pPr>
        <w:spacing w:after="0" w:line="249"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During the three months ended March 31, 2021, the Company granted options to employees to purchase an aggregate of 789,275 shares of common stock at a weighted-average exercise price of $29.61 per share. Once vested, the options are exercisable for a period of ten years from the grant date. The Company granted 21,110 restricted stock units to the board of directors at a weighted-average grant date fair value of $29.61 per share. The restricted stock units vest one year from the grant date. In addition, the Company granted 100,000 performance stock units to its employees at a weighted-average grant date fair value of $29.41 per share. These issuances are exempt from registration in reliance on Section 4(a)(2) of the Securities Act as transactions not involving a public offering.</w:t>
      </w:r>
    </w:p>
    <w:p>
      <w:pPr>
        <w:spacing w:after="0" w:line="10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10220" w:type="dxa"/>
            <w:vAlign w:val="bottom"/>
            <w:gridSpan w:val="6"/>
          </w:tcPr>
          <w:p>
            <w:pPr>
              <w:ind w:left="100"/>
              <w:spacing w:after="0"/>
              <w:rPr>
                <w:sz w:val="20"/>
                <w:szCs w:val="20"/>
                <w:color w:val="auto"/>
              </w:rPr>
            </w:pPr>
            <w:r>
              <w:rPr>
                <w:rFonts w:ascii="Arial" w:cs="Arial" w:eastAsia="Arial" w:hAnsi="Arial"/>
                <w:sz w:val="17"/>
                <w:szCs w:val="17"/>
                <w:b w:val="1"/>
                <w:bCs w:val="1"/>
                <w:color w:val="auto"/>
              </w:rPr>
              <w:t>Exhibits</w:t>
            </w:r>
          </w:p>
        </w:tc>
      </w:tr>
      <w:tr>
        <w:trPr>
          <w:trHeight w:val="387"/>
        </w:trPr>
        <w:tc>
          <w:tcPr>
            <w:tcW w:w="10820" w:type="dxa"/>
            <w:vAlign w:val="bottom"/>
            <w:gridSpan w:val="7"/>
          </w:tcPr>
          <w:p>
            <w:pPr>
              <w:spacing w:after="0"/>
              <w:rPr>
                <w:sz w:val="20"/>
                <w:szCs w:val="20"/>
                <w:color w:val="auto"/>
              </w:rPr>
            </w:pPr>
            <w:r>
              <w:rPr>
                <w:rFonts w:ascii="Arial" w:cs="Arial" w:eastAsia="Arial" w:hAnsi="Arial"/>
                <w:sz w:val="17"/>
                <w:szCs w:val="17"/>
                <w:color w:val="auto"/>
              </w:rPr>
              <w:t>The following exhibits are filed or furnished as part of this Quarterly Report on Form 10-Q:</w:t>
            </w:r>
          </w:p>
        </w:tc>
      </w:tr>
      <w:tr>
        <w:trPr>
          <w:trHeight w:val="208"/>
        </w:trPr>
        <w:tc>
          <w:tcPr>
            <w:tcW w:w="600" w:type="dxa"/>
            <w:vAlign w:val="bottom"/>
          </w:tcPr>
          <w:p>
            <w:pPr>
              <w:ind w:left="20"/>
              <w:spacing w:after="0"/>
              <w:rPr>
                <w:sz w:val="20"/>
                <w:szCs w:val="20"/>
                <w:color w:val="auto"/>
              </w:rPr>
            </w:pPr>
            <w:r>
              <w:rPr>
                <w:rFonts w:ascii="Arial" w:cs="Arial" w:eastAsia="Arial" w:hAnsi="Arial"/>
                <w:sz w:val="17"/>
                <w:szCs w:val="17"/>
                <w:color w:val="auto"/>
              </w:rPr>
              <w:t>31.1</w:t>
            </w:r>
          </w:p>
        </w:tc>
        <w:tc>
          <w:tcPr>
            <w:tcW w:w="460" w:type="dxa"/>
            <w:vAlign w:val="bottom"/>
          </w:tcPr>
          <w:p>
            <w:pPr>
              <w:spacing w:after="0"/>
              <w:rPr>
                <w:sz w:val="18"/>
                <w:szCs w:val="18"/>
                <w:color w:val="auto"/>
              </w:rPr>
            </w:pPr>
          </w:p>
        </w:tc>
        <w:tc>
          <w:tcPr>
            <w:tcW w:w="9760" w:type="dxa"/>
            <w:vAlign w:val="bottom"/>
            <w:gridSpan w:val="5"/>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Certification of Chief Executive Officer pursuant to Rule 13a-14(a).</w:t>
              </w:r>
            </w:hyperlink>
          </w:p>
        </w:tc>
      </w:tr>
      <w:tr>
        <w:trPr>
          <w:trHeight w:val="444"/>
        </w:trPr>
        <w:tc>
          <w:tcPr>
            <w:tcW w:w="600" w:type="dxa"/>
            <w:vAlign w:val="bottom"/>
          </w:tcPr>
          <w:p>
            <w:pPr>
              <w:ind w:left="20"/>
              <w:spacing w:after="0"/>
              <w:rPr>
                <w:sz w:val="20"/>
                <w:szCs w:val="20"/>
                <w:color w:val="auto"/>
              </w:rPr>
            </w:pPr>
            <w:r>
              <w:rPr>
                <w:rFonts w:ascii="Arial" w:cs="Arial" w:eastAsia="Arial" w:hAnsi="Arial"/>
                <w:sz w:val="17"/>
                <w:szCs w:val="17"/>
                <w:color w:val="auto"/>
              </w:rPr>
              <w:t>31.2</w:t>
            </w:r>
          </w:p>
        </w:tc>
        <w:tc>
          <w:tcPr>
            <w:tcW w:w="460" w:type="dxa"/>
            <w:vAlign w:val="bottom"/>
          </w:tcPr>
          <w:p>
            <w:pPr>
              <w:spacing w:after="0"/>
              <w:rPr>
                <w:sz w:val="24"/>
                <w:szCs w:val="24"/>
                <w:color w:val="auto"/>
              </w:rPr>
            </w:pPr>
          </w:p>
        </w:tc>
        <w:tc>
          <w:tcPr>
            <w:tcW w:w="464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3"/>
              </w:rPr>
            </w:pPr>
            <w:hyperlink w:anchor="page53">
              <w:r>
                <w:rPr>
                  <w:rFonts w:ascii="Arial" w:cs="Arial" w:eastAsia="Arial" w:hAnsi="Arial"/>
                  <w:sz w:val="17"/>
                  <w:szCs w:val="17"/>
                  <w:color w:val="0000FF"/>
                  <w:w w:val="93"/>
                </w:rPr>
                <w:t>Certification of Chief Financial Officer pursuant to Rule 13a-14(a).</w:t>
              </w:r>
            </w:hyperlink>
          </w:p>
        </w:tc>
        <w:tc>
          <w:tcPr>
            <w:tcW w:w="40" w:type="dxa"/>
            <w:vAlign w:val="bottom"/>
            <w:tcBorders>
              <w:top w:val="single" w:sz="8" w:color="0000FF"/>
            </w:tcBorders>
          </w:tcPr>
          <w:p>
            <w:pPr>
              <w:spacing w:after="0"/>
              <w:rPr>
                <w:sz w:val="24"/>
                <w:szCs w:val="24"/>
                <w:color w:val="auto"/>
              </w:rPr>
            </w:pPr>
          </w:p>
        </w:tc>
        <w:tc>
          <w:tcPr>
            <w:tcW w:w="5080" w:type="dxa"/>
            <w:vAlign w:val="bottom"/>
            <w:gridSpan w:val="2"/>
          </w:tcPr>
          <w:p>
            <w:pPr>
              <w:spacing w:after="0"/>
              <w:rPr>
                <w:sz w:val="24"/>
                <w:szCs w:val="24"/>
                <w:color w:val="auto"/>
              </w:rPr>
            </w:pPr>
          </w:p>
        </w:tc>
      </w:tr>
      <w:tr>
        <w:trPr>
          <w:trHeight w:val="444"/>
        </w:trPr>
        <w:tc>
          <w:tcPr>
            <w:tcW w:w="600" w:type="dxa"/>
            <w:vAlign w:val="bottom"/>
          </w:tcPr>
          <w:p>
            <w:pPr>
              <w:ind w:left="20"/>
              <w:spacing w:after="0"/>
              <w:rPr>
                <w:sz w:val="20"/>
                <w:szCs w:val="20"/>
                <w:color w:val="auto"/>
              </w:rPr>
            </w:pPr>
            <w:r>
              <w:rPr>
                <w:rFonts w:ascii="Arial" w:cs="Arial" w:eastAsia="Arial" w:hAnsi="Arial"/>
                <w:sz w:val="17"/>
                <w:szCs w:val="17"/>
                <w:color w:val="auto"/>
              </w:rPr>
              <w:t>32.1</w:t>
            </w:r>
          </w:p>
        </w:tc>
        <w:tc>
          <w:tcPr>
            <w:tcW w:w="460" w:type="dxa"/>
            <w:vAlign w:val="bottom"/>
          </w:tcPr>
          <w:p>
            <w:pPr>
              <w:spacing w:after="0"/>
              <w:rPr>
                <w:sz w:val="24"/>
                <w:szCs w:val="24"/>
                <w:color w:val="auto"/>
              </w:rPr>
            </w:pPr>
          </w:p>
        </w:tc>
        <w:tc>
          <w:tcPr>
            <w:tcW w:w="9760" w:type="dxa"/>
            <w:vAlign w:val="bottom"/>
            <w:tcBorders>
              <w:bottom w:val="single" w:sz="8" w:color="0000FF"/>
            </w:tcBorders>
            <w:gridSpan w:val="5"/>
          </w:tcPr>
          <w:p>
            <w:pPr>
              <w:spacing w:after="0"/>
              <w:rPr>
                <w:rFonts w:ascii="Arial" w:cs="Arial" w:eastAsia="Arial" w:hAnsi="Arial"/>
                <w:sz w:val="17"/>
                <w:szCs w:val="17"/>
                <w:color w:val="0000FF"/>
                <w:w w:val="92"/>
              </w:rPr>
            </w:pPr>
            <w:hyperlink w:anchor="page54">
              <w:r>
                <w:rPr>
                  <w:rFonts w:ascii="Arial" w:cs="Arial" w:eastAsia="Arial" w:hAnsi="Arial"/>
                  <w:sz w:val="17"/>
                  <w:szCs w:val="17"/>
                  <w:color w:val="0000FF"/>
                  <w:w w:val="92"/>
                </w:rPr>
                <w:t>Certification of Chief Executive Officer pursuant to 18 U.S.C. Section 1350, as adopted pursuant to Section 906 of the Sarbanes-Oxley Act of</w:t>
              </w:r>
            </w:hyperlink>
          </w:p>
        </w:tc>
      </w:tr>
      <w:tr>
        <w:trPr>
          <w:trHeight w:val="148"/>
        </w:trPr>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bottom w:val="single" w:sz="8" w:color="0000FF"/>
            </w:tcBorders>
          </w:tcPr>
          <w:p>
            <w:pPr>
              <w:spacing w:after="0" w:line="148" w:lineRule="exact"/>
              <w:rPr>
                <w:rFonts w:ascii="Arial" w:cs="Arial" w:eastAsia="Arial" w:hAnsi="Arial"/>
                <w:sz w:val="17"/>
                <w:szCs w:val="17"/>
                <w:color w:val="0000FF"/>
                <w:w w:val="89"/>
              </w:rPr>
            </w:pPr>
            <w:hyperlink w:anchor="page54">
              <w:r>
                <w:rPr>
                  <w:rFonts w:ascii="Arial" w:cs="Arial" w:eastAsia="Arial" w:hAnsi="Arial"/>
                  <w:sz w:val="17"/>
                  <w:szCs w:val="17"/>
                  <w:color w:val="0000FF"/>
                  <w:w w:val="89"/>
                </w:rPr>
                <w:t>2002.</w:t>
              </w:r>
            </w:hyperlink>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44"/>
        </w:trPr>
        <w:tc>
          <w:tcPr>
            <w:tcW w:w="600" w:type="dxa"/>
            <w:vAlign w:val="bottom"/>
          </w:tcPr>
          <w:p>
            <w:pPr>
              <w:ind w:left="20"/>
              <w:spacing w:after="0"/>
              <w:rPr>
                <w:sz w:val="20"/>
                <w:szCs w:val="20"/>
                <w:color w:val="auto"/>
              </w:rPr>
            </w:pPr>
            <w:r>
              <w:rPr>
                <w:rFonts w:ascii="Arial" w:cs="Arial" w:eastAsia="Arial" w:hAnsi="Arial"/>
                <w:sz w:val="17"/>
                <w:szCs w:val="17"/>
                <w:color w:val="auto"/>
              </w:rPr>
              <w:t>32.2</w:t>
            </w:r>
          </w:p>
        </w:tc>
        <w:tc>
          <w:tcPr>
            <w:tcW w:w="460" w:type="dxa"/>
            <w:vAlign w:val="bottom"/>
          </w:tcPr>
          <w:p>
            <w:pPr>
              <w:spacing w:after="0"/>
              <w:rPr>
                <w:sz w:val="24"/>
                <w:szCs w:val="24"/>
                <w:color w:val="auto"/>
              </w:rPr>
            </w:pPr>
          </w:p>
        </w:tc>
        <w:tc>
          <w:tcPr>
            <w:tcW w:w="9760" w:type="dxa"/>
            <w:vAlign w:val="bottom"/>
            <w:gridSpan w:val="5"/>
          </w:tcPr>
          <w:p>
            <w:pPr>
              <w:spacing w:after="0"/>
              <w:rPr>
                <w:rFonts w:ascii="Arial" w:cs="Arial" w:eastAsia="Arial" w:hAnsi="Arial"/>
                <w:sz w:val="17"/>
                <w:szCs w:val="17"/>
                <w:color w:val="0000FF"/>
                <w:w w:val="92"/>
              </w:rPr>
            </w:pPr>
            <w:hyperlink w:anchor="page55">
              <w:r>
                <w:rPr>
                  <w:rFonts w:ascii="Arial" w:cs="Arial" w:eastAsia="Arial" w:hAnsi="Arial"/>
                  <w:sz w:val="17"/>
                  <w:szCs w:val="17"/>
                  <w:color w:val="0000FF"/>
                  <w:w w:val="92"/>
                </w:rPr>
                <w:t>Certification of Chief Financial Officer pursuant to 18 U.S.C. Section 1350, as adopted pursuant to Section 906 of the Sarbanes-Oxley Act of</w:t>
              </w:r>
            </w:hyperlink>
          </w:p>
        </w:tc>
      </w:tr>
      <w:tr>
        <w:trPr>
          <w:trHeight w:val="148"/>
        </w:trPr>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9"/>
              </w:rPr>
            </w:pPr>
            <w:hyperlink w:anchor="page55">
              <w:r>
                <w:rPr>
                  <w:rFonts w:ascii="Arial" w:cs="Arial" w:eastAsia="Arial" w:hAnsi="Arial"/>
                  <w:sz w:val="17"/>
                  <w:szCs w:val="17"/>
                  <w:color w:val="0000FF"/>
                  <w:w w:val="89"/>
                </w:rPr>
                <w:t>2002.</w:t>
              </w:r>
            </w:hyperlink>
          </w:p>
        </w:tc>
        <w:tc>
          <w:tcPr>
            <w:tcW w:w="4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50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71" w:lineRule="exact"/>
        <w:rPr>
          <w:sz w:val="20"/>
          <w:szCs w:val="20"/>
          <w:color w:val="auto"/>
        </w:rPr>
      </w:pPr>
    </w:p>
    <w:p>
      <w:pPr>
        <w:ind w:left="1060" w:hanging="1040"/>
        <w:spacing w:after="0" w:line="217"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quarter ended March 31, 2021,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p>
      <w:pPr>
        <w:spacing w:after="0" w:line="109" w:lineRule="exact"/>
        <w:rPr>
          <w:sz w:val="20"/>
          <w:szCs w:val="20"/>
          <w:color w:val="auto"/>
        </w:rPr>
      </w:pPr>
    </w:p>
    <w:p>
      <w:pPr>
        <w:ind w:left="1060" w:right="160" w:hanging="1040"/>
        <w:spacing w:after="0" w:line="236"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cover page of the Company’s Quarterly Report on Form 10-Q for the quarter ended March 31, 2021, formatted in Inline XBRL (included with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SIGNATURES</w:t>
      </w:r>
    </w:p>
    <w:p>
      <w:pPr>
        <w:spacing w:after="0" w:line="19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SUPERNUS PHARMACEUTICALS, INC.</w:t>
      </w:r>
    </w:p>
    <w:p>
      <w:pPr>
        <w:spacing w:after="0" w:line="269" w:lineRule="exact"/>
        <w:rPr>
          <w:sz w:val="20"/>
          <w:szCs w:val="20"/>
          <w:color w:val="auto"/>
        </w:rPr>
      </w:pPr>
    </w:p>
    <w:p>
      <w:pPr>
        <w:ind w:left="20"/>
        <w:spacing w:after="0"/>
        <w:tabs>
          <w:tab w:leader="none" w:pos="5620" w:val="left"/>
          <w:tab w:leader="none" w:pos="6140" w:val="left"/>
        </w:tabs>
        <w:rPr>
          <w:sz w:val="20"/>
          <w:szCs w:val="20"/>
          <w:color w:val="auto"/>
        </w:rPr>
      </w:pPr>
      <w:r>
        <w:rPr>
          <w:rFonts w:ascii="Arial" w:cs="Arial" w:eastAsia="Arial" w:hAnsi="Arial"/>
          <w:sz w:val="17"/>
          <w:szCs w:val="17"/>
          <w:color w:val="auto"/>
        </w:rPr>
        <w:t>DATED: May 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14605</wp:posOffset>
            </wp:positionV>
            <wp:extent cx="3102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Jack A. Khattar</w:t>
      </w:r>
    </w:p>
    <w:p>
      <w:pPr>
        <w:ind w:left="6160"/>
        <w:spacing w:after="0"/>
        <w:rPr>
          <w:sz w:val="20"/>
          <w:szCs w:val="20"/>
          <w:color w:val="auto"/>
        </w:rPr>
      </w:pPr>
      <w:r>
        <w:rPr>
          <w:rFonts w:ascii="Arial" w:cs="Arial" w:eastAsia="Arial" w:hAnsi="Arial"/>
          <w:sz w:val="17"/>
          <w:szCs w:val="17"/>
          <w:color w:val="auto"/>
        </w:rPr>
        <w:t>President and Chief Executive Officer</w:t>
      </w:r>
    </w:p>
    <w:p>
      <w:pPr>
        <w:spacing w:after="0" w:line="255" w:lineRule="exact"/>
        <w:rPr>
          <w:sz w:val="20"/>
          <w:szCs w:val="20"/>
          <w:color w:val="auto"/>
        </w:rPr>
      </w:pPr>
    </w:p>
    <w:p>
      <w:pPr>
        <w:ind w:left="20"/>
        <w:spacing w:after="0"/>
        <w:tabs>
          <w:tab w:leader="none" w:pos="5620" w:val="left"/>
          <w:tab w:leader="none" w:pos="6140" w:val="left"/>
        </w:tabs>
        <w:rPr>
          <w:sz w:val="20"/>
          <w:szCs w:val="20"/>
          <w:color w:val="auto"/>
        </w:rPr>
      </w:pPr>
      <w:r>
        <w:rPr>
          <w:rFonts w:ascii="Arial" w:cs="Arial" w:eastAsia="Arial" w:hAnsi="Arial"/>
          <w:sz w:val="17"/>
          <w:szCs w:val="17"/>
          <w:color w:val="auto"/>
        </w:rPr>
        <w:t>DATED: May 7,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14605</wp:posOffset>
            </wp:positionV>
            <wp:extent cx="31026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James P. Kelly</w:t>
      </w:r>
    </w:p>
    <w:p>
      <w:pPr>
        <w:ind w:left="616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00"/>
          </w:cols>
          <w:pgMar w:left="320" w:top="127" w:right="87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Jack A. Khattar, certify that:</w:t>
      </w:r>
    </w:p>
    <w:p>
      <w:pPr>
        <w:spacing w:after="0" w:line="171"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7"/>
          <w:szCs w:val="17"/>
          <w:color w:val="auto"/>
        </w:rPr>
        <w:t>I have reviewed this Quarterly Report on Form 10-Q of Supernus Pharmaceuticals, Inc.;</w:t>
      </w:r>
    </w:p>
    <w:p>
      <w:pPr>
        <w:spacing w:after="0" w:line="191" w:lineRule="exact"/>
        <w:rPr>
          <w:rFonts w:ascii="Arial" w:cs="Arial" w:eastAsia="Arial" w:hAnsi="Arial"/>
          <w:sz w:val="15"/>
          <w:szCs w:val="15"/>
          <w:color w:val="auto"/>
        </w:rPr>
      </w:pPr>
    </w:p>
    <w:p>
      <w:pPr>
        <w:ind w:left="620" w:right="140" w:hanging="617"/>
        <w:spacing w:after="0" w:line="349" w:lineRule="auto"/>
        <w:tabs>
          <w:tab w:leader="none" w:pos="620" w:val="left"/>
        </w:tabs>
        <w:numPr>
          <w:ilvl w:val="0"/>
          <w:numId w:val="34"/>
        </w:numPr>
        <w:rPr>
          <w:rFonts w:ascii="Arial" w:cs="Arial" w:eastAsia="Arial" w:hAnsi="Arial"/>
          <w:sz w:val="14"/>
          <w:szCs w:val="14"/>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4"/>
          <w:szCs w:val="14"/>
          <w:color w:val="auto"/>
        </w:rPr>
      </w:pPr>
    </w:p>
    <w:p>
      <w:pPr>
        <w:ind w:left="620" w:right="580" w:hanging="617"/>
        <w:spacing w:after="0" w:line="312"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5"/>
          <w:szCs w:val="15"/>
          <w:color w:val="auto"/>
        </w:rPr>
      </w:pPr>
    </w:p>
    <w:p>
      <w:pPr>
        <w:ind w:left="620" w:right="80" w:hanging="617"/>
        <w:spacing w:after="0" w:line="266"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jc w:val="both"/>
        <w:ind w:left="1240" w:right="300" w:hanging="618"/>
        <w:spacing w:after="0" w:line="266" w:lineRule="auto"/>
        <w:tabs>
          <w:tab w:leader="none" w:pos="1231" w:val="left"/>
        </w:tabs>
        <w:numPr>
          <w:ilvl w:val="1"/>
          <w:numId w:val="34"/>
        </w:numPr>
        <w:rPr>
          <w:rFonts w:ascii="Arial" w:cs="Arial" w:eastAsia="Arial" w:hAnsi="Arial"/>
          <w:sz w:val="15"/>
          <w:szCs w:val="15"/>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1240" w:right="560" w:hanging="618"/>
        <w:spacing w:after="0" w:line="266" w:lineRule="auto"/>
        <w:tabs>
          <w:tab w:leader="none" w:pos="1240" w:val="left"/>
        </w:tabs>
        <w:numPr>
          <w:ilvl w:val="1"/>
          <w:numId w:val="34"/>
        </w:numPr>
        <w:rPr>
          <w:rFonts w:ascii="Arial" w:cs="Arial" w:eastAsia="Arial" w:hAnsi="Arial"/>
          <w:sz w:val="15"/>
          <w:szCs w:val="15"/>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5"/>
          <w:szCs w:val="15"/>
          <w:color w:val="auto"/>
        </w:rPr>
      </w:pPr>
    </w:p>
    <w:p>
      <w:pPr>
        <w:ind w:left="1240" w:right="720" w:hanging="618"/>
        <w:spacing w:after="0" w:line="349" w:lineRule="auto"/>
        <w:tabs>
          <w:tab w:leader="none" w:pos="1231" w:val="left"/>
        </w:tabs>
        <w:numPr>
          <w:ilvl w:val="1"/>
          <w:numId w:val="34"/>
        </w:numPr>
        <w:rPr>
          <w:rFonts w:ascii="Arial" w:cs="Arial" w:eastAsia="Arial" w:hAnsi="Arial"/>
          <w:sz w:val="14"/>
          <w:szCs w:val="14"/>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4"/>
          <w:szCs w:val="14"/>
          <w:color w:val="auto"/>
        </w:rPr>
      </w:pPr>
    </w:p>
    <w:p>
      <w:pPr>
        <w:ind w:left="1240" w:right="280" w:hanging="618"/>
        <w:spacing w:after="0" w:line="266" w:lineRule="auto"/>
        <w:tabs>
          <w:tab w:leader="none" w:pos="1240" w:val="left"/>
        </w:tabs>
        <w:numPr>
          <w:ilvl w:val="1"/>
          <w:numId w:val="34"/>
        </w:numPr>
        <w:rPr>
          <w:rFonts w:ascii="Arial" w:cs="Arial" w:eastAsia="Arial" w:hAnsi="Arial"/>
          <w:sz w:val="15"/>
          <w:szCs w:val="15"/>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ind w:left="620" w:right="520" w:hanging="617"/>
        <w:spacing w:after="0" w:line="312"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5"/>
          <w:szCs w:val="15"/>
          <w:color w:val="auto"/>
        </w:rPr>
      </w:pPr>
    </w:p>
    <w:p>
      <w:pPr>
        <w:ind w:left="1240" w:right="200" w:hanging="618"/>
        <w:spacing w:after="0" w:line="279" w:lineRule="auto"/>
        <w:tabs>
          <w:tab w:leader="none" w:pos="12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7"/>
          <w:szCs w:val="17"/>
          <w:color w:val="auto"/>
        </w:rPr>
      </w:pPr>
    </w:p>
    <w:p>
      <w:pPr>
        <w:ind w:left="1240" w:right="180" w:hanging="618"/>
        <w:spacing w:after="0" w:line="279" w:lineRule="auto"/>
        <w:tabs>
          <w:tab w:leader="none" w:pos="12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840" w:val="left"/>
          <w:tab w:leader="none" w:pos="6300" w:val="left"/>
        </w:tabs>
        <w:rPr>
          <w:sz w:val="20"/>
          <w:szCs w:val="20"/>
          <w:color w:val="auto"/>
        </w:rPr>
      </w:pPr>
      <w:r>
        <w:rPr>
          <w:rFonts w:ascii="Arial" w:cs="Arial" w:eastAsia="Arial" w:hAnsi="Arial"/>
          <w:sz w:val="15"/>
          <w:szCs w:val="15"/>
          <w:color w:val="auto"/>
        </w:rPr>
        <w:t>Date: May 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18415</wp:posOffset>
            </wp:positionV>
            <wp:extent cx="31191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Jack A. Khattar</w:t>
      </w:r>
    </w:p>
    <w:p>
      <w:pPr>
        <w:ind w:left="632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240"/>
          </w:cols>
          <w:pgMar w:left="320" w:top="102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 James P. Kelly, certify that:</w:t>
      </w:r>
    </w:p>
    <w:p>
      <w:pPr>
        <w:spacing w:after="0" w:line="171" w:lineRule="exact"/>
        <w:rPr>
          <w:sz w:val="20"/>
          <w:szCs w:val="20"/>
          <w:color w:val="auto"/>
        </w:rPr>
      </w:pPr>
    </w:p>
    <w:p>
      <w:pPr>
        <w:ind w:left="620" w:hanging="617"/>
        <w:spacing w:after="0"/>
        <w:tabs>
          <w:tab w:leader="none" w:pos="620" w:val="left"/>
        </w:tabs>
        <w:numPr>
          <w:ilvl w:val="0"/>
          <w:numId w:val="35"/>
        </w:numPr>
        <w:rPr>
          <w:rFonts w:ascii="Arial" w:cs="Arial" w:eastAsia="Arial" w:hAnsi="Arial"/>
          <w:sz w:val="15"/>
          <w:szCs w:val="15"/>
          <w:color w:val="auto"/>
        </w:rPr>
      </w:pPr>
      <w:r>
        <w:rPr>
          <w:rFonts w:ascii="Arial" w:cs="Arial" w:eastAsia="Arial" w:hAnsi="Arial"/>
          <w:sz w:val="17"/>
          <w:szCs w:val="17"/>
          <w:color w:val="auto"/>
        </w:rPr>
        <w:t>I have reviewed this Quarterly Report on Form 10-Q of Supernus Pharmaceuticals, Inc.;</w:t>
      </w:r>
    </w:p>
    <w:p>
      <w:pPr>
        <w:spacing w:after="0" w:line="191" w:lineRule="exact"/>
        <w:rPr>
          <w:rFonts w:ascii="Arial" w:cs="Arial" w:eastAsia="Arial" w:hAnsi="Arial"/>
          <w:sz w:val="15"/>
          <w:szCs w:val="15"/>
          <w:color w:val="auto"/>
        </w:rPr>
      </w:pPr>
    </w:p>
    <w:p>
      <w:pPr>
        <w:ind w:left="620" w:right="140" w:hanging="617"/>
        <w:spacing w:after="0" w:line="349" w:lineRule="auto"/>
        <w:tabs>
          <w:tab w:leader="none" w:pos="620" w:val="left"/>
        </w:tabs>
        <w:numPr>
          <w:ilvl w:val="0"/>
          <w:numId w:val="35"/>
        </w:numPr>
        <w:rPr>
          <w:rFonts w:ascii="Arial" w:cs="Arial" w:eastAsia="Arial" w:hAnsi="Arial"/>
          <w:sz w:val="14"/>
          <w:szCs w:val="14"/>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4"/>
          <w:szCs w:val="14"/>
          <w:color w:val="auto"/>
        </w:rPr>
      </w:pPr>
    </w:p>
    <w:p>
      <w:pPr>
        <w:ind w:left="620" w:right="580" w:hanging="617"/>
        <w:spacing w:after="0" w:line="312"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5"/>
          <w:szCs w:val="15"/>
          <w:color w:val="auto"/>
        </w:rPr>
      </w:pPr>
    </w:p>
    <w:p>
      <w:pPr>
        <w:ind w:left="620" w:right="80" w:hanging="617"/>
        <w:spacing w:after="0" w:line="266"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jc w:val="both"/>
        <w:ind w:left="1240" w:right="300" w:hanging="618"/>
        <w:spacing w:after="0" w:line="266" w:lineRule="auto"/>
        <w:tabs>
          <w:tab w:leader="none" w:pos="1231" w:val="left"/>
        </w:tabs>
        <w:numPr>
          <w:ilvl w:val="1"/>
          <w:numId w:val="35"/>
        </w:numPr>
        <w:rPr>
          <w:rFonts w:ascii="Arial" w:cs="Arial" w:eastAsia="Arial" w:hAnsi="Arial"/>
          <w:sz w:val="15"/>
          <w:szCs w:val="15"/>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1240" w:right="560" w:hanging="618"/>
        <w:spacing w:after="0" w:line="266" w:lineRule="auto"/>
        <w:tabs>
          <w:tab w:leader="none" w:pos="12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5"/>
          <w:szCs w:val="15"/>
          <w:color w:val="auto"/>
        </w:rPr>
      </w:pPr>
    </w:p>
    <w:p>
      <w:pPr>
        <w:ind w:left="1240" w:right="300" w:hanging="618"/>
        <w:spacing w:after="0" w:line="266" w:lineRule="auto"/>
        <w:tabs>
          <w:tab w:leader="none" w:pos="12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5"/>
          <w:szCs w:val="15"/>
          <w:color w:val="auto"/>
        </w:rPr>
      </w:pPr>
    </w:p>
    <w:p>
      <w:pPr>
        <w:ind w:left="1240" w:right="200" w:hanging="618"/>
        <w:spacing w:after="0" w:line="279" w:lineRule="auto"/>
        <w:tabs>
          <w:tab w:leader="none" w:pos="12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7"/>
          <w:szCs w:val="17"/>
          <w:color w:val="auto"/>
        </w:rPr>
      </w:pPr>
    </w:p>
    <w:p>
      <w:pPr>
        <w:ind w:left="1240" w:right="180" w:hanging="618"/>
        <w:spacing w:after="0" w:line="279" w:lineRule="auto"/>
        <w:tabs>
          <w:tab w:leader="none" w:pos="12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580" w:val="left"/>
          <w:tab w:leader="none" w:pos="6020" w:val="left"/>
        </w:tabs>
        <w:rPr>
          <w:sz w:val="20"/>
          <w:szCs w:val="20"/>
          <w:color w:val="auto"/>
        </w:rPr>
      </w:pPr>
      <w:r>
        <w:rPr>
          <w:rFonts w:ascii="Arial" w:cs="Arial" w:eastAsia="Arial" w:hAnsi="Arial"/>
          <w:sz w:val="15"/>
          <w:szCs w:val="15"/>
          <w:color w:val="auto"/>
        </w:rPr>
        <w:t>Date: May 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18415</wp:posOffset>
            </wp:positionV>
            <wp:extent cx="32988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James P. Kelly</w:t>
      </w:r>
    </w:p>
    <w:p>
      <w:pPr>
        <w:spacing w:after="0" w:line="34"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SUPERNUS PHARMACEUTICALS,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 1350,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2" w:lineRule="exact"/>
        <w:rPr>
          <w:sz w:val="20"/>
          <w:szCs w:val="20"/>
          <w:color w:val="auto"/>
        </w:rPr>
      </w:pPr>
    </w:p>
    <w:p>
      <w:pPr>
        <w:jc w:val="both"/>
        <w:ind w:right="320"/>
        <w:spacing w:after="0" w:line="267" w:lineRule="auto"/>
        <w:rPr>
          <w:sz w:val="20"/>
          <w:szCs w:val="20"/>
          <w:color w:val="auto"/>
        </w:rPr>
      </w:pPr>
      <w:r>
        <w:rPr>
          <w:rFonts w:ascii="Arial" w:cs="Arial" w:eastAsia="Arial" w:hAnsi="Arial"/>
          <w:sz w:val="15"/>
          <w:szCs w:val="15"/>
          <w:color w:val="auto"/>
        </w:rPr>
        <w:t>In connection with the Quarterly Report of Supernus Pharmaceuticals, Inc. (the “Company”) on Form 10-Q for the period ended March 31, 2021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46" w:lineRule="exact"/>
        <w:rPr>
          <w:sz w:val="20"/>
          <w:szCs w:val="20"/>
          <w:color w:val="auto"/>
        </w:rPr>
      </w:pPr>
    </w:p>
    <w:p>
      <w:pPr>
        <w:ind w:left="620" w:hanging="617"/>
        <w:spacing w:after="0"/>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5" w:lineRule="exact"/>
        <w:rPr>
          <w:rFonts w:ascii="Arial" w:cs="Arial" w:eastAsia="Arial" w:hAnsi="Arial"/>
          <w:sz w:val="15"/>
          <w:szCs w:val="15"/>
          <w:color w:val="auto"/>
        </w:rPr>
      </w:pPr>
    </w:p>
    <w:p>
      <w:pPr>
        <w:ind w:left="620" w:hanging="617"/>
        <w:spacing w:after="0"/>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580" w:val="left"/>
          <w:tab w:leader="none" w:pos="6020" w:val="left"/>
        </w:tabs>
        <w:rPr>
          <w:sz w:val="20"/>
          <w:szCs w:val="20"/>
          <w:color w:val="auto"/>
        </w:rPr>
      </w:pPr>
      <w:r>
        <w:rPr>
          <w:rFonts w:ascii="Arial" w:cs="Arial" w:eastAsia="Arial" w:hAnsi="Arial"/>
          <w:sz w:val="15"/>
          <w:szCs w:val="15"/>
          <w:color w:val="auto"/>
        </w:rPr>
        <w:t>Date: May 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18415</wp:posOffset>
            </wp:positionV>
            <wp:extent cx="32988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Jack A. Khattar</w:t>
      </w:r>
    </w:p>
    <w:p>
      <w:pPr>
        <w:ind w:left="604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240"/>
          </w:cols>
          <w:pgMar w:left="320" w:top="102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32.2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SUPERNUS PHARMACEUTICALS,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 1350,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2"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In connection with the Quarterly Report of Supernus Pharmaceuticals, Inc. (the “Company”) on Form 10-Q for the period ended March 31, 2021 as filed with the Securities and Exchange Commission on the date hereof (the “Report”), I, James P. Kelly, Executive Vice President and Chief Financial Officer of the Company, certify, pursuant to 18 U.S.C. sec. 1350, as adopted pursuant to Section 906 of the Sarbanes-Oxley Act of 2002, that:</w:t>
      </w:r>
    </w:p>
    <w:p>
      <w:pPr>
        <w:spacing w:after="0" w:line="146" w:lineRule="exact"/>
        <w:rPr>
          <w:sz w:val="20"/>
          <w:szCs w:val="20"/>
          <w:color w:val="auto"/>
        </w:rPr>
      </w:pPr>
    </w:p>
    <w:p>
      <w:pPr>
        <w:ind w:left="620" w:hanging="617"/>
        <w:spacing w:after="0"/>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5" w:lineRule="exact"/>
        <w:rPr>
          <w:rFonts w:ascii="Arial" w:cs="Arial" w:eastAsia="Arial" w:hAnsi="Arial"/>
          <w:sz w:val="15"/>
          <w:szCs w:val="15"/>
          <w:color w:val="auto"/>
        </w:rPr>
      </w:pPr>
    </w:p>
    <w:p>
      <w:pPr>
        <w:ind w:left="620" w:hanging="617"/>
        <w:spacing w:after="0"/>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580" w:val="left"/>
          <w:tab w:leader="none" w:pos="6020" w:val="left"/>
        </w:tabs>
        <w:rPr>
          <w:sz w:val="20"/>
          <w:szCs w:val="20"/>
          <w:color w:val="auto"/>
        </w:rPr>
      </w:pPr>
      <w:r>
        <w:rPr>
          <w:rFonts w:ascii="Arial" w:cs="Arial" w:eastAsia="Arial" w:hAnsi="Arial"/>
          <w:sz w:val="15"/>
          <w:szCs w:val="15"/>
          <w:color w:val="auto"/>
        </w:rPr>
        <w:t>Date: May 7,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18415</wp:posOffset>
            </wp:positionV>
            <wp:extent cx="32988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James P. Kelly</w:t>
      </w:r>
    </w:p>
    <w:p>
      <w:pPr>
        <w:ind w:left="6040"/>
        <w:spacing w:after="0"/>
        <w:rPr>
          <w:sz w:val="20"/>
          <w:szCs w:val="20"/>
          <w:color w:val="auto"/>
        </w:rPr>
      </w:pPr>
      <w:r>
        <w:rPr>
          <w:rFonts w:ascii="Arial" w:cs="Arial" w:eastAsia="Arial" w:hAnsi="Arial"/>
          <w:sz w:val="15"/>
          <w:szCs w:val="15"/>
          <w:color w:val="auto"/>
        </w:rPr>
        <w:t>Executive Vice President and Chief Financial Officer</w:t>
      </w:r>
    </w:p>
    <w:sectPr>
      <w:pgSz w:w="11900" w:h="16838" w:orient="portrait"/>
      <w:cols w:equalWidth="0" w:num="1">
        <w:col w:w="11240"/>
      </w:cols>
      <w:pgMar w:left="320" w:top="10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820"/>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2021-05-07T16:23:33Z</dcterms:created>
  <dcterms:modified xsi:type="dcterms:W3CDTF">2021-05-07T16:23:33Z</dcterms:modified>
</cp:coreProperties>
</file>