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October 19,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Supernus Pharmaceuticals, Inc.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7"/>
        <w:gridCol w:w="1561"/>
        <w:gridCol w:w="1577"/>
        <w:gridCol w:w="381"/>
        <w:gridCol w:w="380"/>
        <w:gridCol w:w="378"/>
        <w:gridCol w:w="378"/>
        <w:gridCol w:w="378"/>
        <w:gridCol w:w="386"/>
        <w:gridCol w:w="877"/>
        <w:gridCol w:w="877"/>
        <w:gridCol w:w="1255"/>
      </w:tblGrid>
      <w:tr>
        <w:trPr/>
        <w:tc>
          <w:tcPr>
            <w:tcW w:w="1777"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22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001-35518</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20-2590184</w:t>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81"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6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9715 Key West Ave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Rockville</w:t>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MD</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20850</w:t>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(301) 838-2500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Securities registered pursuant to Section 12(b) of the Exchange Act</w:t>
      </w:r>
    </w:p>
    <w:tbl>
      <w:tblPr>
        <w:tblW w:w="8729" w:type="dxa"/>
        <w:jc w:val="left"/>
        <w:tblInd w:w="0" w:type="dxa"/>
        <w:tblLayout w:type="fixed"/>
        <w:tblCellMar>
          <w:top w:w="28" w:type="dxa"/>
          <w:left w:w="28" w:type="dxa"/>
          <w:bottom w:w="28" w:type="dxa"/>
          <w:right w:w="28" w:type="dxa"/>
        </w:tblCellMar>
      </w:tblPr>
      <w:tblGrid>
        <w:gridCol w:w="1304"/>
        <w:gridCol w:w="1141"/>
        <w:gridCol w:w="1155"/>
        <w:gridCol w:w="474"/>
        <w:gridCol w:w="474"/>
        <w:gridCol w:w="476"/>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FFFFFF"/>
              <w:left w:val="single" w:sz="8" w:space="0" w:color="FFFFFF"/>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424" w:type="dxa"/>
            <w:gridSpan w:val="3"/>
            <w:tcBorders>
              <w:top w:val="single" w:sz="8" w:space="0" w:color="FFFFFF"/>
              <w:left w:val="single" w:sz="8" w:space="0" w:color="FFFFFF"/>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705" w:type="dxa"/>
            <w:gridSpan w:val="3"/>
            <w:tcBorders>
              <w:top w:val="single" w:sz="8" w:space="0" w:color="FFFFFF"/>
              <w:left w:val="single" w:sz="8" w:space="0" w:color="FFFFFF"/>
              <w:right w:val="single" w:sz="8" w:space="0" w:color="FFFFFF"/>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600" w:type="dxa"/>
            <w:gridSpan w:val="3"/>
            <w:tcBorders>
              <w:top w:val="single" w:sz="8" w:space="0" w:color="FFFFFF"/>
              <w:left w:val="single" w:sz="8" w:space="0" w:color="FFFFFF"/>
              <w:bottom w:val="single" w:sz="8" w:space="0" w:color="FFFFFF"/>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424" w:type="dxa"/>
            <w:gridSpan w:val="3"/>
            <w:tcBorders>
              <w:top w:val="single" w:sz="8" w:space="0" w:color="FFFFFF"/>
              <w:left w:val="single" w:sz="8" w:space="0" w:color="FFFFFF"/>
              <w:bottom w:val="single" w:sz="8" w:space="0" w:color="FFFFFF"/>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SUPN</w:t>
            </w:r>
          </w:p>
        </w:tc>
        <w:tc>
          <w:tcPr>
            <w:tcW w:w="3705" w:type="dxa"/>
            <w:gridSpan w:val="3"/>
            <w:tcBorders>
              <w:top w:val="single" w:sz="8" w:space="0" w:color="FFFFFF"/>
              <w:left w:val="single" w:sz="8" w:space="0" w:color="FFFFFF"/>
              <w:bottom w:val="single" w:sz="8" w:space="0" w:color="FFFFFF"/>
              <w:right w:val="single" w:sz="8" w:space="0" w:color="FFFFFF"/>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w:t>
      </w:r>
      <w:r>
        <w:rPr>
          <w:color w:val="FF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200" w:after="283"/>
        <w:jc w:val="left"/>
        <w:rPr>
          <w:rFonts w:ascii="Times New Roman;serif" w:hAnsi="Times New Roman;serif"/>
          <w:b/>
          <w:color w:val="212529"/>
          <w:sz w:val="20"/>
        </w:rPr>
      </w:pPr>
      <w:r>
        <w:rPr>
          <w:rFonts w:ascii="Times New Roman;serif" w:hAnsi="Times New Roman;serif"/>
          <w:b/>
          <w:color w:val="212529"/>
          <w:sz w:val="20"/>
        </w:rPr>
        <w:t>Item 2.02 Results of Operations and Financial Condition.</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19, 2026, Supernus Pharmaceuticals, Inc. issued a press release announcing that it will report its business results for the third quarter of 2026 after the market closes on Thursday, October 29, 2026. The Company will host a conference call and webcast on Thursday, October 29, 2026 at 4:30 p.m. E.T. to discuss its third quarter 2026 financial and business results. A copy of this press release is furnished as Exhibit 99.1 hereto and is incorporated herein by reference.</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741" w:type="dxa"/>
        <w:jc w:val="left"/>
        <w:tblInd w:w="0" w:type="dxa"/>
        <w:tblLayout w:type="fixed"/>
        <w:tblCellMar>
          <w:top w:w="28" w:type="dxa"/>
          <w:left w:w="28" w:type="dxa"/>
          <w:bottom w:w="28" w:type="dxa"/>
          <w:right w:w="28" w:type="dxa"/>
        </w:tblCellMar>
      </w:tblPr>
      <w:tblGrid>
        <w:gridCol w:w="234"/>
        <w:gridCol w:w="205"/>
        <w:gridCol w:w="207"/>
        <w:gridCol w:w="2072"/>
        <w:gridCol w:w="2072"/>
        <w:gridCol w:w="2951"/>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7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70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99110x19xearningscallan.htm">
              <w:r>
                <w:rPr>
                  <w:rStyle w:val="InternetLink"/>
                  <w:rFonts w:ascii="Times New Roman;serif" w:hAnsi="Times New Roman;serif"/>
                  <w:b w:val="false"/>
                  <w:color w:val="0000FF"/>
                  <w:sz w:val="20"/>
                  <w:u w:val="single"/>
                </w:rPr>
                <w:t>Press Release dated October 19, 2026</w:t>
              </w:r>
            </w:hyperlink>
            <w:r>
              <w:rPr>
                <w:color w:val="000000"/>
              </w:rPr>
              <w:t xml:space="preserve"> </w:t>
            </w:r>
            <w:r>
              <w:rPr>
                <w:rFonts w:ascii="Times New Roman;serif" w:hAnsi="Times New Roman;serif"/>
                <w:b w:val="false"/>
                <w:color w:val="000000"/>
                <w:sz w:val="20"/>
              </w:rPr>
              <w:t>filed as an Exhibit pursuant to Item 2.02 hereof.</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7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 </w:t>
      </w:r>
    </w:p>
    <w:p>
      <w:pPr>
        <w:pStyle w:val="TextBody"/>
        <w:bidi w:val="0"/>
        <w:spacing w:before="0" w:after="0"/>
        <w:ind w:left="0" w:right="0" w:firstLine="720"/>
        <w:jc w:val="left"/>
        <w:rPr/>
      </w:pPr>
      <w:r>
        <w:rPr/>
      </w:r>
    </w:p>
    <w:tbl>
      <w:tblPr>
        <w:tblW w:w="8064" w:type="dxa"/>
        <w:jc w:val="left"/>
        <w:tblInd w:w="0" w:type="dxa"/>
        <w:tblLayout w:type="fixed"/>
        <w:tblCellMar>
          <w:top w:w="28" w:type="dxa"/>
          <w:left w:w="28" w:type="dxa"/>
          <w:bottom w:w="28" w:type="dxa"/>
          <w:right w:w="28" w:type="dxa"/>
        </w:tblCellMar>
      </w:tblPr>
      <w:tblGrid>
        <w:gridCol w:w="825"/>
        <w:gridCol w:w="726"/>
        <w:gridCol w:w="729"/>
        <w:gridCol w:w="548"/>
        <w:gridCol w:w="548"/>
        <w:gridCol w:w="548"/>
        <w:gridCol w:w="1208"/>
        <w:gridCol w:w="1208"/>
        <w:gridCol w:w="172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SUPERNUS PHARMACEUTICALS, INC.</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October 19, 2026</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C. Dec</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C. Dec</w:t>
              <w:b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0"/>
        <w:jc w:val="left"/>
        <w:rPr/>
      </w:pPr>
      <w:r>
        <w:rPr>
          <w:color w:val="000000"/>
        </w:rPr>
        <w:t> </w:t>
      </w:r>
      <w:r>
        <w:rPr/>
        <w:drawing>
          <wp:inline distT="0" distB="0" distL="0" distR="0">
            <wp:extent cx="2914650" cy="7334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914650" cy="73342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4" w:before="0" w:after="0"/>
        <w:jc w:val="center"/>
        <w:rPr>
          <w:rFonts w:ascii="Times New Roman;serif" w:hAnsi="Times New Roman;serif"/>
          <w:b/>
          <w:color w:val="000000"/>
          <w:sz w:val="24"/>
        </w:rPr>
      </w:pPr>
      <w:r>
        <w:rPr>
          <w:rFonts w:ascii="Times New Roman;serif" w:hAnsi="Times New Roman;serif"/>
          <w:b/>
          <w:color w:val="000000"/>
          <w:sz w:val="24"/>
        </w:rPr>
        <w:t>Supernus Pharmaceuticals to Announce Third Quarter 2026 Financial Results and Host Conference Call on October 29, 2026</w:t>
      </w:r>
    </w:p>
    <w:p>
      <w:pPr>
        <w:pStyle w:val="TextBody"/>
        <w:bidi w:val="0"/>
        <w:spacing w:before="0" w:after="0"/>
        <w:jc w:val="left"/>
        <w:rPr/>
      </w:pPr>
      <w:r>
        <w:rPr/>
      </w:r>
    </w:p>
    <w:p>
      <w:pPr>
        <w:pStyle w:val="TextBody"/>
        <w:bidi w:val="0"/>
        <w:spacing w:lineRule="auto" w:line="247" w:before="0" w:after="0"/>
        <w:jc w:val="both"/>
        <w:rPr/>
      </w:pPr>
      <w:r>
        <w:rPr>
          <w:rFonts w:ascii="Times New Roman;serif" w:hAnsi="Times New Roman;serif"/>
          <w:b/>
          <w:color w:val="000000"/>
          <w:sz w:val="20"/>
        </w:rPr>
        <w:t>ROCKVILLE, Md., October 19, 2026</w:t>
      </w:r>
      <w:r>
        <w:rPr>
          <w:color w:val="000000"/>
        </w:rPr>
        <w:t xml:space="preserve"> – </w:t>
      </w:r>
      <w:r>
        <w:rPr>
          <w:rFonts w:ascii="Times New Roman;serif" w:hAnsi="Times New Roman;serif"/>
          <w:b w:val="false"/>
          <w:color w:val="000000"/>
          <w:sz w:val="20"/>
        </w:rPr>
        <w:t>Supernus Pharmaceuticals, Inc. (Nasdaq: SUPN), a biopharmaceutical company focused on developing and commercializing products for the treatment of central nervous system (CNS) diseases, today announced that it will report third quarter 2026 financial and business results after the market closes on Thursday, October 29, 2026.</w:t>
      </w:r>
    </w:p>
    <w:p>
      <w:pPr>
        <w:pStyle w:val="TextBody"/>
        <w:bidi w:val="0"/>
        <w:spacing w:before="0" w:after="0"/>
        <w:jc w:val="left"/>
        <w:rPr/>
      </w:pPr>
      <w:r>
        <w:rPr/>
      </w:r>
    </w:p>
    <w:p>
      <w:pPr>
        <w:pStyle w:val="TextBody"/>
        <w:bidi w:val="0"/>
        <w:spacing w:lineRule="auto" w:line="247"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Jack Khattar, President and CEO, and Tim Dec, Senior Vice President and CFO, will host a conference call and webcast on Thursday, October 29, 2026, at 4:30 p.m. ET to discuss these results. Following management’s prepared remarks and discussion of business results, the call will be open for questions. </w:t>
      </w:r>
    </w:p>
    <w:p>
      <w:pPr>
        <w:pStyle w:val="TextBody"/>
        <w:bidi w:val="0"/>
        <w:spacing w:before="0" w:after="0"/>
        <w:jc w:val="left"/>
        <w:rPr/>
      </w:pPr>
      <w:r>
        <w:rPr/>
      </w:r>
    </w:p>
    <w:p>
      <w:pPr>
        <w:pStyle w:val="TextBody"/>
        <w:bidi w:val="0"/>
        <w:spacing w:lineRule="auto" w:line="244" w:before="0" w:after="0"/>
        <w:jc w:val="both"/>
        <w:rPr/>
      </w:pPr>
      <w:r>
        <w:rPr>
          <w:rFonts w:ascii="Times New Roman;serif" w:hAnsi="Times New Roman;serif"/>
          <w:b w:val="false"/>
          <w:color w:val="000000"/>
          <w:sz w:val="20"/>
        </w:rPr>
        <w:t xml:space="preserve">A live webcast will be accessible in the Events &amp; Presentations section of the Company’s Investor Relations website at </w:t>
      </w:r>
      <w:r>
        <w:rPr>
          <w:rFonts w:ascii="Times New Roman;serif" w:hAnsi="Times New Roman;serif"/>
          <w:b w:val="false"/>
          <w:color w:val="0000FF"/>
          <w:sz w:val="20"/>
        </w:rPr>
        <w:t>https://ir.supernus.com/events-and-presentations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44" w:before="0" w:after="0"/>
        <w:jc w:val="both"/>
        <w:rPr/>
      </w:pPr>
      <w:r>
        <w:rPr>
          <w:rFonts w:ascii="Times New Roman;serif" w:hAnsi="Times New Roman;serif"/>
          <w:b w:val="false"/>
          <w:color w:val="000000"/>
          <w:sz w:val="20"/>
        </w:rPr>
        <w:t xml:space="preserve">Participants may also pre-register any time before the call </w:t>
      </w:r>
      <w:r>
        <w:rPr>
          <w:rFonts w:ascii="Times New Roman;serif" w:hAnsi="Times New Roman;serif"/>
          <w:b w:val="false"/>
          <w:color w:val="0000FF"/>
          <w:sz w:val="20"/>
        </w:rPr>
        <w:t>here</w:t>
      </w:r>
      <w:r>
        <w:rPr>
          <w:rFonts w:ascii="Times New Roman;serif" w:hAnsi="Times New Roman;serif"/>
          <w:b w:val="false"/>
          <w:color w:val="000000"/>
          <w:sz w:val="20"/>
        </w:rPr>
        <w:t>. Once registration is completed, participants will be provided a dial-in number with a personalized conference code to access the call. Please dial in 15 minutes prior to the start time.</w:t>
      </w:r>
    </w:p>
    <w:p>
      <w:pPr>
        <w:pStyle w:val="TextBody"/>
        <w:bidi w:val="0"/>
        <w:spacing w:before="0" w:after="0"/>
        <w:jc w:val="left"/>
        <w:rPr/>
      </w:pPr>
      <w:r>
        <w:rPr/>
      </w:r>
    </w:p>
    <w:p>
      <w:pPr>
        <w:pStyle w:val="TextBody"/>
        <w:bidi w:val="0"/>
        <w:spacing w:lineRule="auto" w:line="244" w:before="0" w:after="0"/>
        <w:jc w:val="both"/>
        <w:rPr/>
      </w:pPr>
      <w:r>
        <w:rPr>
          <w:rFonts w:ascii="Times New Roman;serif" w:hAnsi="Times New Roman;serif"/>
          <w:b w:val="false"/>
          <w:color w:val="000000"/>
          <w:sz w:val="20"/>
        </w:rPr>
        <w:t xml:space="preserve">Following the live call, a replay will be available on the Company's Investor Relations website at </w:t>
      </w:r>
      <w:r>
        <w:rPr>
          <w:rFonts w:ascii="Times New Roman;serif" w:hAnsi="Times New Roman;serif"/>
          <w:b w:val="false"/>
          <w:color w:val="0000FF"/>
          <w:sz w:val="20"/>
        </w:rPr>
        <w:t>www.supernus.com/investors</w:t>
      </w:r>
      <w:r>
        <w:rPr>
          <w:rFonts w:ascii="Times New Roman;serif" w:hAnsi="Times New Roman;serif"/>
          <w:b w:val="false"/>
          <w:color w:val="000000"/>
          <w:sz w:val="20"/>
        </w:rPr>
        <w:t>. The webcast will be available on the Company’s website for 60 days following the live call.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4" w:before="0" w:after="0"/>
        <w:jc w:val="both"/>
        <w:rPr>
          <w:rFonts w:ascii="Times New Roman;serif" w:hAnsi="Times New Roman;serif"/>
          <w:b/>
          <w:color w:val="000000"/>
          <w:sz w:val="20"/>
        </w:rPr>
      </w:pPr>
      <w:r>
        <w:rPr>
          <w:rFonts w:ascii="Times New Roman;serif" w:hAnsi="Times New Roman;serif"/>
          <w:b/>
          <w:color w:val="000000"/>
          <w:sz w:val="20"/>
        </w:rPr>
        <w:t xml:space="preserve">About Supernus Pharmaceuticals, Inc. </w:t>
      </w:r>
    </w:p>
    <w:p>
      <w:pPr>
        <w:pStyle w:val="TextBody"/>
        <w:bidi w:val="0"/>
        <w:spacing w:lineRule="auto" w:line="247" w:before="0" w:after="0"/>
        <w:jc w:val="both"/>
        <w:rPr>
          <w:rFonts w:ascii="Times New Roman;serif" w:hAnsi="Times New Roman;serif"/>
          <w:b w:val="false"/>
          <w:color w:val="000000"/>
          <w:sz w:val="20"/>
        </w:rPr>
      </w:pPr>
      <w:r>
        <w:rPr>
          <w:rFonts w:ascii="Times New Roman;serif" w:hAnsi="Times New Roman;serif"/>
          <w:b w:val="false"/>
          <w:color w:val="000000"/>
          <w:sz w:val="20"/>
        </w:rPr>
        <w:t>Supernus Pharmaceuticals is a biopharmaceutical company focused on developing and commercializing products for the treatment of central nervous system (CNS) diseases.</w:t>
      </w:r>
    </w:p>
    <w:p>
      <w:pPr>
        <w:pStyle w:val="TextBody"/>
        <w:bidi w:val="0"/>
        <w:spacing w:before="0" w:after="0"/>
        <w:jc w:val="left"/>
        <w:rPr/>
      </w:pPr>
      <w:r>
        <w:rPr/>
      </w:r>
    </w:p>
    <w:p>
      <w:pPr>
        <w:pStyle w:val="TextBody"/>
        <w:bidi w:val="0"/>
        <w:spacing w:lineRule="auto" w:line="247" w:before="0" w:after="0"/>
        <w:jc w:val="both"/>
        <w:rPr>
          <w:rFonts w:ascii="Times New Roman;serif" w:hAnsi="Times New Roman;serif"/>
          <w:b w:val="false"/>
          <w:color w:val="000000"/>
          <w:sz w:val="20"/>
        </w:rPr>
      </w:pPr>
      <w:r>
        <w:rPr>
          <w:rFonts w:ascii="Times New Roman;serif" w:hAnsi="Times New Roman;serif"/>
          <w:b w:val="false"/>
          <w:color w:val="000000"/>
          <w:sz w:val="20"/>
        </w:rPr>
        <w:t>Our diverse neuroscience portfolio includes approved treatments for attention-deficit hyperactivity disorder (ADHD), dyskinesia in Parkinson's disease (PD) patients receiving levodopa-based therapy, hypomobility in PD, postpartum depression (PPD), epilepsy, migraine, cervical dystonia, and chronic sialorrhea. We are developing a broad range of novel product candidates for CNS disorders.</w:t>
      </w:r>
    </w:p>
    <w:p>
      <w:pPr>
        <w:pStyle w:val="TextBody"/>
        <w:bidi w:val="0"/>
        <w:spacing w:before="0" w:after="0"/>
        <w:jc w:val="left"/>
        <w:rPr/>
      </w:pPr>
      <w:r>
        <w:rPr/>
      </w:r>
    </w:p>
    <w:p>
      <w:pPr>
        <w:pStyle w:val="TextBody"/>
        <w:bidi w:val="0"/>
        <w:spacing w:lineRule="auto" w:line="247" w:before="0" w:after="0"/>
        <w:jc w:val="both"/>
        <w:rPr/>
      </w:pPr>
      <w:r>
        <w:rPr>
          <w:rFonts w:ascii="Times New Roman;serif" w:hAnsi="Times New Roman;serif"/>
          <w:b w:val="false"/>
          <w:color w:val="000000"/>
          <w:sz w:val="20"/>
        </w:rPr>
        <w:t xml:space="preserve">For more information, please visit </w:t>
      </w:r>
      <w:r>
        <w:rPr>
          <w:rFonts w:ascii="Times New Roman;serif" w:hAnsi="Times New Roman;serif"/>
          <w:b w:val="false"/>
          <w:color w:val="0000FF"/>
          <w:sz w:val="20"/>
        </w:rPr>
        <w:t>www.supernus.com</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47"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47"/>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includes forward-looking statements within the meaning of the Private Securities Litigation Reform Act of 1995. These statements do not convey historical information but relate to predicted or potential future events that are based upon management's current expectations. These statements are subject to risks and uncertainties that could cause actual results to differ materially from those expressed or implied by such statements. In addition to the factors mentioned in this press release, such risks and uncertainties include, but are not limited to, the Company's ability to sustain and increase its profitability; the Company's ability to raise sufficient capital to fully implement its corporate strategy; the implementation of the Company's corporate strategy; the Company's future financial performance and projected expenditures; the Company's ability to increase the number of prescriptions written for each of its products, the products of its subsidiaries, and products acquired through the acquisition of Sage; the Company's ability to increase its net revenue from its products, the products of its subsidiaries, and products acquired through the acquisition of Sage; the Company's ability to commercialize its products, the products of its subsidiaries, and products acquired through the acquisition of Sage; the Company's ability to enter into future collaborations with pharmaceutical companies and academic institutions or to obtain funding from government agencies; the Company's product research and development activities, including the timing and progress of the Company's clinical trials, and projected expenditures; the Company's ability to receive, and the timing of any receipt of, regulatory approvals to develop and commercialize the Company's product candidates; the Company's ability to protect its intellectual property and the intellectual property of its subsidiaries and operate its business without infringing upon the intellectual property rights of others; the Company's expectations regarding federal, state and foreign regulatory requirements; the therapeutic benefits, effectiveness and safety of the Company's product candidates; the accuracy of the Company's estimates of the size and characteristics of the markets that may be addressed by its product candidates; the Company's ability to increase its manufacturing capabilities for its products and product candidates; the Company's projected markets and growth in markets; the Company's product formulations and patient needs and potential funding sources; the Company's staffing needs; changes to laws and regulations applicable to our industry, the impact of macroeconomic factors, such as economic downturns or uncertainty, international conflict, trade disputes and tariffs; and other risk factors set forth from time to time in the Company's filings with the Securities and Exchange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7" w:before="0" w:after="0"/>
        <w:jc w:val="both"/>
        <w:rPr>
          <w:rFonts w:ascii="Times New Roman;serif" w:hAnsi="Times New Roman;serif"/>
          <w:b w:val="false"/>
          <w:color w:val="000000"/>
          <w:sz w:val="20"/>
        </w:rPr>
      </w:pPr>
      <w:r>
        <w:rPr>
          <w:rFonts w:ascii="Times New Roman;serif" w:hAnsi="Times New Roman;serif"/>
          <w:b w:val="false"/>
          <w:color w:val="000000"/>
          <w:sz w:val="20"/>
        </w:rPr>
        <w:t>Commission made pursuant to Section 13 or 15(d) of the Securities Exchange Act of 1934, as amended. The Company undertakes no obligation to update the information in this press release to reflect events or circumstances after the date hereof or to reflect the occurrence of anticipated or unanticipated events.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7" w:before="0" w:after="0"/>
        <w:jc w:val="both"/>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lineRule="auto" w:line="247" w:before="0" w:after="0"/>
        <w:jc w:val="both"/>
        <w:rPr>
          <w:rFonts w:ascii="Times New Roman;serif" w:hAnsi="Times New Roman;serif"/>
          <w:b w:val="false"/>
          <w:color w:val="000000"/>
          <w:sz w:val="20"/>
        </w:rPr>
      </w:pPr>
      <w:r>
        <w:rPr>
          <w:rFonts w:ascii="Times New Roman;serif" w:hAnsi="Times New Roman;serif"/>
          <w:b w:val="false"/>
          <w:color w:val="000000"/>
          <w:sz w:val="20"/>
        </w:rPr>
        <w:t>Jack A. Khattar, President and CEO</w:t>
      </w:r>
    </w:p>
    <w:p>
      <w:pPr>
        <w:pStyle w:val="TextBody"/>
        <w:bidi w:val="0"/>
        <w:spacing w:lineRule="auto" w:line="247" w:before="0" w:after="0"/>
        <w:jc w:val="both"/>
        <w:rPr>
          <w:rFonts w:ascii="Times New Roman;serif" w:hAnsi="Times New Roman;serif"/>
          <w:b w:val="false"/>
          <w:color w:val="000000"/>
          <w:sz w:val="20"/>
        </w:rPr>
      </w:pPr>
      <w:r>
        <w:rPr>
          <w:rFonts w:ascii="Times New Roman;serif" w:hAnsi="Times New Roman;serif"/>
          <w:b w:val="false"/>
          <w:color w:val="000000"/>
          <w:sz w:val="20"/>
        </w:rPr>
        <w:t>Timothy C. Dec, Senior Vice President and CFO</w:t>
      </w:r>
    </w:p>
    <w:p>
      <w:pPr>
        <w:pStyle w:val="TextBody"/>
        <w:bidi w:val="0"/>
        <w:spacing w:lineRule="auto" w:line="247" w:before="0" w:after="0"/>
        <w:jc w:val="both"/>
        <w:rPr>
          <w:rFonts w:ascii="Times New Roman;serif" w:hAnsi="Times New Roman;serif"/>
          <w:b w:val="false"/>
          <w:color w:val="000000"/>
          <w:sz w:val="20"/>
        </w:rPr>
      </w:pPr>
      <w:r>
        <w:rPr>
          <w:rFonts w:ascii="Times New Roman;serif" w:hAnsi="Times New Roman;serif"/>
          <w:b w:val="false"/>
          <w:color w:val="000000"/>
          <w:sz w:val="20"/>
        </w:rPr>
        <w:t>Supernus Pharmaceuticals, Inc.</w:t>
      </w:r>
    </w:p>
    <w:p>
      <w:pPr>
        <w:pStyle w:val="TextBody"/>
        <w:bidi w:val="0"/>
        <w:spacing w:lineRule="auto" w:line="247" w:before="0" w:after="0"/>
        <w:jc w:val="both"/>
        <w:rPr>
          <w:rFonts w:ascii="Times New Roman;serif" w:hAnsi="Times New Roman;serif"/>
          <w:b w:val="false"/>
          <w:color w:val="000000"/>
          <w:sz w:val="20"/>
        </w:rPr>
      </w:pPr>
      <w:r>
        <w:rPr>
          <w:rFonts w:ascii="Times New Roman;serif" w:hAnsi="Times New Roman;serif"/>
          <w:b w:val="false"/>
          <w:color w:val="000000"/>
          <w:sz w:val="20"/>
        </w:rPr>
        <w:t>(301) 838-2591</w:t>
      </w:r>
    </w:p>
    <w:p>
      <w:pPr>
        <w:pStyle w:val="TextBody"/>
        <w:bidi w:val="0"/>
        <w:spacing w:before="0" w:after="0"/>
        <w:jc w:val="left"/>
        <w:rPr/>
      </w:pPr>
      <w:r>
        <w:rPr/>
      </w:r>
    </w:p>
    <w:p>
      <w:pPr>
        <w:pStyle w:val="TextBody"/>
        <w:bidi w:val="0"/>
        <w:spacing w:lineRule="auto" w:line="247" w:before="0" w:after="0"/>
        <w:jc w:val="both"/>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before="0" w:after="0"/>
        <w:jc w:val="left"/>
        <w:rPr/>
      </w:pPr>
      <w:r>
        <w:rPr/>
      </w:r>
    </w:p>
    <w:p>
      <w:pPr>
        <w:pStyle w:val="TextBody"/>
        <w:bidi w:val="0"/>
        <w:spacing w:lineRule="auto" w:line="247" w:before="0" w:after="0"/>
        <w:jc w:val="both"/>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lineRule="auto" w:line="247"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Peter Vozzo </w:t>
      </w:r>
    </w:p>
    <w:p>
      <w:pPr>
        <w:pStyle w:val="TextBody"/>
        <w:bidi w:val="0"/>
        <w:spacing w:lineRule="auto" w:line="247" w:before="0" w:after="0"/>
        <w:jc w:val="both"/>
        <w:rPr>
          <w:rFonts w:ascii="Times New Roman;serif" w:hAnsi="Times New Roman;serif"/>
          <w:b w:val="false"/>
          <w:color w:val="000000"/>
          <w:sz w:val="20"/>
        </w:rPr>
      </w:pPr>
      <w:r>
        <w:rPr>
          <w:rFonts w:ascii="Times New Roman;serif" w:hAnsi="Times New Roman;serif"/>
          <w:b w:val="false"/>
          <w:color w:val="000000"/>
          <w:sz w:val="20"/>
        </w:rPr>
        <w:t>ICR Healthcare</w:t>
      </w:r>
    </w:p>
    <w:p>
      <w:pPr>
        <w:pStyle w:val="TextBody"/>
        <w:bidi w:val="0"/>
        <w:spacing w:lineRule="auto" w:line="247" w:before="0" w:after="0"/>
        <w:jc w:val="both"/>
        <w:rPr>
          <w:rFonts w:ascii="Times New Roman;serif" w:hAnsi="Times New Roman;serif"/>
          <w:b w:val="false"/>
          <w:color w:val="000000"/>
          <w:sz w:val="20"/>
        </w:rPr>
      </w:pPr>
      <w:r>
        <w:rPr>
          <w:rFonts w:ascii="Times New Roman;serif" w:hAnsi="Times New Roman;serif"/>
          <w:b w:val="false"/>
          <w:color w:val="000000"/>
          <w:sz w:val="20"/>
        </w:rPr>
        <w:t>(443) 213-0505</w:t>
      </w:r>
    </w:p>
    <w:p>
      <w:pPr>
        <w:pStyle w:val="TextBody"/>
        <w:bidi w:val="0"/>
        <w:spacing w:lineRule="auto" w:line="247"/>
        <w:jc w:val="both"/>
        <w:rPr>
          <w:rFonts w:ascii="Times New Roman;serif" w:hAnsi="Times New Roman;serif"/>
          <w:b w:val="false"/>
          <w:color w:val="0000FF"/>
          <w:sz w:val="20"/>
        </w:rPr>
      </w:pPr>
      <w:r>
        <w:rPr>
          <w:rFonts w:ascii="Times New Roman;serif" w:hAnsi="Times New Roman;serif"/>
          <w:b w:val="false"/>
          <w:color w:val="0000FF"/>
          <w:sz w:val="20"/>
        </w:rPr>
        <w:t>peter.vozzo@icrhealthcare.com</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1271</Words>
  <Characters>7437</Characters>
  <CharactersWithSpaces>8651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