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001-35518 </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SUPERNUS PHARMACEUTICALS,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(301) 838-2500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00" w:after="283"/>
        <w:jc w:val="left"/>
        <w:rPr/>
      </w:pPr>
      <w:r>
        <w:rPr>
          <w:color w:val="000000"/>
        </w:rPr>
        <w:t xml:space="preserve">☒ </w:t>
      </w:r>
      <w:r>
        <w:rPr>
          <w:rFonts w:ascii="Times New Roman;sans-serif" w:hAnsi="Times New Roman;sans-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1013"/>
        <w:gridCol w:w="889"/>
        <w:gridCol w:w="893"/>
        <w:gridCol w:w="109"/>
        <w:gridCol w:w="109"/>
        <w:gridCol w:w="109"/>
        <w:gridCol w:w="618"/>
        <w:gridCol w:w="607"/>
        <w:gridCol w:w="609"/>
        <w:gridCol w:w="109"/>
        <w:gridCol w:w="109"/>
        <w:gridCol w:w="109"/>
        <w:gridCol w:w="425"/>
        <w:gridCol w:w="425"/>
        <w:gridCol w:w="426"/>
        <w:gridCol w:w="109"/>
        <w:gridCol w:w="109"/>
        <w:gridCol w:w="109"/>
        <w:gridCol w:w="971"/>
        <w:gridCol w:w="971"/>
        <w:gridCol w:w="1377"/>
      </w:tblGrid>
      <w:tr>
        <w:trPr/>
        <w:tc>
          <w:tcPr>
            <w:tcW w:w="10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at April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55,989,623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 QUARTERLY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tbl>
      <w:tblPr>
        <w:tblW w:w="8790" w:type="dxa"/>
        <w:jc w:val="center"/>
        <w:tblInd w:w="0" w:type="dxa"/>
        <w:tblLayout w:type="fixed"/>
        <w:tblCellMar>
          <w:top w:w="28" w:type="dxa"/>
          <w:left w:w="28" w:type="dxa"/>
          <w:bottom w:w="28" w:type="dxa"/>
          <w:right w:w="28" w:type="dxa"/>
        </w:tblCellMar>
      </w:tblPr>
      <w:tblGrid>
        <w:gridCol w:w="2889"/>
        <w:gridCol w:w="2543"/>
        <w:gridCol w:w="2547"/>
        <w:gridCol w:w="237"/>
        <w:gridCol w:w="237"/>
        <w:gridCol w:w="3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0">
              <w:r>
                <w:rPr>
                  <w:rStyle w:val="InternetLink"/>
                  <w:rFonts w:ascii="Times New Roman;sans-serif" w:hAnsi="Times New Roman;sans-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
              <w:r>
                <w:rPr>
                  <w:rStyle w:val="InternetLink"/>
                  <w:rFonts w:ascii="Times New Roman;sans-serif" w:hAnsi="Times New Roman;sans-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6">
              <w:r>
                <w:rPr>
                  <w:rStyle w:val="InternetLink"/>
                  <w:rFonts w:ascii="Times New Roman;sans-serif" w:hAnsi="Times New Roman;sans-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6">
              <w:r>
                <w:rPr>
                  <w:rStyle w:val="InternetLink"/>
                  <w:rFonts w:ascii="Times New Roman;sans-serif" w:hAnsi="Times New Roman;sans-serif"/>
                  <w:b w:val="false"/>
                  <w:strike w:val="false"/>
                  <w:dstrike w:val="false"/>
                  <w:color w:val="1E39C6"/>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9">
              <w:r>
                <w:rPr>
                  <w:rStyle w:val="InternetLink"/>
                  <w:rFonts w:ascii="Times New Roman;sans-serif" w:hAnsi="Times New Roman;sans-serif"/>
                  <w:b w:val="false"/>
                  <w:color w:val="000080"/>
                  <w:sz w:val="20"/>
                  <w:u w:val="single"/>
                </w:rPr>
                <w:t xml:space="preserve">Condensed Consolidated Statements of </w:t>
              </w:r>
            </w:hyperlink>
            <w:hyperlink w:anchor="i4aaf8d9fa3224d8a8fc5e962159434e3_19">
              <w:r>
                <w:rPr>
                  <w:rStyle w:val="InternetLink"/>
                  <w:rFonts w:ascii="Times New Roman;sans-serif" w:hAnsi="Times New Roman;sans-serif"/>
                  <w:b w:val="false"/>
                  <w:color w:val="000080"/>
                  <w:sz w:val="20"/>
                  <w:u w:val="single"/>
                </w:rPr>
                <w:t>Earnings (</w:t>
              </w:r>
            </w:hyperlink>
            <w:hyperlink w:anchor="i4aaf8d9fa3224d8a8fc5e962159434e3_19">
              <w:r>
                <w:rPr>
                  <w:rStyle w:val="InternetLink"/>
                  <w:rFonts w:ascii="Times New Roman;sans-serif" w:hAnsi="Times New Roman;sans-serif"/>
                  <w:b w:val="false"/>
                  <w:color w:val="000080"/>
                  <w:sz w:val="20"/>
                  <w:u w:val="single"/>
                </w:rPr>
                <w:t>Loss</w:t>
              </w:r>
            </w:hyperlink>
            <w:hyperlink w:anchor="i4aaf8d9fa3224d8a8fc5e962159434e3_19">
              <w:r>
                <w:rPr>
                  <w:rStyle w:val="InternetLink"/>
                  <w:rFonts w:ascii="Times New Roman;sans-serif" w:hAnsi="Times New Roman;sans-serif"/>
                  <w:b w:val="false"/>
                  <w:color w:val="000080"/>
                  <w:sz w:val="20"/>
                  <w:u w:val="single"/>
                </w:rPr>
                <w:t>)</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9">
              <w:r>
                <w:rPr>
                  <w:rStyle w:val="InternetLink"/>
                  <w:rFonts w:ascii="Times New Roman;sans-serif" w:hAnsi="Times New Roman;sans-serif"/>
                  <w:b w:val="false"/>
                  <w:strike w:val="false"/>
                  <w:dstrike w:val="false"/>
                  <w:color w:val="0000FF"/>
                  <w:sz w:val="20"/>
                  <w:u w:val="none"/>
                  <w:effect w:val="non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2">
              <w:r>
                <w:rPr>
                  <w:rStyle w:val="InternetLink"/>
                  <w:rFonts w:ascii="Times New Roman;sans-serif" w:hAnsi="Times New Roman;sans-serif"/>
                  <w:b w:val="false"/>
                  <w:color w:val="0000FF"/>
                  <w:sz w:val="20"/>
                  <w:u w:val="single"/>
                </w:rPr>
                <w:t xml:space="preserve">Condensed Consolidated Statements of Comprehensive Earnings (Loss) </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2">
              <w:r>
                <w:rPr>
                  <w:rStyle w:val="InternetLink"/>
                  <w:rFonts w:ascii="Times New Roman;sans-serif" w:hAnsi="Times New Roman;sans-serif"/>
                  <w:b w:val="false"/>
                  <w:strike w:val="false"/>
                  <w:dstrike w:val="false"/>
                  <w:color w:val="0000FF"/>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5">
              <w:r>
                <w:rPr>
                  <w:rStyle w:val="InternetLink"/>
                  <w:rFonts w:ascii="Times New Roman;sans-serif" w:hAnsi="Times New Roman;sans-serif"/>
                  <w:b w:val="false"/>
                  <w:color w:val="0000FF"/>
                  <w:sz w:val="20"/>
                  <w:u w:val="single"/>
                </w:rPr>
                <w:t>Condensed Consolidated Statements of Changes in Stockholders'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5">
              <w:r>
                <w:rPr>
                  <w:rStyle w:val="InternetLink"/>
                  <w:rFonts w:ascii="Times New Roman;sans-serif" w:hAnsi="Times New Roman;sans-serif"/>
                  <w:b w:val="false"/>
                  <w:strike w:val="false"/>
                  <w:dstrike w:val="false"/>
                  <w:color w:val="0000FF"/>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8">
              <w:r>
                <w:rPr>
                  <w:rStyle w:val="InternetLink"/>
                  <w:rFonts w:ascii="Times New Roman;sans-serif" w:hAnsi="Times New Roman;sans-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8">
              <w:r>
                <w:rPr>
                  <w:rStyle w:val="InternetLink"/>
                  <w:rFonts w:ascii="Times New Roman;sans-serif" w:hAnsi="Times New Roman;sans-serif"/>
                  <w:b w:val="false"/>
                  <w:strike w:val="false"/>
                  <w:dstrike w:val="false"/>
                  <w:color w:val="0000FF"/>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31">
              <w:r>
                <w:rPr>
                  <w:rStyle w:val="InternetLink"/>
                  <w:rFonts w:ascii="Times New Roman;sans-serif" w:hAnsi="Times New Roman;sans-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31">
              <w:r>
                <w:rPr>
                  <w:rStyle w:val="InternetLink"/>
                  <w:rFonts w:ascii="Times New Roman;sans-serif" w:hAnsi="Times New Roman;sans-serif"/>
                  <w:b w:val="false"/>
                  <w:strike w:val="false"/>
                  <w:dstrike w:val="false"/>
                  <w:color w:val="0000FF"/>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9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94">
              <w:r>
                <w:rPr>
                  <w:rStyle w:val="InternetLink"/>
                  <w:rFonts w:ascii="Times New Roman;sans-serif" w:hAnsi="Times New Roman;sans-serif"/>
                  <w:b w:val="false"/>
                  <w:strike w:val="false"/>
                  <w:dstrike w:val="false"/>
                  <w:color w:val="0000FF"/>
                  <w:sz w:val="20"/>
                  <w:u w:val="none"/>
                  <w:effect w:val="none"/>
                </w:rPr>
                <w:t>23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2">
              <w:r>
                <w:rPr>
                  <w:rStyle w:val="InternetLink"/>
                  <w:rFonts w:ascii="Times New Roman;sans-serif" w:hAnsi="Times New Roman;sans-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2">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5">
              <w:r>
                <w:rPr>
                  <w:rStyle w:val="InternetLink"/>
                  <w:rFonts w:ascii="Times New Roman;sans-serif" w:hAnsi="Times New Roman;sans-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5">
              <w:r>
                <w:rPr>
                  <w:rStyle w:val="InternetLink"/>
                  <w:rFonts w:ascii="Times New Roman;sans-serif" w:hAnsi="Times New Roman;sans-serif"/>
                  <w:b w:val="false"/>
                  <w:strike w:val="false"/>
                  <w:dstrike w:val="false"/>
                  <w:color w:val="0000FF"/>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8">
              <w:r>
                <w:rPr>
                  <w:rStyle w:val="InternetLink"/>
                  <w:rFonts w:ascii="Times New Roman;sans-serif" w:hAnsi="Times New Roman;sans-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1">
              <w:r>
                <w:rPr>
                  <w:rStyle w:val="InternetLink"/>
                  <w:rFonts w:ascii="Times New Roman;sans-serif" w:hAnsi="Times New Roman;sans-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1">
              <w:r>
                <w:rPr>
                  <w:rStyle w:val="InternetLink"/>
                  <w:rFonts w:ascii="Times New Roman;sans-serif" w:hAnsi="Times New Roman;sans-serif"/>
                  <w:b w:val="false"/>
                  <w:strike w:val="false"/>
                  <w:dstrike w:val="false"/>
                  <w:color w:val="0000FF"/>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4">
              <w:r>
                <w:rPr>
                  <w:rStyle w:val="InternetLink"/>
                  <w:rFonts w:ascii="Times New Roman;sans-serif" w:hAnsi="Times New Roman;sans-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4">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7">
              <w:r>
                <w:rPr>
                  <w:rStyle w:val="InternetLink"/>
                  <w:rFonts w:ascii="Times New Roman;sans-serif" w:hAnsi="Times New Roman;sans-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7">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0">
              <w:r>
                <w:rPr>
                  <w:rStyle w:val="InternetLink"/>
                  <w:rFonts w:ascii="Times New Roman;sans-serif" w:hAnsi="Times New Roman;sans-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0">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3">
              <w:r>
                <w:rPr>
                  <w:rStyle w:val="InternetLink"/>
                  <w:rFonts w:ascii="Times New Roman;sans-serif" w:hAnsi="Times New Roman;sans-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3">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6">
              <w:r>
                <w:rPr>
                  <w:rStyle w:val="InternetLink"/>
                  <w:rFonts w:ascii="Times New Roman;sans-serif" w:hAnsi="Times New Roman;sans-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6">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2">
              <w:r>
                <w:rPr>
                  <w:rStyle w:val="InternetLink"/>
                  <w:rFonts w:ascii="Times New Roman;sans-serif" w:hAnsi="Times New Roman;sans-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2">
              <w:r>
                <w:rPr>
                  <w:rStyle w:val="InternetLink"/>
                  <w:rFonts w:ascii="Times New Roman;sans-serif" w:hAnsi="Times New Roman;sans-serif"/>
                  <w:b w:val="false"/>
                  <w:strike w:val="false"/>
                  <w:dstrike w:val="false"/>
                  <w:color w:val="0000FF"/>
                  <w:sz w:val="20"/>
                  <w:u w:val="none"/>
                  <w:effect w:val="none"/>
                </w:rPr>
                <w:t>36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5">
              <w:r>
                <w:rPr>
                  <w:rStyle w:val="InternetLink"/>
                  <w:rFonts w:ascii="Times New Roman;sans-serif" w:hAnsi="Times New Roman;sans-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5">
              <w:r>
                <w:rPr>
                  <w:rStyle w:val="InternetLink"/>
                  <w:rFonts w:ascii="Times New Roman;sans-serif" w:hAnsi="Times New Roman;sans-serif"/>
                  <w:b w:val="false"/>
                  <w:strike w:val="false"/>
                  <w:dstrike w:val="false"/>
                  <w:color w:val="0000FF"/>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746"/>
        <w:gridCol w:w="2275"/>
        <w:gridCol w:w="2218"/>
        <w:gridCol w:w="211"/>
        <w:gridCol w:w="976"/>
        <w:gridCol w:w="109"/>
        <w:gridCol w:w="109"/>
        <w:gridCol w:w="109"/>
        <w:gridCol w:w="109"/>
        <w:gridCol w:w="211"/>
        <w:gridCol w:w="97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130,000,000 shares authorized; 55,989,248 and 55,743,095 shares issued and outstanding as of March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1,347,290 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1,368,073 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 (Loss)</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firstLine="45"/>
        <w:jc w:val="center"/>
        <w:rPr/>
      </w:pPr>
      <w:r>
        <w:rPr/>
      </w:r>
    </w:p>
    <w:tbl>
      <w:tblPr>
        <w:tblW w:w="6382" w:type="dxa"/>
        <w:jc w:val="left"/>
        <w:tblInd w:w="0" w:type="dxa"/>
        <w:tblLayout w:type="fixed"/>
        <w:tblCellMar>
          <w:top w:w="28" w:type="dxa"/>
          <w:left w:w="28" w:type="dxa"/>
          <w:bottom w:w="28" w:type="dxa"/>
          <w:right w:w="28" w:type="dxa"/>
        </w:tblCellMar>
      </w:tblPr>
      <w:tblGrid>
        <w:gridCol w:w="1158"/>
        <w:gridCol w:w="1015"/>
        <w:gridCol w:w="1021"/>
        <w:gridCol w:w="219"/>
        <w:gridCol w:w="862"/>
        <w:gridCol w:w="109"/>
        <w:gridCol w:w="109"/>
        <w:gridCol w:w="109"/>
        <w:gridCol w:w="109"/>
        <w:gridCol w:w="219"/>
        <w:gridCol w:w="862"/>
        <w:gridCol w:w="109"/>
        <w:gridCol w:w="109"/>
        <w:gridCol w:w="109"/>
        <w:gridCol w:w="109"/>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licensing and other revenues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goods sold</w:t>
            </w:r>
            <w:r>
              <w:rPr>
                <w:rFonts w:ascii="Times New Roman;sans-serif" w:hAnsi="Times New Roman;sans-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loss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w:t>
      </w:r>
    </w:p>
    <w:p>
      <w:pPr>
        <w:pStyle w:val="TextBody"/>
        <w:bidi w:val="0"/>
        <w:spacing w:lineRule="auto" w:line="288" w:before="0" w:after="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Excludes amortization of acquired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6984" w:type="dxa"/>
        <w:jc w:val="center"/>
        <w:tblInd w:w="0" w:type="dxa"/>
        <w:tblLayout w:type="fixed"/>
        <w:tblCellMar>
          <w:top w:w="28" w:type="dxa"/>
          <w:left w:w="28" w:type="dxa"/>
          <w:bottom w:w="28" w:type="dxa"/>
          <w:right w:w="28" w:type="dxa"/>
        </w:tblCellMar>
      </w:tblPr>
      <w:tblGrid>
        <w:gridCol w:w="1550"/>
        <w:gridCol w:w="1360"/>
        <w:gridCol w:w="1364"/>
        <w:gridCol w:w="211"/>
        <w:gridCol w:w="796"/>
        <w:gridCol w:w="109"/>
        <w:gridCol w:w="109"/>
        <w:gridCol w:w="109"/>
        <w:gridCol w:w="109"/>
        <w:gridCol w:w="211"/>
        <w:gridCol w:w="466"/>
        <w:gridCol w:w="109"/>
        <w:gridCol w:w="109"/>
        <w:gridCol w:w="109"/>
        <w:gridCol w:w="109"/>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0"/>
        <w:gridCol w:w="307"/>
        <w:gridCol w:w="309"/>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97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55,743,095 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2025</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55,989,248 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486,209 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9"/>
        <w:gridCol w:w="357"/>
        <w:gridCol w:w="360"/>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826"/>
        <w:gridCol w:w="156"/>
      </w:tblGrid>
      <w:tr>
        <w:trPr/>
        <w:tc>
          <w:tcPr>
            <w:tcW w:w="7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54,723,356 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54,965,316 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929,166 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48" w:type="dxa"/>
        <w:jc w:val="center"/>
        <w:tblInd w:w="0" w:type="dxa"/>
        <w:tblLayout w:type="fixed"/>
        <w:tblCellMar>
          <w:top w:w="28" w:type="dxa"/>
          <w:left w:w="28" w:type="dxa"/>
          <w:bottom w:w="28" w:type="dxa"/>
          <w:right w:w="28" w:type="dxa"/>
        </w:tblCellMar>
      </w:tblPr>
      <w:tblGrid>
        <w:gridCol w:w="2635"/>
        <w:gridCol w:w="2319"/>
        <w:gridCol w:w="2335"/>
        <w:gridCol w:w="211"/>
        <w:gridCol w:w="826"/>
        <w:gridCol w:w="109"/>
        <w:gridCol w:w="109"/>
        <w:gridCol w:w="109"/>
        <w:gridCol w:w="109"/>
        <w:gridCol w:w="211"/>
        <w:gridCol w:w="721"/>
        <w:gridCol w:w="154"/>
      </w:tblGrid>
      <w:tr>
        <w:trPr/>
        <w:tc>
          <w:tcPr>
            <w:tcW w:w="263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valuation write-down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for new 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Business Organization</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Supernus Pharmaceuticals, Inc. (the Company, see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 xml:space="preserve">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epilepsy, migraine, cervical dystonia, and chronic sialorrhea. The Company is developing a broad range of novel CNS product candidates including new potential treatments for epilepsy, depression, and other CNS disorders.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has eight commercial products that it markets: Qelbree</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Trokendi XR</w:t>
      </w:r>
      <w:r>
        <w:rPr>
          <w:rFonts w:ascii="Times New Roman;sans-serif" w:hAnsi="Times New Roman;sans-serif"/>
          <w:b w:val="false"/>
          <w:color w:val="000000"/>
          <w:sz w:val="13"/>
        </w:rPr>
        <w:t>®</w:t>
      </w:r>
      <w:r>
        <w:rPr>
          <w:rFonts w:ascii="Times New Roman;sans-serif" w:hAnsi="Times New Roman;sans-serif"/>
          <w:b w:val="false"/>
          <w:color w:val="000000"/>
          <w:sz w:val="20"/>
        </w:rPr>
        <w:t>, APOKYN</w:t>
      </w:r>
      <w:r>
        <w:rPr>
          <w:rFonts w:ascii="Times New Roman;sans-serif" w:hAnsi="Times New Roman;sans-serif"/>
          <w:b w:val="false"/>
          <w:color w:val="000000"/>
          <w:sz w:val="13"/>
        </w:rPr>
        <w:t>®</w:t>
      </w:r>
      <w:r>
        <w:rPr>
          <w:rFonts w:ascii="Times New Roman;sans-serif" w:hAnsi="Times New Roman;sans-serif"/>
          <w:b w:val="false"/>
          <w:color w:val="000000"/>
          <w:sz w:val="20"/>
        </w:rPr>
        <w:t>, XADAGO</w:t>
      </w:r>
      <w:r>
        <w:rPr>
          <w:rFonts w:ascii="Times New Roman;sans-serif" w:hAnsi="Times New Roman;sans-serif"/>
          <w:b w:val="false"/>
          <w:color w:val="000000"/>
          <w:sz w:val="13"/>
        </w:rPr>
        <w:t>®</w:t>
      </w:r>
      <w:r>
        <w:rPr>
          <w:rFonts w:ascii="Times New Roman;sans-serif" w:hAnsi="Times New Roman;sans-serif"/>
          <w:b w:val="false"/>
          <w:color w:val="000000"/>
          <w:sz w:val="20"/>
        </w:rPr>
        <w:t>, MYOBLOC</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ONAPGO</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(formerly known as SPN-830). In February 2025, the FDA approved ONAPGO (apomorphine hydrochloride) injection as the first and only subcutaneous apomorphine infusion device for the treatment of motor fluctuations in adults with advanced PD. ONAPGO was launched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2024, filed with the SEC.</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which is primarily located in the U.S., operates in one operating segment.</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prior year amounts related to the caption </w:t>
      </w:r>
      <w:r>
        <w:rPr>
          <w:rFonts w:ascii="Times New Roman;sans-serif" w:hAnsi="Times New Roman;sans-serif"/>
          <w:b w:val="false"/>
          <w:i/>
          <w:color w:val="000000"/>
          <w:sz w:val="20"/>
        </w:rPr>
        <w:t>Inventory valuation write-down</w:t>
      </w:r>
      <w:r>
        <w:rPr>
          <w:color w:val="000000"/>
        </w:rPr>
        <w:t xml:space="preserve"> </w:t>
      </w:r>
      <w:r>
        <w:rPr>
          <w:rFonts w:ascii="Times New Roman;sans-serif" w:hAnsi="Times New Roman;sans-serif"/>
          <w:b w:val="false"/>
          <w:color w:val="000000"/>
          <w:sz w:val="20"/>
        </w:rPr>
        <w:t>in the condensed consolidated statements of cash flows has been reclassified to conform to current year presentation. The reclassification did not affect the other condensed consolidated financial statements.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whether it is the primary beneficiary of a VIE as changes to existing relationships or future transactions may affect its conclusions.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Advertising Expense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includes the cost of promotional materials and activities, such as printed materials and digital marketing, marketing programs and speaker programs. The cost of the Company's advertising efforts is expensed as incurred.</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Company incurred approximately $26.1 million in advertising expense for the three months ended March 31, 2025 and approximately $24.3 million for the three months ended March 31, 2024, respectively. These expenses are recorded as a component of </w:t>
      </w: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in the unaudited condensed consolidated statements of earnings (loss).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Insurance Recoveries</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several policies with third-party insurers that provide for the recovery of certain costs incurred by the Company. The Company records our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recovery receivable.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Company recorded approximately $4.4 million of insurance recoveries during the three months ended March 31, 2025. There were no insurance recoveries during the three months ended March 31, 2024. To date, there have not been any material adjustments to our prior estimates of the insurance recovery receivable. Insurance recoveries recognized in fiscal year 2025 were recorded as a reduction to </w:t>
      </w:r>
      <w:r>
        <w:rPr>
          <w:rFonts w:ascii="Times New Roman;sans-serif" w:hAnsi="Times New Roman;sans-serif"/>
          <w:b w:val="false"/>
          <w:i/>
          <w:color w:val="000000"/>
          <w:sz w:val="20"/>
        </w:rPr>
        <w:t>Selling, general and administrative expenses</w:t>
      </w:r>
      <w:r>
        <w:rPr>
          <w:rFonts w:ascii="Times New Roman;sans-serif" w:hAnsi="Times New Roman;sans-serif"/>
          <w:b w:val="false"/>
          <w:color w:val="000000"/>
          <w:sz w:val="20"/>
        </w:rPr>
        <w:t>.</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Adopted</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On January 1, 2024, the Company adopted Accounting Standards Update (ASU) 2023-07, </w:t>
      </w:r>
      <w:r>
        <w:rPr>
          <w:rFonts w:ascii="Times New Roman;sans-serif" w:hAnsi="Times New Roman;sans-serif"/>
          <w:b w:val="false"/>
          <w:i/>
          <w:color w:val="000000"/>
          <w:sz w:val="20"/>
        </w:rPr>
        <w:t xml:space="preserve">Improvements to Reportable Segment Disclosures (Topic 280). </w:t>
      </w:r>
      <w:r>
        <w:rPr>
          <w:rFonts w:ascii="Times New Roman;sans-serif" w:hAnsi="Times New Roman;sans-serif"/>
          <w:b w:val="false"/>
          <w:color w:val="000000"/>
          <w:sz w:val="20"/>
        </w:rPr>
        <w:t xml:space="preserve">The new standard improves reportable segment disclosure requirements, primarily through enhanced disclosures about significant segment expenses that are regularly provided to the chief operating decision maker. ASU 2023-07 also clarifies that entities with a single reportable segment are subject to both new and existing reporting requirements under Topic 280. See Note 13, </w:t>
      </w:r>
      <w:r>
        <w:rPr>
          <w:rFonts w:ascii="Times New Roman;sans-serif" w:hAnsi="Times New Roman;sans-serif"/>
          <w:b w:val="false"/>
          <w:i/>
          <w:color w:val="000000"/>
          <w:sz w:val="20"/>
        </w:rPr>
        <w:t>Segment Reporting.</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The Company expects ASU 2023-09 to require additional disclosures in the notes to its consolidated financial statements. The Company is currently evaluating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ASU 2024-03, </w:t>
      </w:r>
      <w:r>
        <w:rPr>
          <w:rFonts w:ascii="Times New Roman;sans-serif" w:hAnsi="Times New Roman;sans-serif"/>
          <w:b w:val="false"/>
          <w:i/>
          <w:color w:val="151515"/>
          <w:sz w:val="20"/>
        </w:rPr>
        <w:t xml:space="preserve">Disaggregation of Income Statement Expenses </w:t>
      </w:r>
      <w:r>
        <w:rPr>
          <w:rFonts w:ascii="Times New Roman;sans-serif" w:hAnsi="Times New Roman;sans-serif"/>
          <w:b w:val="false"/>
          <w:color w:val="151515"/>
          <w:sz w:val="20"/>
        </w:rPr>
        <w:t xml:space="preserve">(Topic 220) - The new standard, issued in November 2024, requires additional 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sans-serif" w:hAnsi="Times New Roman;sans-serif"/>
          <w:b w:val="false"/>
          <w:color w:val="000000"/>
          <w:sz w:val="20"/>
        </w:rPr>
        <w:t>The 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adoption of this guidance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pPr>
      <w:r>
        <w:rPr>
          <w:rFonts w:ascii="Times New Roman;sans-serif" w:hAnsi="Times New Roman;sans-serif"/>
          <w:b/>
          <w:color w:val="000000"/>
          <w:sz w:val="20"/>
        </w:rPr>
        <w:t>3.</w:t>
      </w:r>
      <w:r>
        <w:rPr>
          <w:color w:val="000000"/>
        </w:rPr>
        <w:t xml:space="preserve"> </w:t>
      </w:r>
      <w:r>
        <w:rPr>
          <w:rFonts w:ascii="Times New Roman;sans-serif" w:hAnsi="Times New Roman;sans-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total revenues (dollars in thousands):</w:t>
      </w:r>
    </w:p>
    <w:tbl>
      <w:tblPr>
        <w:tblW w:w="6295" w:type="dxa"/>
        <w:jc w:val="left"/>
        <w:tblInd w:w="0" w:type="dxa"/>
        <w:tblLayout w:type="fixed"/>
        <w:tblCellMar>
          <w:top w:w="28" w:type="dxa"/>
          <w:left w:w="28" w:type="dxa"/>
          <w:bottom w:w="28" w:type="dxa"/>
          <w:right w:w="28" w:type="dxa"/>
        </w:tblCellMar>
      </w:tblPr>
      <w:tblGrid>
        <w:gridCol w:w="1158"/>
        <w:gridCol w:w="1016"/>
        <w:gridCol w:w="1021"/>
        <w:gridCol w:w="211"/>
        <w:gridCol w:w="826"/>
        <w:gridCol w:w="109"/>
        <w:gridCol w:w="109"/>
        <w:gridCol w:w="109"/>
        <w:gridCol w:w="109"/>
        <w:gridCol w:w="211"/>
        <w:gridCol w:w="826"/>
        <w:gridCol w:w="109"/>
        <w:gridCol w:w="109"/>
        <w:gridCol w:w="109"/>
        <w:gridCol w:w="109"/>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6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submitted to the FDA a notification of discontinuance to withdraw Osmolex ER from distribution. Distribution of Osmolex ER ceased on April 1, 2024.</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2025, the Company continued to have favorable actual returns experience for Qelbree. As such, the Company changed its estimated provision for product returns based on the most recent experience. Provision for product returns related to prior year sales for the three months period ended March 31, 2025 is less than 5% of net product sales; majority of this is attributable to Qelbree. Provision for product returns related to prior year sales for the three months period ended March 31, 2024 was less than 1% of net product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4</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Investments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available-for-sale marketable securities held by the Company are as follows (dollars in thousands):</w:t>
      </w:r>
    </w:p>
    <w:tbl>
      <w:tblPr>
        <w:tblW w:w="8560" w:type="dxa"/>
        <w:jc w:val="left"/>
        <w:tblInd w:w="0" w:type="dxa"/>
        <w:tblLayout w:type="fixed"/>
        <w:tblCellMar>
          <w:top w:w="28" w:type="dxa"/>
          <w:left w:w="28" w:type="dxa"/>
          <w:bottom w:w="28" w:type="dxa"/>
          <w:right w:w="28" w:type="dxa"/>
        </w:tblCellMar>
      </w:tblPr>
      <w:tblGrid>
        <w:gridCol w:w="1967"/>
        <w:gridCol w:w="1729"/>
        <w:gridCol w:w="1734"/>
        <w:gridCol w:w="232"/>
        <w:gridCol w:w="908"/>
        <w:gridCol w:w="119"/>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gains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all of our unrestricted available-for-sale marketable securities have contractual maturities of one year or less.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Fair Value of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 and Liabilities Recorded at Fair Value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required to be measured at fair value on a recurring basis are as follows (dollars in thousands):</w:t>
      </w:r>
    </w:p>
    <w:tbl>
      <w:tblPr>
        <w:tblW w:w="858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Measurements as of March 31, 2025 (unaudited)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
              </w:rPr>
            </w:pPr>
            <w:r>
              <w:rPr>
                <w:rFonts w:ascii="Times New Roman;sans-serif" w:hAnsi="Times New Roman;sans-serif"/>
                <w:b w:val="false"/>
                <w:color w:val="000000"/>
                <w:sz w:val="2"/>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
              </w:rPr>
            </w:pPr>
            <w:r>
              <w:rPr>
                <w:rFonts w:ascii="Times New Roman;sans-serif" w:hAnsi="Times New Roman;sans-serif"/>
                <w:b w:val="false"/>
                <w:color w:val="000000"/>
                <w:sz w:val="2"/>
              </w:rPr>
              <w:t>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2024</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
              </w:rPr>
            </w:pPr>
            <w:r>
              <w:rPr>
                <w:rFonts w:ascii="Times New Roman;sans-serif" w:hAnsi="Times New Roman;sans-serif"/>
                <w:b w:val="false"/>
                <w:color w:val="000000"/>
                <w:sz w:val="2"/>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
              </w:rPr>
            </w:pPr>
            <w:r>
              <w:rPr>
                <w:rFonts w:ascii="Times New Roman;sans-serif" w:hAnsi="Times New Roman;sans-serif"/>
                <w:b w:val="false"/>
                <w:color w:val="000000"/>
                <w:sz w:val="2"/>
              </w:rPr>
              <w:t>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financial instruments, including accounts receivable, accounts payable, and accrued expenses approximate fair value due to their short-term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Contingent Consideration</w:t>
      </w:r>
    </w:p>
    <w:p>
      <w:pPr>
        <w:pStyle w:val="TextBody"/>
        <w:bidi w:val="0"/>
        <w:spacing w:lineRule="auto" w:line="276"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contingent consideration for the USWM Acquisition and Adamas Acquisition (as defined below) (dollars in thousands):</w:t>
      </w:r>
    </w:p>
    <w:tbl>
      <w:tblPr>
        <w:tblW w:w="8641" w:type="dxa"/>
        <w:jc w:val="left"/>
        <w:tblInd w:w="0" w:type="dxa"/>
        <w:tblLayout w:type="fixed"/>
        <w:tblCellMar>
          <w:top w:w="28" w:type="dxa"/>
          <w:left w:w="28" w:type="dxa"/>
          <w:bottom w:w="28" w:type="dxa"/>
          <w:right w:w="28" w:type="dxa"/>
        </w:tblCellMar>
      </w:tblPr>
      <w:tblGrid>
        <w:gridCol w:w="2221"/>
        <w:gridCol w:w="1954"/>
        <w:gridCol w:w="1959"/>
        <w:gridCol w:w="211"/>
        <w:gridCol w:w="721"/>
        <w:gridCol w:w="109"/>
        <w:gridCol w:w="109"/>
        <w:gridCol w:w="109"/>
        <w:gridCol w:w="109"/>
        <w:gridCol w:w="221"/>
        <w:gridCol w:w="757"/>
        <w:gridCol w:w="161"/>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under the following captions in the consolidated balance sheets: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Company's contingent consideration liabilities are related to the USWM Acquisition in 2020 and the Adamas Acquisition in 2021. The contingent consideration liabilities are measured at fair value using either a Monte Carlo simulation or the income approach. The Company classifies contingent consideration liabilities as Level 3 fair value measurements in the period where significant unobservable inputs were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(loss) in </w:t>
      </w:r>
      <w:r>
        <w:rPr>
          <w:rFonts w:ascii="Times New Roman;sans-serif" w:hAnsi="Times New Roman;sans-serif"/>
          <w:b w:val="false"/>
          <w:i/>
          <w:color w:val="000000"/>
          <w:sz w:val="20"/>
        </w:rPr>
        <w:t>Contingent consideration loss (gain)</w:t>
      </w:r>
      <w:r>
        <w:rPr>
          <w:rFonts w:ascii="Times New Roman;sans-serif" w:hAnsi="Times New Roman;sans-serif"/>
          <w:b w:val="false"/>
          <w:color w:val="000000"/>
          <w:sz w:val="20"/>
        </w:rPr>
        <w:t>.</w:t>
      </w:r>
    </w:p>
    <w:p>
      <w:pPr>
        <w:pStyle w:val="TextBody"/>
        <w:bidi w:val="0"/>
        <w:spacing w:lineRule="auto" w:line="288" w:before="200" w:after="200"/>
        <w:jc w:val="left"/>
        <w:rPr/>
      </w:pPr>
      <w:r>
        <w:rPr>
          <w:rFonts w:ascii="Times New Roman;sans-serif" w:hAnsi="Times New Roman;sans-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In February 2025, the FDA approved ONAPGO. As such, the Company paid the $25 million milestone related to the FDA's approval of the SPN-830 NDA in February 2025. As of March 31, 2025, the remaining potential contingent consideration payment is the $30 million related to the commercial product launch. ONAPGO was launched in April 2025. As such, the Company expects the remaining $30 million milestone payment to be due and paid in 2025, subject to certain holdbacks as permitted under the Sale and Purchase Agreement Relating to USWM Enterprises, LLC, dated April 28, 2020, by and between US WorldMeds Partners, LLC and Supernus Pharmaceuticals, Inc. The fair value level of the remaining USWM contingent consideration was transferred from Level 3 to Level 1 as of March 31, 2025.</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March 31, 2025, when the milestone payment amount related to the commercial launch of ONAPGO was a known amount as above mentioned, the key assumptions considered in estimating the fair value include the estimated probability and timing of milestone achievement, and the discount rate.</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Adamas Contingent Consideration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was payable (subject to certain terms and conditions) upon the first occurrence of the achievement of aggregate worldwide net sales of GOCOVRI in excess of $150 million during any consecutive 12-month period ending on or before December 31, 2024 (2024 Milestone). The 2024 Milestone was not met. Another Milestone Payment is payable (subject to certain terms and conditions) upon the first occurrence of the achievement of aggregate worldwide net sales of GOCOVRI in excess of $225 million during any consecutive 12-month period ending on or before December 31, 2025 (2025 Milestone). The 2025 Milestone may only be achieved once.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possible outcomes for the remaining 2025 Milestone contingent consideration is $0 or $25.0 million on an undiscounted basis. As of March 31, 2025, the probability of achievement of 2025 Milestone is remote.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assumptions considered in estimating the fair value of the Adamas sales-based milestones include the estimated revenue projections, volatility, estimated discount rates and risk-free interest rate. </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of the beginning and ending balances related to the contingent consideration for the USWM Acquisition and Adamas Acquisition (dollars in thousands):</w:t>
      </w:r>
    </w:p>
    <w:tbl>
      <w:tblPr>
        <w:tblW w:w="8429" w:type="dxa"/>
        <w:jc w:val="left"/>
        <w:tblInd w:w="0" w:type="dxa"/>
        <w:tblLayout w:type="fixed"/>
        <w:tblCellMar>
          <w:top w:w="28" w:type="dxa"/>
          <w:left w:w="28" w:type="dxa"/>
          <w:bottom w:w="28" w:type="dxa"/>
          <w:right w:w="28" w:type="dxa"/>
        </w:tblCellMar>
      </w:tblPr>
      <w:tblGrid>
        <w:gridCol w:w="1325"/>
        <w:gridCol w:w="1164"/>
        <w:gridCol w:w="1171"/>
        <w:gridCol w:w="301"/>
        <w:gridCol w:w="1029"/>
        <w:gridCol w:w="155"/>
        <w:gridCol w:w="109"/>
        <w:gridCol w:w="109"/>
        <w:gridCol w:w="109"/>
        <w:gridCol w:w="448"/>
        <w:gridCol w:w="864"/>
        <w:gridCol w:w="232"/>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payment</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 (unaudited)</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30" w:type="dxa"/>
        <w:jc w:val="left"/>
        <w:tblInd w:w="0" w:type="dxa"/>
        <w:tblLayout w:type="fixed"/>
        <w:tblCellMar>
          <w:top w:w="28" w:type="dxa"/>
          <w:left w:w="28" w:type="dxa"/>
          <w:bottom w:w="28" w:type="dxa"/>
          <w:right w:w="28" w:type="dxa"/>
        </w:tblCellMar>
      </w:tblPr>
      <w:tblGrid>
        <w:gridCol w:w="1325"/>
        <w:gridCol w:w="1164"/>
        <w:gridCol w:w="1171"/>
        <w:gridCol w:w="301"/>
        <w:gridCol w:w="1029"/>
        <w:gridCol w:w="155"/>
        <w:gridCol w:w="109"/>
        <w:gridCol w:w="109"/>
        <w:gridCol w:w="109"/>
        <w:gridCol w:w="348"/>
        <w:gridCol w:w="1017"/>
        <w:gridCol w:w="180"/>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ans-serif" w:hAnsi="Times New Roman;sans-serif"/>
          <w:b w:val="false"/>
          <w:color w:val="000000"/>
          <w:sz w:val="20"/>
        </w:rPr>
        <w:t xml:space="preserve">The Company recorded a $7.7 million expense due to the change in fair value of contingent consideration liabilities for the USWM milestones for the three months ended March 31, 2025, respectively. The change in fair value of contingent consideration was primarily due to accretion to the full milestone payment amount with the achievement of the milestones. ONAPGO was approved by the FDA in February 2025 and was launched in April 2025. </w:t>
      </w:r>
    </w:p>
    <w:p>
      <w:pPr>
        <w:pStyle w:val="TextBody"/>
        <w:bidi w:val="0"/>
        <w:spacing w:lineRule="auto" w:line="276" w:before="200" w:after="200"/>
        <w:ind w:left="0" w:right="0" w:firstLine="360"/>
        <w:jc w:val="left"/>
        <w:rPr/>
      </w:pPr>
      <w:r>
        <w:rPr>
          <w:color w:val="000000"/>
        </w:rPr>
        <w:t>•</w:t>
      </w:r>
      <w:r>
        <w:rPr>
          <w:rFonts w:ascii="Times New Roman;sans-serif" w:hAnsi="Times New Roman;sans-serif"/>
          <w:b w:val="false"/>
          <w:color w:val="000000"/>
          <w:sz w:val="20"/>
        </w:rPr>
        <w:t>The Company recorded a $0.7 million expense due to the change in the fair value of the contingent consideration liabilities for the USWM milestones for the three months ended March 31, 2024, respectively. The change in fair value of contingent consideration for the USWM milestones was primarily due to passage of time.</w:t>
      </w:r>
    </w:p>
    <w:p>
      <w:pPr>
        <w:pStyle w:val="TextBody"/>
        <w:bidi w:val="0"/>
        <w:spacing w:lineRule="auto" w:line="276"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changes in fair value of the contingent consideration liabilities for the Adamas CVRs:</w:t>
      </w:r>
    </w:p>
    <w:p>
      <w:pPr>
        <w:pStyle w:val="TextBody"/>
        <w:bidi w:val="0"/>
        <w:spacing w:lineRule="auto" w:line="288" w:before="200" w:after="200"/>
        <w:ind w:left="0" w:right="0" w:firstLine="360"/>
        <w:jc w:val="left"/>
        <w:rPr/>
      </w:pPr>
      <w:r>
        <w:rPr>
          <w:color w:val="000000"/>
        </w:rPr>
        <w:t>•</w:t>
      </w:r>
      <w:r>
        <w:rPr>
          <w:rFonts w:ascii="Times New Roman;sans-serif" w:hAnsi="Times New Roman;sans-serif"/>
          <w:b w:val="false"/>
          <w:color w:val="000000"/>
          <w:sz w:val="20"/>
        </w:rPr>
        <w:t>The Company recorded a $1.8 million gain due to the change in fair value of the contingent consideration liabilities for the Adamas CVRs for the three months ended March 31, 2024. The change in fair value of contingent consideration was primarily due to passage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Intangible Assets, Net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gross carrying amounts and related accumulated amortization of intangible assets (dollars in thousands):</w:t>
      </w:r>
    </w:p>
    <w:tbl>
      <w:tblPr>
        <w:tblW w:w="11150" w:type="dxa"/>
        <w:jc w:val="left"/>
        <w:tblInd w:w="0" w:type="dxa"/>
        <w:tblLayout w:type="fixed"/>
        <w:tblCellMar>
          <w:top w:w="28" w:type="dxa"/>
          <w:left w:w="28" w:type="dxa"/>
          <w:bottom w:w="28" w:type="dxa"/>
          <w:right w:w="28" w:type="dxa"/>
        </w:tblCellMar>
      </w:tblPr>
      <w:tblGrid>
        <w:gridCol w:w="430"/>
        <w:gridCol w:w="377"/>
        <w:gridCol w:w="379"/>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technology and product rights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patent defense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$19.8 million for the three months ended March 31, 2025, and $20.1 million for the three months ended March 31, 2024, respectively.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settlement and license agreements that allows third parties to enter the XADAGO market in December 2027, or sooner under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there was no outstanding debt under the Credit 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Share-Based Payments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as follows (dollars in thousands):</w:t>
      </w:r>
    </w:p>
    <w:tbl>
      <w:tblPr>
        <w:tblW w:w="5634" w:type="dxa"/>
        <w:jc w:val="left"/>
        <w:tblInd w:w="0" w:type="dxa"/>
        <w:tblLayout w:type="fixed"/>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activities:</w:t>
      </w:r>
    </w:p>
    <w:tbl>
      <w:tblPr>
        <w:tblW w:w="7820" w:type="dxa"/>
        <w:jc w:val="left"/>
        <w:tblInd w:w="0" w:type="dxa"/>
        <w:tblLayout w:type="fixed"/>
        <w:tblCellMar>
          <w:top w:w="28" w:type="dxa"/>
          <w:left w:w="28" w:type="dxa"/>
          <w:bottom w:w="28" w:type="dxa"/>
          <w:right w:w="28" w:type="dxa"/>
        </w:tblCellMar>
      </w:tblPr>
      <w:tblGrid>
        <w:gridCol w:w="1265"/>
        <w:gridCol w:w="1113"/>
        <w:gridCol w:w="1116"/>
        <w:gridCol w:w="488"/>
        <w:gridCol w:w="488"/>
        <w:gridCol w:w="296"/>
        <w:gridCol w:w="109"/>
        <w:gridCol w:w="109"/>
        <w:gridCol w:w="109"/>
        <w:gridCol w:w="253"/>
        <w:gridCol w:w="741"/>
        <w:gridCol w:w="132"/>
        <w:gridCol w:w="109"/>
        <w:gridCol w:w="109"/>
        <w:gridCol w:w="109"/>
        <w:gridCol w:w="373"/>
        <w:gridCol w:w="373"/>
        <w:gridCol w:w="528"/>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6,719,073 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1,057,275 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2025 (unaudited)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7,649,242 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(unaudited):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7,649,242 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4,893,002 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6,719,073 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4,137,283 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activities:</w:t>
      </w:r>
    </w:p>
    <w:tbl>
      <w:tblPr>
        <w:tblW w:w="7446" w:type="dxa"/>
        <w:jc w:val="left"/>
        <w:tblInd w:w="0" w:type="dxa"/>
        <w:tblLayout w:type="fixed"/>
        <w:tblCellMar>
          <w:top w:w="28" w:type="dxa"/>
          <w:left w:w="28" w:type="dxa"/>
          <w:bottom w:w="28" w:type="dxa"/>
          <w:right w:w="28" w:type="dxa"/>
        </w:tblCellMar>
      </w:tblPr>
      <w:tblGrid>
        <w:gridCol w:w="1216"/>
        <w:gridCol w:w="1070"/>
        <w:gridCol w:w="1073"/>
        <w:gridCol w:w="449"/>
        <w:gridCol w:w="451"/>
        <w:gridCol w:w="296"/>
        <w:gridCol w:w="109"/>
        <w:gridCol w:w="109"/>
        <w:gridCol w:w="109"/>
        <w:gridCol w:w="551"/>
        <w:gridCol w:w="1611"/>
        <w:gridCol w:w="402"/>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 per Share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378,165 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2025 (unaudited)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407,867 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Share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(PSU) activities:</w:t>
      </w:r>
    </w:p>
    <w:tbl>
      <w:tblPr>
        <w:tblW w:w="10205" w:type="dxa"/>
        <w:jc w:val="left"/>
        <w:tblInd w:w="0" w:type="dxa"/>
        <w:tblLayout w:type="fixed"/>
        <w:tblCellMar>
          <w:top w:w="28" w:type="dxa"/>
          <w:left w:w="28" w:type="dxa"/>
          <w:bottom w:w="28" w:type="dxa"/>
          <w:right w:w="28" w:type="dxa"/>
        </w:tblCellMar>
      </w:tblPr>
      <w:tblGrid>
        <w:gridCol w:w="541"/>
        <w:gridCol w:w="476"/>
        <w:gridCol w:w="477"/>
        <w:gridCol w:w="437"/>
        <w:gridCol w:w="415"/>
        <w:gridCol w:w="271"/>
        <w:gridCol w:w="113"/>
        <w:gridCol w:w="113"/>
        <w:gridCol w:w="113"/>
        <w:gridCol w:w="281"/>
        <w:gridCol w:w="822"/>
        <w:gridCol w:w="145"/>
        <w:gridCol w:w="109"/>
        <w:gridCol w:w="109"/>
        <w:gridCol w:w="109"/>
        <w:gridCol w:w="434"/>
        <w:gridCol w:w="316"/>
        <w:gridCol w:w="271"/>
        <w:gridCol w:w="109"/>
        <w:gridCol w:w="109"/>
        <w:gridCol w:w="109"/>
        <w:gridCol w:w="281"/>
        <w:gridCol w:w="822"/>
        <w:gridCol w:w="145"/>
        <w:gridCol w:w="109"/>
        <w:gridCol w:w="109"/>
        <w:gridCol w:w="109"/>
        <w:gridCol w:w="437"/>
        <w:gridCol w:w="415"/>
        <w:gridCol w:w="271"/>
        <w:gridCol w:w="109"/>
        <w:gridCol w:w="109"/>
        <w:gridCol w:w="109"/>
        <w:gridCol w:w="278"/>
        <w:gridCol w:w="812"/>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PSUs </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2024</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2025 (unaudited)</w:t>
            </w:r>
          </w:p>
        </w:tc>
        <w:tc>
          <w:tcPr>
            <w:tcW w:w="112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Earnings (Loss)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(loss) per share for the three months ended March 31, 2025 and 2024 (dollars in thousands, except share and per share amounts):</w:t>
      </w:r>
    </w:p>
    <w:tbl>
      <w:tblPr>
        <w:tblW w:w="7013" w:type="dxa"/>
        <w:jc w:val="left"/>
        <w:tblInd w:w="0" w:type="dxa"/>
        <w:tblLayout w:type="fixed"/>
        <w:tblCellMar>
          <w:top w:w="28" w:type="dxa"/>
          <w:left w:w="28" w:type="dxa"/>
          <w:bottom w:w="28" w:type="dxa"/>
          <w:right w:w="28" w:type="dxa"/>
        </w:tblCellMar>
      </w:tblPr>
      <w:tblGrid>
        <w:gridCol w:w="1385"/>
        <w:gridCol w:w="1216"/>
        <w:gridCol w:w="1224"/>
        <w:gridCol w:w="240"/>
        <w:gridCol w:w="841"/>
        <w:gridCol w:w="109"/>
        <w:gridCol w:w="109"/>
        <w:gridCol w:w="109"/>
        <w:gridCol w:w="109"/>
        <w:gridCol w:w="315"/>
        <w:gridCol w:w="766"/>
        <w:gridCol w:w="109"/>
        <w:gridCol w:w="109"/>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common stock equivalents of outstanding stock-based awards excluded in the calculation of diluted earnings (loss) per share, because their inclusion would be anti-dilutive:</w:t>
      </w:r>
    </w:p>
    <w:tbl>
      <w:tblPr>
        <w:tblW w:w="5693" w:type="dxa"/>
        <w:jc w:val="left"/>
        <w:tblInd w:w="0" w:type="dxa"/>
        <w:tblLayout w:type="fixed"/>
        <w:tblCellMar>
          <w:top w:w="28" w:type="dxa"/>
          <w:left w:w="28" w:type="dxa"/>
          <w:bottom w:w="28" w:type="dxa"/>
          <w:right w:w="28" w:type="dxa"/>
        </w:tblCellMar>
      </w:tblPr>
      <w:tblGrid>
        <w:gridCol w:w="965"/>
        <w:gridCol w:w="849"/>
        <w:gridCol w:w="856"/>
        <w:gridCol w:w="413"/>
        <w:gridCol w:w="413"/>
        <w:gridCol w:w="178"/>
        <w:gridCol w:w="178"/>
        <w:gridCol w:w="178"/>
        <w:gridCol w:w="178"/>
        <w:gridCol w:w="413"/>
        <w:gridCol w:w="413"/>
        <w:gridCol w:w="178"/>
        <w:gridCol w:w="109"/>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520,152 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11.    Income Tax Expense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Company’s income tax expense for the three months ended March 31, 2025 and 2024 (dollars in thousands):</w:t>
      </w:r>
    </w:p>
    <w:tbl>
      <w:tblPr>
        <w:tblW w:w="4579" w:type="dxa"/>
        <w:jc w:val="left"/>
        <w:tblInd w:w="0" w:type="dxa"/>
        <w:tblLayout w:type="fixed"/>
        <w:tblCellMar>
          <w:top w:w="28" w:type="dxa"/>
          <w:left w:w="28" w:type="dxa"/>
          <w:bottom w:w="28" w:type="dxa"/>
          <w:right w:w="28" w:type="dxa"/>
        </w:tblCellMar>
      </w:tblPr>
      <w:tblGrid>
        <w:gridCol w:w="625"/>
        <w:gridCol w:w="548"/>
        <w:gridCol w:w="552"/>
        <w:gridCol w:w="211"/>
        <w:gridCol w:w="616"/>
        <w:gridCol w:w="271"/>
        <w:gridCol w:w="109"/>
        <w:gridCol w:w="109"/>
        <w:gridCol w:w="109"/>
        <w:gridCol w:w="211"/>
        <w:gridCol w:w="466"/>
        <w:gridCol w:w="271"/>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$6.0 million ((102.8)% effective tax rate) for the three months ended March 31, 2025, as compared to an income tax expense of $0.1 million (49.0% effective tax rate) for the three months ended March 31,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was primarily due to near break-even pre-tax losses on both the three months ended March 31, 2025 and full year 2025 forecast as compared to the same periods in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months ended March 31, 2025 varies from the statutory federal tax rate in United States (U.S. federal tax rate) of 21% primarily due to the impact of recurring permanent differences on a forecast near-break even loss. The Company's effective income tax rate for the three months ended March 31, 2024 varies from the statutory U.S. federal tax rate primarily due to the impact of discrete items on a year to date near break-even forecasted earnings before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annual forecasted earnings represent the Company's best estimate as of March 31, 2025 and 2024, are subject to change and could have a material impact on the effective tax rate in subsequent periods. Accounting Standard Codification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39"/>
        <w:gridCol w:w="1091"/>
        <w:gridCol w:w="1101"/>
        <w:gridCol w:w="1110"/>
        <w:gridCol w:w="1110"/>
        <w:gridCol w:w="1113"/>
        <w:gridCol w:w="109"/>
        <w:gridCol w:w="109"/>
        <w:gridCol w:w="109"/>
        <w:gridCol w:w="253"/>
        <w:gridCol w:w="868"/>
        <w:gridCol w:w="131"/>
        <w:gridCol w:w="109"/>
        <w:gridCol w:w="109"/>
        <w:gridCol w:w="109"/>
        <w:gridCol w:w="297"/>
        <w:gridCol w:w="1016"/>
        <w:gridCol w:w="222"/>
      </w:tblGrid>
      <w:tr>
        <w:trPr/>
        <w:tc>
          <w:tcPr>
            <w:tcW w:w="123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ans-serif" w:hAnsi="Times New Roman;sans-serif"/>
          <w:b/>
          <w:color w:val="000000"/>
          <w:sz w:val="20"/>
        </w:rPr>
        <w:t>13</w:t>
      </w:r>
      <w:r>
        <w:rPr>
          <w:rFonts w:ascii="Times New Roman;sans-serif" w:hAnsi="Times New Roman;sans-serif"/>
          <w:b w:val="false"/>
          <w:color w:val="000000"/>
          <w:sz w:val="20"/>
        </w:rPr>
        <w:t xml:space="preserve">. </w:t>
      </w:r>
      <w:r>
        <w:rPr>
          <w:rFonts w:ascii="Times New Roman;sans-serif" w:hAnsi="Times New Roman;sans-serif"/>
          <w:b/>
          <w:color w:val="000000"/>
          <w:sz w:val="20"/>
        </w:rPr>
        <w:t>Segment Reporting</w:t>
      </w:r>
    </w:p>
    <w:p>
      <w:pPr>
        <w:pStyle w:val="TextBody"/>
        <w:bidi w:val="0"/>
        <w:spacing w:before="0" w:after="0"/>
        <w:ind w:left="0" w:right="0" w:firstLine="720"/>
        <w:jc w:val="left"/>
        <w:rPr/>
      </w:pPr>
      <w:r>
        <w:rPr/>
      </w: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operating segment and therefore has only one reportable segment. The Company derives revenue primarily from sales of its commercial products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the chief executive officer. The Company manages the business activities on a consolidated basis. The CODM assesses performance of the Company, decides how to allocate resources based on net income (loss), which is reported in the condensed consolidated statement of earnings (loss) as net earnings (loss), and allocates resources on a consolidated basis. The CODM uses net earnings (loss) to decide whether to reinvest profits into the Company's current products or into other research and development initiatives for the Company's product candidates. Net earnings is also used to monitor budget versus actual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the reportable segment assets is reported on the balance sheet as total assets.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revenue, significant segment expenses and net earnings (dollars in thousands):</w:t>
      </w:r>
    </w:p>
    <w:tbl>
      <w:tblPr>
        <w:tblW w:w="6533" w:type="dxa"/>
        <w:jc w:val="left"/>
        <w:tblInd w:w="0" w:type="dxa"/>
        <w:tblLayout w:type="fixed"/>
        <w:tblCellMar>
          <w:top w:w="28" w:type="dxa"/>
          <w:left w:w="28" w:type="dxa"/>
          <w:bottom w:w="28" w:type="dxa"/>
          <w:right w:w="28" w:type="dxa"/>
        </w:tblCellMar>
      </w:tblPr>
      <w:tblGrid>
        <w:gridCol w:w="1399"/>
        <w:gridCol w:w="1231"/>
        <w:gridCol w:w="1239"/>
        <w:gridCol w:w="211"/>
        <w:gridCol w:w="826"/>
        <w:gridCol w:w="109"/>
        <w:gridCol w:w="109"/>
        <w:gridCol w:w="109"/>
        <w:gridCol w:w="109"/>
        <w:gridCol w:w="211"/>
        <w:gridCol w:w="82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p>
            <w:pPr>
              <w:pStyle w:val="TableContents"/>
              <w:bidi w:val="0"/>
              <w:spacing w:before="0" w:after="0"/>
              <w:jc w:val="left"/>
              <w:rPr/>
            </w:pPr>
            <w:r>
              <w:rPr/>
            </w:r>
          </w:p>
          <w:p>
            <w:pPr>
              <w:pStyle w:val="TableContents"/>
              <w:bidi w:val="0"/>
              <w:spacing w:before="0" w:after="0"/>
              <w:jc w:val="left"/>
              <w:rPr/>
            </w:pPr>
            <w:r>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External development program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SPN-820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SPN-817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Early-stage programs and 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external development program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 employee-related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20"/>
        </w:rPr>
        <w:t>Other segment items include amortization of intangible assets, intangible asset impairment charges, contingent consideration gain or loss, net interest and other income, interest expense, and income tax expense, whose amounts are disclosed in the condensed consolidated statement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    Composition of Other Balance Sheet Items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Inventories, Net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Property and Equipment, Net </w:t>
      </w:r>
    </w:p>
    <w:tbl>
      <w:tblPr>
        <w:tblW w:w="6556"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and equipment was approximately $0.6 million for the three months ended March 31, 2025 and $0.6 million for the three months ended March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Liabilities</w:t>
      </w:r>
    </w:p>
    <w:tbl>
      <w:tblPr>
        <w:tblW w:w="6767" w:type="dxa"/>
        <w:jc w:val="left"/>
        <w:tblInd w:w="0" w:type="dxa"/>
        <w:tblLayout w:type="fixed"/>
        <w:tblCellMar>
          <w:top w:w="28" w:type="dxa"/>
          <w:left w:w="28" w:type="dxa"/>
          <w:bottom w:w="28" w:type="dxa"/>
          <w:right w:w="28" w:type="dxa"/>
        </w:tblCellMar>
      </w:tblPr>
      <w:tblGrid>
        <w:gridCol w:w="1543"/>
        <w:gridCol w:w="1356"/>
        <w:gridCol w:w="1361"/>
        <w:gridCol w:w="211"/>
        <w:gridCol w:w="721"/>
        <w:gridCol w:w="109"/>
        <w:gridCol w:w="109"/>
        <w:gridCol w:w="109"/>
        <w:gridCol w:w="109"/>
        <w:gridCol w:w="221"/>
        <w:gridCol w:w="757"/>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benefits, &amp; related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&amp;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manufacturing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R&amp;D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current portion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royalties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Refer to Note 12, </w:t>
      </w:r>
      <w:r>
        <w:rPr>
          <w:rFonts w:ascii="Times New Roman;sans-serif" w:hAnsi="Times New Roman;sans-serif"/>
          <w:b w:val="false"/>
          <w:i/>
          <w:color w:val="000000"/>
          <w:sz w:val="18"/>
        </w:rPr>
        <w:t>Leases</w:t>
      </w:r>
      <w:r>
        <w:rPr>
          <w:rFonts w:ascii="Times New Roman;sans-serif" w:hAnsi="Times New Roman;sans-serif"/>
          <w:b w:val="false"/>
          <w:color w:val="000000"/>
          <w:sz w:val="18"/>
        </w:rPr>
        <w:t>.</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 xml:space="preserve">Refer to Note </w:t>
      </w:r>
      <w:r>
        <w:rPr>
          <w:rFonts w:ascii="Times New Roman;sans-serif" w:hAnsi="Times New Roman;sans-serif"/>
          <w:b w:val="false"/>
          <w:color w:val="000000"/>
          <w:sz w:val="20"/>
        </w:rPr>
        <w:t>15</w:t>
      </w:r>
      <w:r>
        <w:rPr>
          <w:rFonts w:ascii="Times New Roman;sans-serif" w:hAnsi="Times New Roman;sans-serif"/>
          <w:b w:val="false"/>
          <w:color w:val="000000"/>
          <w:sz w:val="18"/>
        </w:rPr>
        <w:t xml:space="preserve">,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Licenses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ans-serif" w:hAnsi="Times New Roman;sans-serif"/>
          <w:b w:val="false"/>
          <w:color w:val="000000"/>
          <w:sz w:val="20"/>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in the condensed consolidated statements of earnings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Navitor Development Agreement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the Company entered into a development agreement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 $475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entering into the Development Agreement in April 2020, as above mentioned,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2024, the Company consented to payment of additional Phase II development costs for NV-5138 (SPN-820) as they are incurred, but reserves the right to terminate payment of future development costs at its discretion.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exposure to losses related to Navitor LLC includes the approximately $50 million for Phase I and Phase II development of NV-5138 (SPN-820) already paid by the Company, plus the cost of other development and formulation activities provided by the Company and additional Phase II development costs the Company agreed to pay pursuant to the Development Agreement.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Development Agreement entered into in 2020, no additional equity investment has been made or financing has been provided to Navitor Inc. or Navitor LLC.</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USWM Enterprise Commitments Assumed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USWM Acquisition, the Company assumed the remaining commitments of USWM Enterprises and its subsidiaries, which are discussed below.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assumed the annual minimum purchase requirement of MYOBLOC, amounting to an estimated €3.9 million annually, under the contract manufacturing agreement with Merz for manufacture and supply.</w:t>
      </w:r>
    </w:p>
    <w:p>
      <w:pPr>
        <w:pStyle w:val="TextBody"/>
        <w:bidi w:val="0"/>
        <w:spacing w:lineRule="auto" w:line="26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continues to maintain a broad array of processes, policies and procedures necessary to comply with the CIA and submitted its final report during the second quarter of 2024. The Company received an official notification of release from the Office of the Inspector General in April 2025 and thus no longer remains subject to its obligations under the CIA.</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involved in various claims, litigation and legal proceedings. These matters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NAMENDA XR/Namzaric Qui Tam Litigation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sans-serif" w:hAnsi="Times New Roman;sans-serif"/>
          <w:b w:val="false"/>
          <w:color w:val="333333"/>
          <w:sz w:val="20"/>
          <w:shd w:fill="FFFFFF" w:val="clear"/>
        </w:rPr>
        <w:t>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has set oral argument for November 21, 2024.</w:t>
      </w:r>
      <w:r>
        <w:rPr>
          <w:rFonts w:ascii="Times New Roman;sans-serif" w:hAnsi="Times New Roman;sans-serif"/>
          <w:b w:val="false"/>
          <w:color w:val="000000"/>
          <w:sz w:val="20"/>
        </w:rPr>
        <w:t>On January 29, 2025, the Ninth Circuit affirmed the District Court’s order dismissing the litigation. On March 31, 2025, the plaintiff filed a petition for rehearing by the Ninth Circuit. On April 15, 2025, the Ninth Circuit unanimously denied the plaintiff's petition for panel rehearing. The Company intends to defend itself vigorously. However, the Company can offer no assurances that it will be successful in a litigation.</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APOKYN Litigation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October 16, 2022, Plaintiffs amended their complaint to add additional defendants MDD US Enterprises, LLC, MDD US Operations, LLC (each a subsidiary of Supernus Pharmaceuticals, Inc.), USWM, LLC,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March 12, 2024, following oral argument before the Court on the afternoon of March 11, 2024, the Court issued an Oral Order granting Defendants’ motion to stay depositions until the court resolved Defendants’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August 29, 2024, the Court entered an Order that revived the claims against US WorldMeds Partners, LLC and USWM, LLC on December 5, 2024. On December 6, 2024, Plaintiffs filed a second amended complaint, which added US WorldMeds and USWM back to the case. On November 4, 2024, the Court issued a scheduling order that provides for a Pretrial Conference on December 10, 2025, and a jury trial beginning on January 5, 2026. On January 3, 2025, the Court issued an Oral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Order requiring the parties to “engage in in-person mediation in good faith” and jointly select an agreed-upon mediator. The parties agreed jointly to a mediator and mediation was held in April 2025 that did not result in settlement for any of the parties. The Company intends to defend itself vigorously. However, the Company can offer no assurances that it will be successful in a litigation.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2024 and the related Management’s Discussion and Analysis of Financial Condition and Results of Operations, both of which are contained in our Annual Report on Form 10-K, filed with the Securities and Exchange Commission on February 25, 2025.</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ans-serif" w:hAnsi="Times New Roman;sans-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epilepsy, migraine, cervical dystonia, and chronic sialorrhea. We are developing a broad range of novel CNS product candidates including new potential treatments for epilepsy, depression, and other CNS disorders.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Qelbree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GOCOVRI</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(apomorphine hydrochloride injection) is a product indicated for the acute, intermittent treatment of hypomobility, "OFF" episodes ("end-of-dose wearing off" and unpredictable "ON/OFF" episodes) in patients with advanced PD.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XADAGO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MYOBLOC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ONAPGO</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(apomorphine hydrochloride) injection is the first and only subcutaneous apomorphine infusion device for the treatment of motor fluctuations in adults with advanced PD. ONAPGO was approved by the FDA in February 2025 and received an Orphan Drug Designation. ONAPGO was launched in April 2025.</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the development of innovative product candidates in neurology and psychiatry, including the following:</w:t>
      </w:r>
    </w:p>
    <w:p>
      <w:pPr>
        <w:pStyle w:val="TextBody"/>
        <w:bidi w:val="0"/>
        <w:spacing w:before="200" w:after="283"/>
        <w:jc w:val="left"/>
        <w:rPr/>
      </w:pPr>
      <w:r>
        <w:rPr/>
        <w:drawing>
          <wp:inline distT="0" distB="0" distL="0" distR="0">
            <wp:extent cx="6629400" cy="3114675"/>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629400" cy="3114675"/>
                    </a:xfrm>
                    <a:prstGeom prst="rect">
                      <a:avLst/>
                    </a:prstGeom>
                  </pic:spPr>
                </pic:pic>
              </a:graphicData>
            </a:graphic>
          </wp:inline>
        </w:drawing>
      </w:r>
      <w:bookmarkStart w:id="0" w:name="i-1"/>
      <w:bookmarkEnd w:id="0"/>
    </w:p>
    <w:p>
      <w:pPr>
        <w:pStyle w:val="TextBody"/>
        <w:bidi w:val="0"/>
        <w:spacing w:lineRule="auto" w:line="276" w:before="200" w:after="200"/>
        <w:ind w:left="0" w:right="0" w:hanging="288"/>
        <w:jc w:val="left"/>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(NV-5138)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SPN-820 is a first-in-class, orally active small molecule that increases the brain mechanistic target of rapamycin </w:t>
        <w:br/>
        <w:t>complex 1 (mTORC1) mediated synaptic function intracellularly. SPN-820 does not bind to or modulate any cell surface receptors and therefore is unlikely to have abuse potential given its lack of binding to targets implicated in drug abuse. In addition, unlike leucine, it is not incorporated into proteins during protein synthesis, and therefore, it is more available at the target site in the brain than leucine.</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the Company reported topline results from a randomized double-blind placebo-controlled Phase 2b study of SPN-820 in adults with treatment-resistant depression (TRD). The study did not demonstrate a statistically significant improvement on the primary and secondary endpoints. The safety profile of SPN-820 was consistent with previous clinical trials, showing few adverse events.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SPN-443 – Novel stimulant for the treatment of ADHD/CNS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IQVIA prescriptions for Qelbree were 214,908 for the first quarter 2025, an increase of 22% compared to the same period in the prior year. For March 2025, total monthly prescriptions reached an all-time high of 75,277. Qelbree continues to expand its base of prescribers, with approximately 34,416 prescribers in the first quarter of 2025, up from 27,902 prescribers in the same period last year.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April 2025, the Company launched ONAPGO, the first and only subcutaneous apomorphine infusion device for the treatment of motor fluctuations in adults with advanced Parkinson’s disease. Initial physician response is encouraging based on very early activity in the launch.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Product Pipeline Update</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Company plans to initiate a follow-on Phase 2b multi-center, randomized, double-blind, placebo-controlled trial in approximately 200 adults with major depressive disorder (MDD). The study will examine the safety and tolerability of SPN-820 2400 mg given intermittently (twice weekly) as 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SPN-443 – Novel stimulant for ADHD/CNS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Company completed a Phase 1 pharmacokinetic study of two oral formulations in healthy adults. Both formulations of SPN-443 showed adequate bioavailability and were well tolerated. The Company expects to disclose a lead indication for the product candidate by the end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A summary of our significant accounting policies is included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our audited consolidated financial statements included in the Annual Report on Form 10-K for the year ended December 31, 2024. There were no significant changes to the disclosures with respect to our critical accounting policies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2025 and 2024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consist primarily of net product sales of our commercial products in the U.S., supplemented by royalty and licensing revenues from our collaborative licensing arrangements. The following table provides information regarding our revenues during the three months ended March 31, 2025 (dollars in thousands):</w:t>
      </w:r>
    </w:p>
    <w:tbl>
      <w:tblPr>
        <w:tblW w:w="9087" w:type="dxa"/>
        <w:jc w:val="left"/>
        <w:tblInd w:w="0" w:type="dxa"/>
        <w:tblLayout w:type="fixed"/>
        <w:tblCellMar>
          <w:top w:w="28" w:type="dxa"/>
          <w:left w:w="28" w:type="dxa"/>
          <w:bottom w:w="28" w:type="dxa"/>
          <w:right w:w="28" w:type="dxa"/>
        </w:tblCellMar>
      </w:tblPr>
      <w:tblGrid>
        <w:gridCol w:w="1158"/>
        <w:gridCol w:w="1016"/>
        <w:gridCol w:w="102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20"/>
        <w:gridCol w:w="220"/>
        <w:gridCol w:w="221"/>
        <w:gridCol w:w="109"/>
        <w:gridCol w:w="109"/>
        <w:gridCol w:w="109"/>
        <w:gridCol w:w="109"/>
        <w:gridCol w:w="109"/>
        <w:gridCol w:w="109"/>
        <w:gridCol w:w="109"/>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6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Product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 were $142.0 million and $138.5 million for the three months ended March 31, 2025 and 2024, respectively. The increase was primarily due to increases in net product sales from Qelbree and GOCOVRI due to higher volume and higher price partially offset by the decline in net product sales of Oxtellar XR and Trokendi XR due to generic erosion.</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Adjustments related to prior year sales for the three months period ended March 31, 2025 is less than 5% of net product sales. The majority of the adjustments is attributable to Qelbree, reflecting favorable actual returns experienced in 2025. As a result, the Company changed its estimated provision for product returns based on the most recent experience. Adjustments related to prior year sales for the three months period ended March 31, 2024 was less than 1% of net product sales. Refer to discussion </w:t>
      </w:r>
      <w:r>
        <w:rPr>
          <w:rFonts w:ascii="Times New Roman;sans-serif" w:hAnsi="Times New Roman;sans-serif"/>
          <w:b w:val="false"/>
          <w:i/>
          <w:color w:val="000000"/>
          <w:sz w:val="20"/>
        </w:rPr>
        <w:t xml:space="preserve">Sales Deductions and Related Accruals </w:t>
      </w:r>
      <w:r>
        <w:rPr>
          <w:rFonts w:ascii="Times New Roman;sans-serif" w:hAnsi="Times New Roman;sans-serif"/>
          <w:b w:val="false"/>
          <w:color w:val="000000"/>
          <w:sz w:val="20"/>
        </w:rPr>
        <w:t xml:space="preserve">below. </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Deductions and Related Accruals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We record accrued product returns and accrued product rebates as current liabilities in</w:t>
      </w:r>
      <w:r>
        <w:rPr>
          <w:color w:val="000000"/>
        </w:rPr>
        <w:t xml:space="preserve"> </w:t>
      </w:r>
      <w:r>
        <w:rPr>
          <w:rFonts w:ascii="Times New Roman;sans-serif" w:hAnsi="Times New Roman;sans-serif"/>
          <w:b w:val="false"/>
          <w:i/>
          <w:color w:val="000000"/>
          <w:sz w:val="20"/>
        </w:rPr>
        <w:t xml:space="preserve">Accrued product returns and rebates, </w:t>
      </w:r>
      <w:r>
        <w:rPr>
          <w:rFonts w:ascii="Times New Roman;sans-serif" w:hAnsi="Times New Roman;sans-serif"/>
          <w:b w:val="false"/>
          <w:color w:val="000000"/>
          <w:sz w:val="20"/>
        </w:rPr>
        <w:t xml:space="preserve">on our condensed consolidated balance sheets. We record sales discounts as a reduction against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on the unaudited condensed consolidated balance sheets. Both amounts are generally affected by changes in gross product sales, changes in the provision for net product sales deductions, and the timing of payments/credits.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activity with respect to accrued product returns and rebates during the periods indicated (dollars in thousands): </w:t>
      </w:r>
    </w:p>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product returns balance decreased to $49.9 million as of March 31, 2025 from $59.5 million as of March 31, 2024. This decrease was primarily due to the $7.0 million of estimated provision for product returns related to prior year sales. The majority of the provision for product returns related to prior year sales is attributable to Qelbree, reflecting favorable actual returns experienced in 2025 for Qelbree. As a result, the Company changed its estimated provision for product returns based on the most recent experience.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accrued product rebates balance increased to $120.2 million as of March 31, 2025 from $107.7 million as of March 31, 2024 primarily due to timing of payments associated with government programs. </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product returns decreased to $(2.3) million for the three months ended March 31, 2025 from $4.2 million for the three months ended March 31, 2024. The decrease was primarily due to the aforementioned $7.0 million of estimated provision for product returns related to prior year sales.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product rebates increased to $105.2 million for three months ended March 31, 2025 from $101.0 million for the three months ended March 31, 2024. The increase was primarily attributable to higher Qelbree sales and unfavorability in government programs as a result of product price increases in Q1 2025.</w:t>
      </w:r>
    </w:p>
    <w:p>
      <w:pPr>
        <w:pStyle w:val="TextBody"/>
        <w:bidi w:val="0"/>
        <w:spacing w:lineRule="auto" w:line="288" w:before="200" w:after="20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Royalty, Licensing and Other Revenues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Royalty, licensing and other revenues were $7.8 million and $5.2 million for the three months ended March 31, 2025 and 2024, respectively. The increase was due to increase in royalty revenues from Oxtellar XR. The Company entered into settlement and license agreements that allowed a third party to enter the Oxtellar XR market in September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Goods Sold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was $15.8 million and $16.3 million for the three months ended March 31, 2025 and 2024, respectively. The decrease was primarily driven by lower APOKYN royalties due to lower sales and a decline in net product sales of Oxtellar XR and Trokendi XR due to generic erosion.</w:t>
      </w:r>
    </w:p>
    <w:p>
      <w:pPr>
        <w:pStyle w:val="TextBody"/>
        <w:bidi w:val="0"/>
        <w:spacing w:lineRule="auto" w:line="288" w:before="200" w:after="2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were $26.9 million and $24.9 million for the three months ended March 31, 2025 and 2024, respectively. The increase was primarily due to increased clinical program costs on SPN-817 and on the open-label study of Qelbree.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selling, general and administrative (SG&amp;A) expenses during the periods indicated (dollars in thousands):</w:t>
      </w:r>
    </w:p>
    <w:tbl>
      <w:tblPr>
        <w:tblW w:w="7931" w:type="dxa"/>
        <w:jc w:val="left"/>
        <w:tblInd w:w="0" w:type="dxa"/>
        <w:tblLayout w:type="fixed"/>
        <w:tblCellMar>
          <w:top w:w="28" w:type="dxa"/>
          <w:left w:w="28" w:type="dxa"/>
          <w:bottom w:w="28" w:type="dxa"/>
          <w:right w:w="28" w:type="dxa"/>
        </w:tblCellMar>
      </w:tblPr>
      <w:tblGrid>
        <w:gridCol w:w="851"/>
        <w:gridCol w:w="749"/>
        <w:gridCol w:w="7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20"/>
        <w:gridCol w:w="220"/>
        <w:gridCol w:w="221"/>
        <w:gridCol w:w="109"/>
        <w:gridCol w:w="109"/>
        <w:gridCol w:w="109"/>
        <w:gridCol w:w="109"/>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were $63.3 million and $59.6 million for the three months ended March 31, 2025 and 2024, respectively. The increase was primarily due to timing of product sample shipments.</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Amortization of Intangible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$19.8 million and $20.1 million for the three months ended March 31, 2025 and 2024, respectively. The decrease was primarily due to Oxtellar XR and Namzaric intangible assets being fully amortized in 2024 offset by ONAPGO amortization expense in 2025. ONAPGO was previously accounted for as an indefinite-lived intangible asset not subject to amortization.</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Contingent Consideration Loss (Gain)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was a loss of $7.7 million and a gain of $1.1 million for the three months ended March 31, 2025 and 2024, respectively. The change to loss for the three months ended March 31, 2025 was primarily driven by the accretion of the USWM contingent consideration liabilities to the full milestone payment amounts with the approval of ONAPGO by the FDA in February 2025. </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was an income of $4.4 million and $3.4 million for the three months ended March 31, 2025 and 2024, respectively. The increase was due to higher interest income on marketable securities largely driven by an overall higher investment balance in 2025.</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$6.0 million ((102.8)% effective tax rate) for the three months ended March 31, 2025, as compared to an income tax expense of $0.1 million (49.0% effective tax rate) for the three months ended March 31, 2024. The change was primarily due to near break-even pre-tax losses on both the three months ended March 31, 2025 and full year 2025 forecast as compared to the same periods in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months ended March 31, 2025 varies from the statutory federal tax rate in United States (U.S. federal tax rate) of 21% primarily due to the impact of recurring permanent differences on a forecast near-break even loss. The Company's effective income tax rate for the three months ended March 31, 2024 varies from the statutory U.S. federal tax rate primarily due to the impact of discrete items on a year to date near break-even forecasted earnings before taxes.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annual forecasted earnings represent the Company's best estimate as of March 31, 2025 and 2024, are subject to change and could have a material impact on the effective tax rate in subsequent periods. Accounting Standard Codification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(ASC 740), requires the Company to estimate the annual effective income tax rate for the full year and apply it to earnings (loss) before taxes for each interim period, taking into account year-to-date amounts and projected results for the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 Liquidity and Capital Resources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Marketable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marketable securities, and long-term marketable securities are comprised of the following (dollars in thousands): </w:t>
      </w:r>
    </w:p>
    <w:tbl>
      <w:tblPr>
        <w:tblW w:w="7284" w:type="dxa"/>
        <w:jc w:val="center"/>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balances of cash, cash equivalents, and unrestricted marketable securities, which totaled $463.6 million as of March 31, 2025, along with cash generated from ongoing operations and continued access to debt markets, will be sufficient to satisfy its cash requirements over the next 12 months and beyond.</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and the additional funding for the launch of ONAPGO, which was approved by the FDA in February 2025 and launched in April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are comprised of the following (dollars in thousands):</w:t>
      </w:r>
    </w:p>
    <w:tbl>
      <w:tblPr>
        <w:tblW w:w="7871" w:type="dxa"/>
        <w:jc w:val="left"/>
        <w:tblInd w:w="0" w:type="dxa"/>
        <w:tblLayout w:type="fixed"/>
        <w:tblCellMar>
          <w:top w:w="28" w:type="dxa"/>
          <w:left w:w="28" w:type="dxa"/>
          <w:bottom w:w="28" w:type="dxa"/>
          <w:right w:w="28" w:type="dxa"/>
        </w:tblCellMar>
      </w:tblPr>
      <w:tblGrid>
        <w:gridCol w:w="1429"/>
        <w:gridCol w:w="1253"/>
        <w:gridCol w:w="1262"/>
        <w:gridCol w:w="211"/>
        <w:gridCol w:w="826"/>
        <w:gridCol w:w="109"/>
        <w:gridCol w:w="109"/>
        <w:gridCol w:w="109"/>
        <w:gridCol w:w="109"/>
        <w:gridCol w:w="211"/>
        <w:gridCol w:w="721"/>
        <w:gridCol w:w="10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$30.6 million and $38.4 million for the three months ended March 31, 2025, and 2024, respectively. The decrease in cash flows provided by operating activities is primarily due to lower net income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three months ended March 31, 2025 compared to the same period in prior year, and changes in working capital which reflects the timing impacts of cash collections on receivables and settlement of payables.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$37.3 million for the three months ended March 31, 2025 compared to $51.6 million cash used in investing activities during the same period in 2024. The change was primarily due to a decrease in cash outflows from purchases of marketable securities as well as higher cash inflows from the maturities of marketable securities.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$21.4 million for the three months ended March 31, 2025 compared to $1.6 million provided by during the same period in 2024. The change was primarily due to the payment of USWM contingent consideration milestone associated with the FDA approval of ONAPGO.</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Refer to “Part II, Item 7 — Management’s Discussion and Analysis of Liquidity and Capital Resources” of our Annual Report on Form 10-K for the year ended December 31, 2024, and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the Condensed Consolidated Financial Statements in Part I, Item 1, Unaudited Condensed Consolidated Financial Statements, of this Quarterly Report on Form 10-Q for the discussion of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For a discussion of new accounting pronouncements,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the Notes to the Condensed Consolidated Financial Statements in Part I, Item 1, Unaudited Condensed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March 31, 2025, we had cash and cash equivalents and marketable securities of $463.6 million. </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borrow funds under the Credit Line. Variable rate borrowing, which may occur under the Credit Line, exposes us to interest rate risk as increases in interest rates would increase our borrowing costs. 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currency or derivative financial instruments.</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contract with clinical research organizations (CROs) and investigational sites globally. Currently, we have ongoing clinical trials being conducted outside of the U.S. We do not hedge our foreign currency exchange rate risk. Transactions denominated in currencies other than the U.S. dollar are recorded based on exchange rates at the time such transactions arise. As of March 31, 2025 and December 31, 2024, substantially all of our liabilities were denominated in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the cost of services provided by our vendors. We do not believe that inflation and changing prices over the year ended December 31, 2024, and the three months ended March 31, 2025 had a significant impact on our consolidated results of operations. While we expect significant year-to-year variability in labor and vendor service costs due to uncontrollable inflation factors like natural disasters, geopolitical conflicts, tariffs,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March 31, 2025, the end of the period covered by this report. Based on that evaluation, under the supervision and with the participation of our management, including our CEO and CFO, we concluded that our disclosure controls and procedures are effective as of March 31, 2025.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CEO and CFO, evaluated changes in our internal control over financial reporting that occurred during the quarter ended March 31, 2025.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2025, no changes occurred in our internal control over financial reporting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TextBody"/>
        <w:bidi w:val="0"/>
        <w:spacing w:lineRule="auto" w:line="288" w:before="200" w:after="200"/>
        <w:jc w:val="left"/>
        <w:rPr/>
      </w:pPr>
      <w:r>
        <w:rPr>
          <w:rFonts w:ascii="Times New Roman;sans-serif" w:hAnsi="Times New Roman;sans-serif"/>
          <w:b/>
          <w:i/>
          <w:color w:val="000000"/>
          <w:sz w:val="20"/>
        </w:rPr>
        <w:t>Trokendi XR</w:t>
      </w:r>
      <w:r>
        <w:rPr>
          <w:rFonts w:ascii="Times New Roman;sans-serif" w:hAnsi="Times New Roman;sans-serif"/>
          <w:b/>
          <w:i/>
          <w:color w:val="000000"/>
          <w:sz w:val="13"/>
        </w:rPr>
        <w:t>®</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 Supernus Pharmaceuticals, Inc. v. Ajanta Pharma Limited, et al., C.A. No. 21-cv-6964 (GC)(DEA) (D.N.J.)</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among other things,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noBreakHyphen/>
        <w:t xml:space="preserve">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Section II, below. The consolidation order extended the 30</w:t>
        <w:noBreakHyphen/>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pStyle w:val="TextBody"/>
        <w:bidi w:val="0"/>
        <w:spacing w:lineRule="auto" w:line="26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 Supernus Pharmaceuticals, Inc. v. Torrent Pharmaceuticals Ltd., et al., C.A. No. 21-cv-14268 (GC)(DEA) (D.N.J.); Supernus Pharmaceuticals, Inc. v. Ajanta Pharma Limited, et al., Appeal No. 2024-1606 (Fed. Cir.)</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among other things,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noBreakHyphen/>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I,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On March 4, 2024, Torrent filed a Notice of Appeal of the Final Judgment with the U.S. Court of Appeals for the Federal Circuit. The Federal Circuit docketed the appeal as </w:t>
      </w:r>
      <w:r>
        <w:rPr>
          <w:rFonts w:ascii="Times New Roman;sans-serif" w:hAnsi="Times New Roman;sans-serif"/>
          <w:b w:val="false"/>
          <w:i/>
          <w:color w:val="000000"/>
          <w:sz w:val="20"/>
        </w:rPr>
        <w:t>Supernus Pharmaceuticals, Inc. v. Ajanta Pharma Limited</w:t>
      </w:r>
      <w:r>
        <w:rPr>
          <w:color w:val="000000"/>
        </w:rPr>
        <w:t xml:space="preserve"> </w:t>
      </w:r>
      <w:r>
        <w:rPr>
          <w:rFonts w:ascii="Times New Roman;sans-serif" w:hAnsi="Times New Roman;sans-serif"/>
          <w:b w:val="false"/>
          <w:color w:val="000000"/>
          <w:sz w:val="20"/>
        </w:rPr>
        <w:t>because the lawsuit against Torrent was previously consolidated with the lawsuit against Ajanta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Section I above). The Court has not set the date for oral argument. </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APOKYN®</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III. Sage Chemical, Inc., et al. v. Supernus Pharmaceuticals, Inc., et al., C.A. No. 22-cv-1302 (CJB) (D. Del.)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March 12, 2024, following oral argument before the Court on the afternoon of March 11, 2024, the Court issued an Oral Order granting Defendants’ motion to stay depositions until the court resolved Defendants’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August 29, 2024, the Court entered an Order that revived the claims against US WorldMeds Partners, LLC and USWM, LLC on December 5, 2024. On December 6, 2024, Plaintiffs filed a second amended complaint, which added US WorldMeds and USWM back to the case. On November 4, 2024, the Court issued a scheduling order that provides for a Pretrial Conference on December 10, 2025, and a jury trial beginning on January 5, 2026. On January 3, 2025, the Court issued an Oral Order requiring the parties to “engage in in-person mediation in good faith” and jointly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select an agreed-upon mediator. The parties agreed jointly to a mediator and mediation was held in April 2025 that did not result in settlement for any of the parties. </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IV. US WorldMeds Partners, LLC v. Federal Insurance Company, et al, Case Nos. 24-CI-2529; 24-CI-4195; 24-CI-4631; and 24-CI-6988) (D.Del)</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An initial post consolidation court conference was held on February 12, 2025, and the next conference is scheduled for May 14, 2025.</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V. Supernus Pharmaceuticals, Inc. v. Old Republic Insurance Company, 8:24-cv-03733-PJM) (D.Maryland)</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action seeks recovery of insurance benefits in connection with the Underlying Action in the US WorldMeds Partners, LLC v Federal Insurance Company case. This case is in its early stages. The defendant insurer made a pre-answer motion to dismiss the Complaint. Supernus’s opposition to the motion is due in May 2025. Discovery has not yet commenced. There are no pending court conferences.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Adamas Litigation</w:t>
      </w:r>
    </w:p>
    <w:p>
      <w:pPr>
        <w:pStyle w:val="TextBody"/>
        <w:bidi w:val="0"/>
        <w:spacing w:lineRule="auto" w:line="288" w:before="200" w:after="200"/>
        <w:ind w:left="0" w:right="0" w:firstLine="8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On January 29, 2025, the Ninth Circuit affirmed the District Court’s order dismissing the litigation. On March 31, 2025, the plaintiff filed a petition for rehearing by the Ninth Circuit. On April 15, 2025, the Ninth Circuit unanimously denied the plaintiff's petition for panel rehearing.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 believes it has strong factual and legal defenses to all actions and intends to defend itself vigorously.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2024 and quarterly report on Form 10-Q for the period ended March 31, 2025. These risks may result in material harm to our business and our financial condition and results of operations. If a material, adverse event was to occur, the market price of our common stock may decline, and you could lose part or all of your investment.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risks described below reflect substantive changes from, or additions to, the risks described in our Annual Report on Form 10-K for the year ended December 31, 2024.</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Tariffs may increase our costs.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suppliers and other vendors located outside of the United States, including third-party clinical manufacturing organizations for the supply of active product ingredients for our products and product candidates, including raw materials and drug substances for our preclinical research and clinical trials. The United States and other countries have recently announced the imposition of tariffs on the import of a wide variety of products and services. Certain countries have also announced changes to previously announced tariffs. These tariffs may increase the costs we bear when importing products into the United States and may also increase our vendors’ production costs, which may be passed on to us. We are assessing the potential impact of recently announced tariffs on our financial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Sales of Unregistered Securities.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ind w:left="0" w:right="0" w:hanging="720"/>
        <w:jc w:val="left"/>
        <w:rPr/>
      </w:pPr>
      <w:r>
        <w:rPr>
          <w:rFonts w:ascii="Times New Roman;sans-serif" w:hAnsi="Times New Roman;sans-serif"/>
          <w:b/>
          <w:color w:val="000000"/>
          <w:sz w:val="20"/>
        </w:rPr>
        <w:t>(a)     </w:t>
      </w:r>
      <w:r>
        <w:rPr>
          <w:rFonts w:ascii="Times New Roman;sans-serif" w:hAnsi="Times New Roman;sans-serif"/>
          <w:b w:val="false"/>
          <w:color w:val="000000"/>
          <w:sz w:val="20"/>
        </w:rPr>
        <w:t>None.</w:t>
      </w:r>
    </w:p>
    <w:p>
      <w:pPr>
        <w:pStyle w:val="TextBody"/>
        <w:bidi w:val="0"/>
        <w:spacing w:lineRule="auto" w:line="288" w:before="200" w:after="283"/>
        <w:ind w:left="0" w:right="0" w:hanging="720"/>
        <w:jc w:val="left"/>
        <w:rPr/>
      </w:pPr>
      <w:r>
        <w:rPr>
          <w:rFonts w:ascii="Times New Roman;sans-serif" w:hAnsi="Times New Roman;sans-serif"/>
          <w:b/>
          <w:color w:val="000000"/>
          <w:sz w:val="20"/>
        </w:rPr>
        <w:t>(b)    </w:t>
      </w:r>
      <w:r>
        <w:rPr>
          <w:rFonts w:ascii="Times New Roman;sans-serif" w:hAnsi="Times New Roman;sans-serif"/>
          <w:b w:val="false"/>
          <w:color w:val="000000"/>
          <w:sz w:val="20"/>
        </w:rPr>
        <w:t>None.</w:t>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    Insider Trading Arrangements and Policies.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lists the insider trading arrangements adopted or terminated during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2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378"/>
        <w:gridCol w:w="334"/>
        <w:gridCol w:w="335"/>
        <w:gridCol w:w="484"/>
        <w:gridCol w:w="484"/>
        <w:gridCol w:w="485"/>
        <w:gridCol w:w="493"/>
        <w:gridCol w:w="493"/>
        <w:gridCol w:w="494"/>
        <w:gridCol w:w="443"/>
        <w:gridCol w:w="443"/>
        <w:gridCol w:w="444"/>
        <w:gridCol w:w="464"/>
        <w:gridCol w:w="464"/>
        <w:gridCol w:w="466"/>
        <w:gridCol w:w="581"/>
        <w:gridCol w:w="581"/>
        <w:gridCol w:w="582"/>
        <w:gridCol w:w="511"/>
        <w:gridCol w:w="511"/>
        <w:gridCol w:w="735"/>
      </w:tblGrid>
      <w:tr>
        <w:trPr/>
        <w:tc>
          <w:tcPr>
            <w:tcW w:w="3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 of Director or Officer</w:t>
            </w:r>
          </w:p>
        </w:tc>
        <w:tc>
          <w:tcPr>
            <w:tcW w:w="14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Rule 10b5-1 Trading Arrangement</w:t>
            </w:r>
            <w:r>
              <w:rPr>
                <w:rFonts w:ascii="Times New Roman;sans-serif" w:hAnsi="Times New Roman;sans-serif"/>
                <w:b/>
                <w:color w:val="000000"/>
                <w:sz w:val="13"/>
              </w:rPr>
              <w:t>(1)</w:t>
            </w:r>
          </w:p>
        </w:tc>
        <w:tc>
          <w:tcPr>
            <w:tcW w:w="1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 Adopted or Terminated</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 or Termination</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Trading Arrangement</w:t>
            </w:r>
          </w:p>
        </w:tc>
        <w:tc>
          <w:tcPr>
            <w:tcW w:w="17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Purchased Pursuant to Trading Arrangement</w:t>
            </w:r>
          </w:p>
        </w:tc>
        <w:tc>
          <w:tcPr>
            <w:tcW w:w="17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Sold Pursuant to Trading Arrangement</w:t>
            </w:r>
          </w:p>
        </w:tc>
      </w:tr>
      <w:tr>
        <w:trPr/>
        <w:tc>
          <w:tcPr>
            <w:tcW w:w="10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Charles Newhall</w:t>
            </w:r>
          </w:p>
        </w:tc>
        <w:tc>
          <w:tcPr>
            <w:tcW w:w="14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4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Adopted </w:t>
            </w:r>
          </w:p>
        </w:tc>
        <w:tc>
          <w:tcPr>
            <w:tcW w:w="13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3/3/2027</w:t>
            </w:r>
          </w:p>
        </w:tc>
        <w:tc>
          <w:tcPr>
            <w:tcW w:w="17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w:t>
            </w:r>
          </w:p>
        </w:tc>
        <w:tc>
          <w:tcPr>
            <w:tcW w:w="17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w:t>
            </w:r>
          </w:p>
        </w:tc>
      </w:tr>
    </w:tbl>
    <w:p>
      <w:pPr>
        <w:pStyle w:val="TextBody"/>
        <w:bidi w:val="0"/>
        <w:spacing w:lineRule="auto" w:line="288" w:before="2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w:t>
      </w:r>
    </w:p>
    <w:p>
      <w:pPr>
        <w:pStyle w:val="TextBody"/>
        <w:bidi w:val="0"/>
        <w:spacing w:lineRule="auto" w:line="268" w:before="20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Indicates whether the trading arrangement is intended to satisfy the affirmative defense conditions of Rule 10b5-1(c).</w:t>
      </w:r>
    </w:p>
    <w:p>
      <w:pPr>
        <w:pStyle w:val="TextBody"/>
        <w:bidi w:val="0"/>
        <w:spacing w:lineRule="auto" w:line="268" w:before="0" w:after="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This trading arrangement covers the exercise and sale of stock options, with a portion of such sales limited to an amount reasonably estimated such that the net proceeds from the sale are sufficient to cover the exercise cost and taxes associated with the exercise of the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17"/>
        <w:gridCol w:w="2617"/>
        <w:gridCol w:w="373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upn-10qxex311.htm">
              <w:r>
                <w:rPr>
                  <w:rStyle w:val="InternetLink"/>
                  <w:rFonts w:ascii="Times New Roman;sans-serif" w:hAnsi="Times New Roman;sans-serif"/>
                  <w:b w:val="false"/>
                  <w:color w:val="0000FF"/>
                  <w:sz w:val="20"/>
                  <w:u w:val="single"/>
                </w:rPr>
                <w:t>Certification of Chief Executive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2.htm">
              <w:r>
                <w:rPr>
                  <w:rStyle w:val="InternetLink"/>
                  <w:rFonts w:ascii="Times New Roman;sans-serif" w:hAnsi="Times New Roman;sans-serif"/>
                  <w:b w:val="false"/>
                  <w:color w:val="0000FF"/>
                  <w:sz w:val="20"/>
                  <w:u w:val="single"/>
                </w:rPr>
                <w:t>Certification of Chief Financial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2025, formatted in Inline XBRL: (i) Cover Page, (ii) Condensed Consolidated Statements of Earnings (Loss), (iii) Condensed Consolidated Statements of Comprehensive Earnings (Loss),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Quarterly Report on Form 10-Q for the quarter ended March 31, 2025, formatted in Inline XBRL (included with the Exhibit 101 attachments).</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_______________________________________________________________________________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703" w:type="dxa"/>
        <w:jc w:val="left"/>
        <w:tblInd w:w="0" w:type="dxa"/>
        <w:tblLayout w:type="fixed"/>
        <w:tblCellMar>
          <w:top w:w="28" w:type="dxa"/>
          <w:left w:w="28" w:type="dxa"/>
          <w:bottom w:w="28" w:type="dxa"/>
          <w:right w:w="28" w:type="dxa"/>
        </w:tblCellMar>
      </w:tblPr>
      <w:tblGrid>
        <w:gridCol w:w="689"/>
        <w:gridCol w:w="606"/>
        <w:gridCol w:w="609"/>
        <w:gridCol w:w="548"/>
        <w:gridCol w:w="548"/>
        <w:gridCol w:w="548"/>
        <w:gridCol w:w="1212"/>
        <w:gridCol w:w="1212"/>
        <w:gridCol w:w="173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br/>
              <w:t>President and Chief Executive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04" w:type="dxa"/>
        <w:jc w:val="left"/>
        <w:tblInd w:w="0" w:type="dxa"/>
        <w:tblLayout w:type="fixed"/>
        <w:tblCellMar>
          <w:top w:w="28" w:type="dxa"/>
          <w:left w:w="28" w:type="dxa"/>
          <w:bottom w:w="28" w:type="dxa"/>
          <w:right w:w="28" w:type="dxa"/>
        </w:tblCellMar>
      </w:tblPr>
      <w:tblGrid>
        <w:gridCol w:w="591"/>
        <w:gridCol w:w="520"/>
        <w:gridCol w:w="523"/>
        <w:gridCol w:w="120"/>
        <w:gridCol w:w="120"/>
        <w:gridCol w:w="120"/>
        <w:gridCol w:w="940"/>
        <w:gridCol w:w="940"/>
        <w:gridCol w:w="13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Timothy C. Dec, certify that: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68" w:type="dxa"/>
        <w:jc w:val="left"/>
        <w:tblInd w:w="0" w:type="dxa"/>
        <w:tblLayout w:type="fixed"/>
        <w:tblCellMar>
          <w:top w:w="28" w:type="dxa"/>
          <w:left w:w="28" w:type="dxa"/>
          <w:bottom w:w="28" w:type="dxa"/>
          <w:right w:w="28" w:type="dxa"/>
        </w:tblCellMar>
      </w:tblPr>
      <w:tblGrid>
        <w:gridCol w:w="591"/>
        <w:gridCol w:w="520"/>
        <w:gridCol w:w="523"/>
        <w:gridCol w:w="120"/>
        <w:gridCol w:w="120"/>
        <w:gridCol w:w="120"/>
        <w:gridCol w:w="1072"/>
        <w:gridCol w:w="1072"/>
        <w:gridCol w:w="15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jc w:val="left"/>
        <w:rPr/>
      </w:pPr>
      <w:r>
        <w:rPr>
          <w:rFonts w:ascii="Times New Roman;sans-serif" w:hAnsi="Times New Roman;sans-serif"/>
          <w:b w:val="false"/>
          <w:color w:val="000000"/>
          <w:sz w:val="18"/>
        </w:rPr>
        <w:t xml:space="preserve">In connection with the Quarterly Report of Supernus Pharmaceuticals, Inc. (the “Company”) on Form 10-Q for the period ended </w:t>
      </w:r>
      <w:r>
        <w:rPr>
          <w:rFonts w:ascii="Times New Roman;sans-serif" w:hAnsi="Times New Roman;sans-serif"/>
          <w:b w:val="false"/>
          <w:color w:val="000000"/>
          <w:sz w:val="20"/>
        </w:rPr>
        <w:t>March 31, 2025</w:t>
      </w:r>
      <w:r>
        <w:rPr>
          <w:color w:val="000000"/>
        </w:rPr>
        <w:t xml:space="preserve"> </w:t>
      </w:r>
      <w:r>
        <w:rPr>
          <w:rFonts w:ascii="Times New Roman;sans-serif" w:hAnsi="Times New Roman;sans-serif"/>
          <w:b w:val="false"/>
          <w:color w:val="000000"/>
          <w:sz w:val="18"/>
        </w:rPr>
        <w:t>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4649" w:type="dxa"/>
        <w:jc w:val="left"/>
        <w:tblInd w:w="0" w:type="dxa"/>
        <w:tblLayout w:type="fixed"/>
        <w:tblCellMar>
          <w:top w:w="28" w:type="dxa"/>
          <w:left w:w="28" w:type="dxa"/>
          <w:bottom w:w="28" w:type="dxa"/>
          <w:right w:w="28" w:type="dxa"/>
        </w:tblCellMar>
      </w:tblPr>
      <w:tblGrid>
        <w:gridCol w:w="525"/>
        <w:gridCol w:w="463"/>
        <w:gridCol w:w="466"/>
        <w:gridCol w:w="120"/>
        <w:gridCol w:w="120"/>
        <w:gridCol w:w="120"/>
        <w:gridCol w:w="830"/>
        <w:gridCol w:w="830"/>
        <w:gridCol w:w="1175"/>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Date: May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jc w:val="left"/>
        <w:rPr/>
      </w:pPr>
      <w:r>
        <w:rPr>
          <w:rFonts w:ascii="Times New Roman;sans-serif" w:hAnsi="Times New Roman;sans-serif"/>
          <w:b w:val="false"/>
          <w:color w:val="000000"/>
          <w:sz w:val="18"/>
        </w:rPr>
        <w:t xml:space="preserve">In connection with the Quarterly Report of Supernus Pharmaceuticals, Inc. (the “Company”) on Form 10-Q for the period ended </w:t>
      </w:r>
      <w:r>
        <w:rPr>
          <w:rFonts w:ascii="Times New Roman;sans-serif" w:hAnsi="Times New Roman;sans-serif"/>
          <w:b w:val="false"/>
          <w:color w:val="000000"/>
          <w:sz w:val="20"/>
        </w:rPr>
        <w:t>March 31, 2025</w:t>
      </w:r>
      <w:r>
        <w:rPr>
          <w:color w:val="000000"/>
        </w:rPr>
        <w:t xml:space="preserve"> </w:t>
      </w:r>
      <w:r>
        <w:rPr>
          <w:rFonts w:ascii="Times New Roman;sans-serif" w:hAnsi="Times New Roman;sans-serif"/>
          <w:b w:val="false"/>
          <w:color w:val="000000"/>
          <w:sz w:val="18"/>
        </w:rPr>
        <w:t>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5668" w:type="dxa"/>
        <w:jc w:val="left"/>
        <w:tblInd w:w="0" w:type="dxa"/>
        <w:tblLayout w:type="fixed"/>
        <w:tblCellMar>
          <w:top w:w="28" w:type="dxa"/>
          <w:left w:w="28" w:type="dxa"/>
          <w:bottom w:w="28" w:type="dxa"/>
          <w:right w:w="28" w:type="dxa"/>
        </w:tblCellMar>
      </w:tblPr>
      <w:tblGrid>
        <w:gridCol w:w="591"/>
        <w:gridCol w:w="520"/>
        <w:gridCol w:w="523"/>
        <w:gridCol w:w="120"/>
        <w:gridCol w:w="120"/>
        <w:gridCol w:w="120"/>
        <w:gridCol w:w="1070"/>
        <w:gridCol w:w="1070"/>
        <w:gridCol w:w="153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17799</Words>
  <Characters>100020</Characters>
  <CharactersWithSpaces>116740</CharactersWithSpaces>
  <Paragraphs>1925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