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2009d4_8k.htm"/>
      <w:bookmarkStart w:id="1" w:name="kstm2622009d4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803"/>
            <w:bookmarkEnd w:id="6"/>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bookmarkStart w:id="8" w:name="xdx_90F_edei--EntityAddressAddressLine1_"/>
            <w:bookmarkEnd w:id="8"/>
            <w:r>
              <w:rPr>
                <w:b/>
              </w:rPr>
              <w:t>9715 Key West Ave</w:t>
            </w:r>
          </w:p>
        </w:tc>
        <w:tc>
          <w:tcPr>
            <w:tcW w:w="965" w:type="dxa"/>
            <w:tcBorders/>
            <w:vAlign w:val="center"/>
          </w:tcPr>
          <w:p>
            <w:pPr>
              <w:pStyle w:val="TableContents"/>
              <w:bidi w:val="0"/>
              <w:spacing w:before="0" w:after="283"/>
              <w:jc w:val="center"/>
              <w:rPr>
                <w:b/>
              </w:rPr>
            </w:pPr>
            <w:bookmarkStart w:id="9" w:name="xdx_900_edei--EntityAddressCityOrTown_c2"/>
            <w:bookmarkEnd w:id="9"/>
            <w:r>
              <w:rPr>
                <w:b/>
              </w:rPr>
              <w:t>Rockville</w:t>
            </w:r>
          </w:p>
        </w:tc>
        <w:tc>
          <w:tcPr>
            <w:tcW w:w="425" w:type="dxa"/>
            <w:tcBorders/>
            <w:vAlign w:val="center"/>
          </w:tcPr>
          <w:p>
            <w:pPr>
              <w:pStyle w:val="TableContents"/>
              <w:bidi w:val="0"/>
              <w:spacing w:before="0" w:after="283"/>
              <w:jc w:val="center"/>
              <w:rPr>
                <w:b/>
              </w:rPr>
            </w:pPr>
            <w:bookmarkStart w:id="10" w:name="xdx_909_edei--EntityAddressStateOrProvin"/>
            <w:bookmarkEnd w:id="10"/>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4_edei--CityAreaCode_c20260803__20"/>
      <w:bookmarkEnd w:id="12"/>
      <w:r>
        <w:rPr>
          <w:rFonts w:ascii="Times New Roman;Times;Serif" w:hAnsi="Times New Roman;Times;Serif"/>
          <w:b/>
          <w:i w:val="false"/>
          <w:caps w:val="false"/>
          <w:smallCaps w:val="false"/>
          <w:sz w:val="20"/>
        </w:rPr>
        <w:t xml:space="preserve">301) </w:t>
      </w:r>
      <w:bookmarkStart w:id="13" w:name="xdx_90D_edei--LocalPhoneNumber_c20260803"/>
      <w:bookmarkEnd w:id="13"/>
      <w:r>
        <w:rPr>
          <w:rFonts w:ascii="Times New Roman;Times;Serif" w:hAnsi="Times New Roman;Times;Serif"/>
          <w:b/>
          <w:i w:val="false"/>
          <w:caps w:val="false"/>
          <w:smallCaps w:val="false"/>
          <w:sz w:val="20"/>
        </w:rPr>
        <w:t>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bookmarkStart w:id="14" w:name="xdx_904_edei--Security12bTitle_c20260803"/>
            <w:bookmarkEnd w:id="14"/>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bookmarkStart w:id="15" w:name="xdx_90E_edei--TradingSymbol_c20260803__2"/>
            <w:bookmarkEnd w:id="15"/>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 xml:space="preserve">The </w:t>
            </w:r>
            <w:bookmarkStart w:id="16" w:name="xdx_900_edei--SecurityExchangeName_c2026"/>
            <w:bookmarkEnd w:id="16"/>
            <w:r>
              <w:rPr>
                <w:rFonts w:ascii="Times New Roman;Times;Serif" w:hAnsi="Times New Roman;Times;Serif"/>
                <w:sz w:val="20"/>
              </w:rPr>
              <w:t>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sz w:val="20"/>
        </w:rPr>
      </w:pPr>
      <w:bookmarkStart w:id="17" w:name="xdx_900_edei--WrittenCommunications_c202"/>
      <w:bookmarkEnd w:id="17"/>
      <w:r>
        <w:rPr>
          <w:rFonts w:ascii="Wingdings" w:hAnsi="Wingdings"/>
          <w:sz w:val="20"/>
        </w:rPr>
        <w:t>x</w:t>
      </w:r>
      <w:r>
        <w:rPr>
          <w:sz w:val="20"/>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sz w:val="20"/>
        </w:rPr>
      </w:pPr>
      <w:bookmarkStart w:id="18" w:name="xdx_902_edei--SolicitingMaterial_c202608"/>
      <w:bookmarkEnd w:id="18"/>
      <w:r>
        <w:rPr>
          <w:rFonts w:ascii="Wingdings" w:hAnsi="Wingdings"/>
          <w:sz w:val="20"/>
        </w:rPr>
        <w:t>x</w:t>
      </w:r>
      <w:r>
        <w:rPr>
          <w:sz w:val="20"/>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9" w:name="xdx_904_edei--PreCommencementTenderOffer"/>
      <w:bookmarkEnd w:id="19"/>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20" w:name="xdx_90C_edei--PreCommencementIssuerTende"/>
      <w:bookmarkEnd w:id="20"/>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bookmarkStart w:id="21" w:name="xdx_903_edei--EntityEmergingGrowthCompan"/>
      <w:bookmarkEnd w:id="21"/>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August 3, 2026, Supernus Pharmaceuticals, Inc. (the “Company”) and Indivior Pharmaceuticals Inc. (“Indivior”) are hosting a conference call and webcast at 8:30 a.m., Eastern Time, to present information regarding the proposed merger of the Company and Indivior. The Company intends to display the slides filed as Exhibit 99.1 hereto during the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will be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will be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sz w:val="20"/>
              </w:rPr>
            </w:pPr>
            <w:r>
              <w:rPr>
                <w:sz w:val="20"/>
              </w:rPr>
              <w:t>(d)</w:t>
            </w:r>
          </w:p>
        </w:tc>
        <w:tc>
          <w:tcPr>
            <w:tcW w:w="725" w:type="dxa"/>
            <w:tcBorders/>
            <w:vAlign w:val="center"/>
          </w:tcPr>
          <w:p>
            <w:pPr>
              <w:pStyle w:val="TableContents"/>
              <w:bidi w:val="0"/>
              <w:spacing w:before="0" w:after="283"/>
              <w:jc w:val="both"/>
              <w:rPr>
                <w:sz w:val="20"/>
              </w:rPr>
            </w:pPr>
            <w:r>
              <w:rPr>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pPr>
      <w:hyperlink w:anchor="tm2622009d4_ex99-1.htm">
        <w:r>
          <w:rPr>
            <w:rStyle w:val="InternetLink"/>
            <w:rFonts w:ascii="Times New Roman;Times;Serif" w:hAnsi="Times New Roman;Times;Serif"/>
            <w:b w:val="false"/>
            <w:i w:val="false"/>
            <w:caps w:val="false"/>
            <w:smallCaps w:val="false"/>
            <w:sz w:val="20"/>
            <w:u w:val="single"/>
          </w:rPr>
          <w:t>Exhibit 99.1 - Investor Presentation, dated August 3, 2026.</w:t>
        </w:r>
      </w:hyperlink>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104 - The cover page from this Current Report on Form 8-K, formatted in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30"/>
        <w:gridCol w:w="320"/>
        <w:gridCol w:w="4025"/>
      </w:tblGrid>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sz w:val="20"/>
              </w:rPr>
            </w:pPr>
            <w:r>
              <w:rPr>
                <w:sz w:val="20"/>
              </w:rPr>
              <w:t>SUPERNUS PHARMACEUTICALS, INC.</w:t>
            </w:r>
          </w:p>
        </w:tc>
      </w:tr>
      <w:tr>
        <w:trPr/>
        <w:tc>
          <w:tcPr>
            <w:tcW w:w="203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August 3, 2026</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Timothy C. Dec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right"/>
        <w:rPr>
          <w:b/>
          <w:sz w:val="20"/>
        </w:rPr>
      </w:pPr>
      <w:bookmarkStart w:id="22" w:name="tm2622009d4_ex99-1.htm"/>
      <w:bookmarkStart w:id="23" w:name="kstm2622009d4_ex991"/>
      <w:bookmarkEnd w:id="22"/>
      <w:bookmarkEnd w:id="23"/>
      <w:r>
        <w:rPr>
          <w:b/>
          <w:sz w:val="20"/>
        </w:rPr>
        <w:t>Exhibit 99.1</w:t>
      </w:r>
      <w:r>
        <w:br w:type="page"/>
      </w:r>
    </w:p>
    <w:p>
      <w:pPr>
        <w:pStyle w:val="TextBody"/>
        <w:bidi w:val="0"/>
        <w:spacing w:before="0" w:after="0"/>
        <w:jc w:val="right"/>
        <w:rPr/>
      </w:pPr>
      <w:r>
        <w:rPr/>
        <w:t> </w:t>
      </w:r>
    </w:p>
    <w:p>
      <w:pPr>
        <w:pStyle w:val="TextBody"/>
        <w:bidi w:val="0"/>
        <w:spacing w:before="0" w:after="0"/>
        <w:jc w:val="right"/>
        <w:rPr>
          <w:b/>
          <w:sz w:val="20"/>
        </w:rPr>
      </w:pPr>
      <w:r>
        <w:rPr>
          <w:b/>
          <w:sz w:val="20"/>
        </w:rPr>
        <w:t>Filed by: Supernus Pharmaceuticals, Inc.</w:t>
        <w:br/>
        <w:t>Pursuant to Rule 425 under the Securities Act of 1933</w:t>
        <w:br/>
        <w:t xml:space="preserve">and deemed filed pursuant to Rule 14a-12 </w:t>
        <w:br/>
        <w:t xml:space="preserve">under the Securities Exchange Act of 1934 </w:t>
        <w:br/>
        <w:t xml:space="preserve">Subject Company: Supernus Pharmaceuticals, Inc. </w:t>
        <w:br/>
        <w:t xml:space="preserve">Commission File No.: 001-35518 </w:t>
        <w:br/>
        <w:t>Date: August 3, 2026</w:t>
      </w:r>
    </w:p>
    <w:p>
      <w:pPr>
        <w:pStyle w:val="TextBody"/>
        <w:bidi w:val="0"/>
        <w:jc w:val="right"/>
        <w:rPr/>
      </w:pPr>
      <w:r>
        <w:rPr/>
        <w:t> </w:t>
      </w:r>
    </w:p>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Merger of Equals to Create a Diversified CNS Biopharmaceutical Leader with Significant Scale AUGUST 3, 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Forward Looking Statements This presentation, and any related oral statements made by representatives of Supernus or Indivior in connection with it, contain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2</w:t>
            </w:r>
          </w:p>
        </w:tc>
      </w:tr>
    </w:tbl>
    <w:tbl>
      <w:tblPr>
        <w:tblW w:w="20323" w:type="dxa"/>
        <w:jc w:val="center"/>
        <w:tblInd w:w="0" w:type="dxa"/>
        <w:tblLayout w:type="fixed"/>
        <w:tblCellMar>
          <w:top w:w="0" w:type="dxa"/>
          <w:left w:w="0" w:type="dxa"/>
          <w:bottom w:w="0" w:type="dxa"/>
          <w:right w:w="0" w:type="dxa"/>
        </w:tblCellMar>
      </w:tblPr>
      <w:tblGrid>
        <w:gridCol w:w="23"/>
        <w:gridCol w:w="1999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Additional Information 3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Today's Presenters Jack Khattar President and Chief Executive Officer Supernus Pharmaceuticals Joe Ciaffoni Chief Executive Officer Indivior Pharmaceuticals Tim Dec Senior Vice President, Chief Financial Officer Supernus Pharmaceuticals 4</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Creating a Diversified CNS Biopharmaceutical Leader with Significant Scale Creates a CNS leader through the combination of two highly complementary businesses Combines two differentiated commercial portfolios, creating a portfolio of 11 medicines with key growth products currently expected to continue growing well into the 2030s Establishes four key commercial therapeutic areas in addiction, ADHD, postpartum depression, and Parkinson's disease, serving millions of patients Accelerates profitability and cash flow generation with expected annual cost synergies of at least $125 million Preserves balance sheet strength and enhances flexibility to pursue future business development and other growth opportunities Creates a $2.2Bn(1) CNS leader with a diversified portfolio and significant financial resources to accelerate growth opportunities 11 medicines 4 key therapeutic areas $125m anticipated run rate synergies 5 (1) Pro-forma combined net revenues for the 12 months ended June 30, 2026.</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Transaction Summary TRANSACTION STRUCTURE • 100% tax-free stock-for-stock merger • Supernus shareholders to receive 1.5401 Indivior shares for each Supernus share CASH DISTRIBUTION TO INDIVIOR SHAREHOLDERS • Prior to closing, Indivior will declare a dividend of $1B in the aggregate to pre-closing stockholders OWNERSHIP POST CLOSE • 56.5% Indivior shareholders • 43.5% Supernus shareholders GOVERNANCE AND LEADERSHIP • 4 Directors from Supernus / 4 Directors from Indivior, including Tony Kingsley, Non-executive Board Chair • President and Chief Executive Officer: Jack Khattar • Expanded current Supernus executive team NAME AND HEADQUARTERS • Company name: Supernus, Inc. • Headquarters: Rockville, Maryland TIMING AND APPROVALS • Targeted close Q4 2026 • Subject to approval of shareholders of both Supernus and Indivior • Subject to certain regulatory approvals and customary closing conditions 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(Epilepsy and Prophylaxis of Migraine) Combination Creates CNS Leader with a ~$2.2Bn⁽¹⁾ Diversified Portfolio of Commercial Assets G ADDICTION / USE DISORDERS PSYCHIATRY NEUROLOGY COMBINED COMPANY NET REVENUE LTM as of 6/30/26 $2,162 million INDIVIOR Total Sublocade $956 Suboxone Film (US) $227 Ex-US Suboxone Tablets and Film $119 Other $30 SUPERNUS Qelbree $329 Other $233 Gocovri $152 Zurzuvae $116 Diversified portfolio of 11 commercial products with 5 key growth drivers (1) $2,162m of pro forma combined net revenue for the twelve months ended 6/30/26. Note: Supernus Pharmaceuticals is jointly commercializing ZURZUVAE in the U.S. under a collaboration agreement with Biogen Inc. (Opioid Use Disorder) (Opioid Use Disorder) (ADHD) (Postpartum Depression) (Levodopa-Induced Dyskinesia) (Hypomobility / “Off” Episodes in Parkinson’s Disease) (Cervical Dystonia) (Partial-Onset Seizures) 7 Growth Products (Not promoted in the U.S.) ("Off” Episodes in Parkinson’s Disease) (Hypomobility / “Off” Episodes in Parkinson’s Disease)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Ideal Time to Build on Supernus and Indivior Strategic Progress Supernus Indivior STRATEGIC FOCUS • Expanding portfolio through growth of current commercial portfolio, business development, and advancement of mid- to late-stage innovative CNS pipeline • Successful track record of acquiring and integrating businesses • Leadership in developing and commercializing treatments to help people achieve long-term recovery from opioid use disorder (OUD) • Implemented 3-phase Indivior Action Agenda to grow SUBLOCADE, simplify the business, and strengthen financial position PROGRESS • Strengthened presence in neuropsychiatry with 2025 acquisition of Sage Therapeutics • Obtained FDA approval and launched ONAPGO for Parkinson’s disease (PD) • Generated significant free cash flow • Accelerated SUBLOCADE growth through improved commercial execution and DTC campaign • Simplified business resulting in reduction of operating expenses • Generated significant operating leverage Combined organization is well-positioned to drive the next phase of growth and value creation 8 PORTFOLIO • Commercial portfolio of 9 medicines across psychiatry and neurology • Growth products include Qelbree®, ZURZUVAE®, ONAPGO® and GOCOVRI® • Innovative pipeline assets in ADHD, depression, epilepsy and other CNS disorders • Commercial portfolio of 2 medicines in OUD • SUBLOCADE is the #1 prescribed, first-in-class, monthly long-acting injectable (LAI) for the treatment of moderate to severe OUD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Supernus CNS Pipeline to Drive Potential Long-Term Growth PROGRAM INDICATION DISCOVERY PRECLINICAL PHASE 1 PHASE 2 PHASE 3 FILING SPN-817 Epilepsy SPN-820 Depression SPN-443 ADHD Discovery CNS Wholly-owned CNS pipeline provides optionality beyond the commercial portfolio Note: Bar extent reflects the most advanced stage of development for each program. 9</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Pro Forma Key Financial Metrics LTM as of 6/30/26⁽¹⁾ · $ in millions $2,162m Total net revenue $888m Adjusted EBITDA⁽²⁾ 41% Adjusted EBITDA margin⁽²⁾ &lt;1x Net leverage⁽⁴⁾ Supernus Indivior PRO FORMA COMBINED COMPANY Total Net Revenue $830 $1,332 $2,162 Adjusted EBITDA $150 $613 $888⁽²⁾ Adjusted EBITDA Margin 18% 46% 41%⁽²⁾ Net Debt ($372) $251 $878⁽3⁾ Net Leverage Ratio (2.47x) 0.41x 0.99x⁽⁴⁾ (1) Side-by-side combined financials are presented for illustrative purposes only and have not been adjusted for accounting differences or purchase accounting. (2) Includes expected annual cost synergies of $125 million. (3) Pro forma net debt reflects reported net debt as of 6/30/26, adjusted for the addition of $650 million of debt assumed to be drawn to fund the dividend and the dividend payment. Pro forma net debt does not reflect transaction costs, financing fees, or costs to achieve synergies. (4) Pro forma net debt (gross debt less cash and cash equivalents) divided by LTM Adjusted EBITDA (Adjusted Operating Earnings), including expected annual cost synergies of at least $125 million. 10</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Value Creating Transaction Builds a diversified CNS biopharmaceutical leader with significant scale Enhances and diversifies growth profile Differentiated portfolio with key growth products expected to continue growing well into the 2030s Four key commercial therapeutic areas Increased scale and immediate significant cost synergies Greater flexibility and capacity to pursue growth initiatives Significant value creation for shareholders with upside from potential multiple expansion 11</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Accelerated Profitability and Cash Flow Generation Drives Greater Financial Flexibility Drive growth in commercial portfolio Invest behind SUBLOCADE, Qelbree, ZURZUVAE, ONAPGO and GOCOVRI Advance development pipeline Fund mid- to late-stage CNS programs through value-creating milestones Pursue future business development Expanded capacity for portfolio-expanding transactions 12</w:t>
            </w:r>
          </w:p>
        </w:tc>
      </w:tr>
    </w:tbl>
    <w:tbl>
      <w:tblPr>
        <w:tblW w:w="20068" w:type="dxa"/>
        <w:jc w:val="center"/>
        <w:tblInd w:w="0" w:type="dxa"/>
        <w:tblLayout w:type="fixed"/>
        <w:tblCellMar>
          <w:top w:w="0" w:type="dxa"/>
          <w:left w:w="0" w:type="dxa"/>
          <w:bottom w:w="0" w:type="dxa"/>
          <w:right w:w="0" w:type="dxa"/>
        </w:tblCellMar>
      </w:tblPr>
      <w:tblGrid>
        <w:gridCol w:w="23"/>
        <w:gridCol w:w="19995"/>
        <w:gridCol w:w="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Q&amp;A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3698</Words>
  <Characters>21533</Characters>
  <CharactersWithSpaces>25197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