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SCHEDULE 14A</w:t>
      </w:r>
    </w:p>
    <w:p>
      <w:pPr>
        <w:spacing w:after="0" w:line="162"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SECURITIES EXCHANGE ACT OF 1934</w:t>
      </w:r>
    </w:p>
    <w:p>
      <w:pPr>
        <w:spacing w:after="0" w:line="97" w:lineRule="exact"/>
        <w:rPr>
          <w:sz w:val="24"/>
          <w:szCs w:val="24"/>
          <w:color w:val="auto"/>
        </w:rPr>
      </w:pPr>
    </w:p>
    <w:p>
      <w:pPr>
        <w:ind w:left="400"/>
        <w:spacing w:after="0" w:line="207" w:lineRule="exact"/>
        <w:tabs>
          <w:tab w:leader="none" w:pos="29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158" w:lineRule="exact"/>
        <w:rPr>
          <w:sz w:val="24"/>
          <w:szCs w:val="24"/>
          <w:color w:val="auto"/>
        </w:rPr>
      </w:pPr>
    </w:p>
    <w:p>
      <w:pPr>
        <w:ind w:left="400"/>
        <w:spacing w:after="0" w:line="207" w:lineRule="exact"/>
        <w:tabs>
          <w:tab w:leader="none" w:pos="50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8"/>
          <w:szCs w:val="18"/>
          <w:color w:val="auto"/>
        </w:rPr>
        <w:t>☐</w:t>
      </w:r>
    </w:p>
    <w:p>
      <w:pPr>
        <w:spacing w:after="0" w:line="19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2" w:lineRule="exact"/>
        <w:rPr>
          <w:sz w:val="24"/>
          <w:szCs w:val="24"/>
          <w:color w:val="auto"/>
        </w:rPr>
      </w:pPr>
    </w:p>
    <w:p>
      <w:pPr>
        <w:ind w:left="760" w:hanging="360"/>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760" w:hanging="360"/>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760" w:hanging="360"/>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114935</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271780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760" w:hanging="360"/>
        <w:spacing w:after="0"/>
        <w:tabs>
          <w:tab w:leader="none" w:pos="7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760" w:hanging="360"/>
        <w:spacing w:after="0"/>
        <w:tabs>
          <w:tab w:leader="none" w:pos="7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760" w:hanging="360"/>
        <w:spacing w:after="0"/>
        <w:tabs>
          <w:tab w:leader="none" w:pos="7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3326765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 w:name="page2"/>
    <w:bookmarkEnd w:id="1"/>
    <w:p>
      <w:pPr>
        <w:ind w:left="288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9715 Key West Avenue</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Rockville, MD 20850</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168910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VIRTUAL MEETING ONLY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AT 10:00 A.M. EDT,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168910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To the Stockholders of Supernus Pharmaceuticals, Inc.:</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NOTICE IS HEREBY GIVEN THAT the 2022 Annual Meeting of the Stockholders of Supernus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Pharmaceuticals, Inc., a Delaware corporation (Supernus), will be held on Friday, June 17, 2022, at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10:00 A.M. Eastern Daylight Time. In light of the continuing coronavirus (COVID-19) pandemic, and in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consideration of the health and safety of our shareholders, directors, and employees, this year’s Annual</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Meeting will be held by means of a live webcast. You will be able to attend the Annual Meeting online, vote</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shares electronically and submit your questions prior to and during the meeting by visiting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meetnow.global/M59NRDM on the meeting date and at the time set forth above. There is no physical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location for the Annual Meeting. Your attendance at the virtual Annual Meeting affords you the same rights</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 opportunities to participate as you would have at an in-person annual meeting.</w:t>
      </w:r>
    </w:p>
    <w:p>
      <w:pPr>
        <w:spacing w:after="0" w:line="143" w:lineRule="exact"/>
        <w:rPr>
          <w:sz w:val="20"/>
          <w:szCs w:val="20"/>
          <w:color w:val="auto"/>
        </w:rPr>
      </w:pPr>
    </w:p>
    <w:p>
      <w:pPr>
        <w:ind w:left="400" w:right="1159" w:firstLine="360"/>
        <w:spacing w:after="0" w:line="277" w:lineRule="auto"/>
        <w:rPr>
          <w:sz w:val="20"/>
          <w:szCs w:val="20"/>
          <w:color w:val="auto"/>
        </w:rPr>
      </w:pPr>
      <w:r>
        <w:rPr>
          <w:rFonts w:ascii="Arial" w:cs="Arial" w:eastAsia="Arial" w:hAnsi="Arial"/>
          <w:sz w:val="18"/>
          <w:szCs w:val="18"/>
          <w:color w:val="auto"/>
        </w:rPr>
        <w:t>At the 2022 Annual Meeting of Stockholders, you will be asked to consider and vote upon the following matters:</w:t>
      </w:r>
    </w:p>
    <w:p>
      <w:pPr>
        <w:spacing w:after="0" w:line="103" w:lineRule="exact"/>
        <w:rPr>
          <w:sz w:val="20"/>
          <w:szCs w:val="20"/>
          <w:color w:val="auto"/>
        </w:rPr>
      </w:pPr>
    </w:p>
    <w:p>
      <w:pPr>
        <w:ind w:left="1120" w:right="699" w:hanging="36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(2) directors to hold office for the ensuing three (3) years and until their successors have been duly elected and qualified;</w:t>
      </w:r>
    </w:p>
    <w:p>
      <w:pPr>
        <w:spacing w:after="0" w:line="89" w:lineRule="exact"/>
        <w:rPr>
          <w:rFonts w:ascii="Arial" w:cs="Arial" w:eastAsia="Arial" w:hAnsi="Arial"/>
          <w:sz w:val="18"/>
          <w:szCs w:val="18"/>
          <w:color w:val="auto"/>
        </w:rPr>
      </w:pPr>
    </w:p>
    <w:p>
      <w:pPr>
        <w:ind w:left="1120" w:right="559" w:hanging="36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2022;</w:t>
      </w:r>
    </w:p>
    <w:p>
      <w:pPr>
        <w:spacing w:after="0" w:line="102" w:lineRule="exact"/>
        <w:rPr>
          <w:rFonts w:ascii="Arial" w:cs="Arial" w:eastAsia="Arial" w:hAnsi="Arial"/>
          <w:sz w:val="18"/>
          <w:szCs w:val="18"/>
          <w:color w:val="auto"/>
        </w:rPr>
      </w:pPr>
    </w:p>
    <w:p>
      <w:pPr>
        <w:ind w:left="1120" w:hanging="360"/>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on a non-binding basis, the compensation paid to our named executive officers; and</w:t>
      </w:r>
    </w:p>
    <w:p>
      <w:pPr>
        <w:spacing w:after="0" w:line="169" w:lineRule="exact"/>
        <w:rPr>
          <w:rFonts w:ascii="Arial" w:cs="Arial" w:eastAsia="Arial" w:hAnsi="Arial"/>
          <w:sz w:val="17"/>
          <w:szCs w:val="17"/>
          <w:color w:val="auto"/>
        </w:rPr>
      </w:pPr>
    </w:p>
    <w:p>
      <w:pPr>
        <w:ind w:left="1120" w:right="1279" w:hanging="36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adjournments thereof.</w:t>
      </w:r>
    </w:p>
    <w:p>
      <w:pPr>
        <w:spacing w:after="0" w:line="89" w:lineRule="exact"/>
        <w:rPr>
          <w:sz w:val="20"/>
          <w:szCs w:val="20"/>
          <w:color w:val="auto"/>
        </w:rPr>
      </w:pPr>
    </w:p>
    <w:p>
      <w:pPr>
        <w:ind w:left="400" w:right="439" w:firstLine="360"/>
        <w:spacing w:after="0" w:line="255" w:lineRule="auto"/>
        <w:rPr>
          <w:sz w:val="20"/>
          <w:szCs w:val="20"/>
          <w:color w:val="auto"/>
        </w:rPr>
      </w:pPr>
      <w:r>
        <w:rPr>
          <w:rFonts w:ascii="Arial" w:cs="Arial" w:eastAsia="Arial" w:hAnsi="Arial"/>
          <w:sz w:val="18"/>
          <w:szCs w:val="18"/>
          <w:color w:val="auto"/>
        </w:rPr>
        <w:t>The Board of Directors has fixed the close of business on April 18, 2022,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w:t>
      </w:r>
    </w:p>
    <w:p>
      <w:pPr>
        <w:spacing w:after="0" w:line="125" w:lineRule="exact"/>
        <w:rPr>
          <w:sz w:val="20"/>
          <w:szCs w:val="20"/>
          <w:color w:val="auto"/>
        </w:rPr>
      </w:pPr>
    </w:p>
    <w:p>
      <w:pPr>
        <w:ind w:left="400" w:right="439" w:firstLine="360"/>
        <w:spacing w:after="0" w:line="253" w:lineRule="auto"/>
        <w:rPr>
          <w:sz w:val="20"/>
          <w:szCs w:val="20"/>
          <w:color w:val="auto"/>
        </w:rPr>
      </w:pPr>
      <w:r>
        <w:rPr>
          <w:rFonts w:ascii="Arial" w:cs="Arial" w:eastAsia="Arial" w:hAnsi="Arial"/>
          <w:sz w:val="18"/>
          <w:szCs w:val="18"/>
          <w:color w:val="auto"/>
        </w:rPr>
        <w:t>THE BOARD OF DIRECTORS IS SOLICITING PROXIES TO BE USED AT THE 2022 ANNUAL MEETING OF STOCKHOLDERS. ALL OF OUR STOCKHOLDERS ARE CORDIALLY INVITED TO ATTEND THE ANNUAL MEETING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IN ADVANCE WILL NOT AFFECT YOUR RIGHT TO VOTE AT THE ANNUAL MEETING IF YOU ATTEND VIA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918210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 w:name="page3"/>
    <w:bookmarkEnd w:id="2"/>
    <w:p>
      <w:pPr>
        <w:jc w:val="both"/>
        <w:ind w:left="400" w:right="579" w:firstLine="360"/>
        <w:spacing w:after="0" w:line="259" w:lineRule="auto"/>
        <w:rPr>
          <w:sz w:val="20"/>
          <w:szCs w:val="20"/>
          <w:color w:val="auto"/>
        </w:rPr>
      </w:pPr>
      <w:r>
        <w:rPr>
          <w:rFonts w:ascii="Arial" w:cs="Arial" w:eastAsia="Arial" w:hAnsi="Arial"/>
          <w:sz w:val="18"/>
          <w:szCs w:val="18"/>
          <w:color w:val="auto"/>
        </w:rPr>
        <w:t>IMPORTANT NOTICE REGARDING THE AVAILABILITY OF PROXY MATERIALS FOR THE ANNUAL MEETING OF STOCKHOLDERS TO BE HELD ON JUNE 17, 2022. THE NOTICE OF THE ANNUAL MEETING OF STOCKHOLDERS, PROXY STATEMENT AND 2021 ANNUAL REPORT TO STOCKHOLDERS ARE AVAILABLE AT: www.edocumentview.com/SUPN.</w:t>
      </w:r>
    </w:p>
    <w:p>
      <w:pPr>
        <w:spacing w:after="0" w:line="18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176530</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xml:space="preserve">Jack A. Khattar, </w:t>
      </w:r>
      <w:r>
        <w:rPr>
          <w:rFonts w:ascii="Arial" w:cs="Arial" w:eastAsia="Arial" w:hAnsi="Arial"/>
          <w:sz w:val="18"/>
          <w:szCs w:val="18"/>
          <w:i w:val="1"/>
          <w:iCs w:val="1"/>
          <w:color w:val="auto"/>
        </w:rPr>
        <w:t>Secretary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6251575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9715 Key West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MD 20850</w:t>
      </w:r>
    </w:p>
    <w:p>
      <w:pPr>
        <w:spacing w:after="0" w:line="9" w:lineRule="exact"/>
        <w:rPr>
          <w:sz w:val="20"/>
          <w:szCs w:val="20"/>
          <w:color w:val="auto"/>
        </w:rPr>
      </w:pPr>
    </w:p>
    <w:p>
      <w:pPr>
        <w:ind w:left="4380" w:hanging="413"/>
        <w:spacing w:after="0"/>
        <w:tabs>
          <w:tab w:leader="none" w:pos="43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838-2500</w:t>
      </w:r>
    </w:p>
    <w:p>
      <w:pPr>
        <w:spacing w:after="0" w:line="218" w:lineRule="exact"/>
        <w:rPr>
          <w:rFonts w:ascii="Arial" w:cs="Arial" w:eastAsia="Arial" w:hAnsi="Arial"/>
          <w:sz w:val="17"/>
          <w:szCs w:val="17"/>
          <w:b w:val="1"/>
          <w:bCs w:val="1"/>
          <w:color w:val="auto"/>
        </w:rPr>
      </w:pPr>
    </w:p>
    <w:p>
      <w:pPr>
        <w:ind w:left="37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DATED MAY 2,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48" w:lineRule="exact"/>
        <w:rPr>
          <w:sz w:val="20"/>
          <w:szCs w:val="20"/>
          <w:color w:val="auto"/>
        </w:rPr>
      </w:pPr>
    </w:p>
    <w:p>
      <w:pPr>
        <w:ind w:left="400" w:right="499" w:firstLine="360"/>
        <w:spacing w:after="0" w:line="255" w:lineRule="auto"/>
        <w:rPr>
          <w:sz w:val="20"/>
          <w:szCs w:val="20"/>
          <w:color w:val="auto"/>
        </w:rPr>
      </w:pPr>
      <w:r>
        <w:rPr>
          <w:rFonts w:ascii="Arial" w:cs="Arial" w:eastAsia="Arial" w:hAnsi="Arial"/>
          <w:sz w:val="18"/>
          <w:szCs w:val="18"/>
          <w:color w:val="auto"/>
        </w:rPr>
        <w:t>This Proxy Statement is furnished with the attached Notice of Annual Meeting on or about May 2, 2022, to each stockholder of record of Supernus Pharmaceuticals, Inc. (Supernus or the Company) as of the close of business on April 18, 2022 (Record Date), in connection with the solicitation of proxies by the Board of Directors to be voted at the Annual Meeting of Stockholders (Annual Meeting) of the Company to be held virtually via a webcast on June 17, 2022, at 10:00 A.M. Eastern Daylight Time, and at any adjournment or adjournments thereof for the purposes stated below.</w:t>
      </w:r>
    </w:p>
    <w:p>
      <w:pPr>
        <w:spacing w:after="0" w:line="125" w:lineRule="exact"/>
        <w:rPr>
          <w:sz w:val="20"/>
          <w:szCs w:val="20"/>
          <w:color w:val="auto"/>
        </w:rPr>
      </w:pPr>
    </w:p>
    <w:p>
      <w:pPr>
        <w:ind w:left="400" w:right="539" w:firstLine="360"/>
        <w:spacing w:after="0" w:line="279" w:lineRule="auto"/>
        <w:rPr>
          <w:sz w:val="20"/>
          <w:szCs w:val="20"/>
          <w:color w:val="auto"/>
        </w:rPr>
      </w:pPr>
      <w:r>
        <w:rPr>
          <w:rFonts w:ascii="Arial" w:cs="Arial" w:eastAsia="Arial" w:hAnsi="Arial"/>
          <w:sz w:val="17"/>
          <w:szCs w:val="17"/>
          <w:color w:val="auto"/>
        </w:rPr>
        <w:t>Only stockholders of record as of the close of business on the Record Date will be entitled to vote on all matters presented for vote at the Annual Meeting. At the close of business on April 18, 2022, the total number of shares of our common stock (Common Stock) outstanding was 53,407,811 shares. Each share of Common Stock will be entitled to one vote per share on all business to come before the Annual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62" w:lineRule="exact"/>
        <w:rPr>
          <w:sz w:val="20"/>
          <w:szCs w:val="20"/>
          <w:color w:val="auto"/>
        </w:rPr>
      </w:pPr>
    </w:p>
    <w:p>
      <w:pPr>
        <w:ind w:left="400" w:right="439" w:firstLine="360"/>
        <w:spacing w:after="0" w:line="271" w:lineRule="auto"/>
        <w:rPr>
          <w:sz w:val="20"/>
          <w:szCs w:val="20"/>
          <w:color w:val="auto"/>
        </w:rPr>
      </w:pPr>
      <w:r>
        <w:rPr>
          <w:rFonts w:ascii="Arial" w:cs="Arial" w:eastAsia="Arial" w:hAnsi="Arial"/>
          <w:sz w:val="17"/>
          <w:szCs w:val="17"/>
          <w:color w:val="auto"/>
        </w:rPr>
        <w:t>On or about May 9, 2022, we will mail to stockholders a Notice Regarding the Availability of Proxy Materials. Stockholders may access the proxy materials, which include the Notice of Annual Meeting of Stockholders, Proxy Statement and 2021 Annual Report on the Internet at www.edocumentview.com/SUPN. You can also request that a paper copy of the proxy materials be mailed 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w:t>
      </w:r>
    </w:p>
    <w:p>
      <w:pPr>
        <w:spacing w:after="0" w:line="97" w:lineRule="exact"/>
        <w:rPr>
          <w:sz w:val="20"/>
          <w:szCs w:val="20"/>
          <w:color w:val="auto"/>
        </w:rPr>
      </w:pPr>
    </w:p>
    <w:p>
      <w:pPr>
        <w:ind w:left="400" w:right="499" w:firstLine="360"/>
        <w:spacing w:after="0" w:line="259" w:lineRule="auto"/>
        <w:rPr>
          <w:sz w:val="20"/>
          <w:szCs w:val="20"/>
          <w:color w:val="auto"/>
        </w:rPr>
      </w:pPr>
      <w:r>
        <w:rPr>
          <w:rFonts w:ascii="Arial" w:cs="Arial" w:eastAsia="Arial" w:hAnsi="Arial"/>
          <w:sz w:val="18"/>
          <w:szCs w:val="18"/>
          <w:color w:val="auto"/>
        </w:rPr>
        <w:t>The Annual Meeting will be a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19" w:lineRule="exact"/>
        <w:rPr>
          <w:sz w:val="20"/>
          <w:szCs w:val="20"/>
          <w:color w:val="auto"/>
        </w:rPr>
      </w:pPr>
    </w:p>
    <w:p>
      <w:pPr>
        <w:ind w:left="400" w:right="519" w:firstLine="360"/>
        <w:spacing w:after="0" w:line="257" w:lineRule="auto"/>
        <w:rPr>
          <w:sz w:val="20"/>
          <w:szCs w:val="20"/>
          <w:color w:val="auto"/>
        </w:rPr>
      </w:pPr>
      <w:r>
        <w:rPr>
          <w:rFonts w:ascii="Arial" w:cs="Arial" w:eastAsia="Arial" w:hAnsi="Arial"/>
          <w:sz w:val="18"/>
          <w:szCs w:val="18"/>
          <w:color w:val="auto"/>
        </w:rPr>
        <w:t>You will be able to attend the Annual Meeting online and submit your questions during the meeting by visiting meetnow.global/M59NRDM.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w:t>
      </w:r>
    </w:p>
    <w:p>
      <w:pPr>
        <w:spacing w:after="0" w:line="120" w:lineRule="exact"/>
        <w:rPr>
          <w:sz w:val="20"/>
          <w:szCs w:val="20"/>
          <w:color w:val="auto"/>
        </w:rPr>
      </w:pPr>
    </w:p>
    <w:p>
      <w:pPr>
        <w:ind w:left="400" w:right="679" w:firstLine="360"/>
        <w:spacing w:after="0" w:line="263" w:lineRule="auto"/>
        <w:rPr>
          <w:sz w:val="20"/>
          <w:szCs w:val="20"/>
          <w:color w:val="auto"/>
        </w:rPr>
      </w:pPr>
      <w:r>
        <w:rPr>
          <w:rFonts w:ascii="Arial" w:cs="Arial" w:eastAsia="Arial" w:hAnsi="Arial"/>
          <w:sz w:val="18"/>
          <w:szCs w:val="18"/>
          <w:color w:val="auto"/>
        </w:rPr>
        <w:t>The online meeting will begin promptly at 10:00 A.M. Eastern Daylight Time, on June 17, 2022. We encourage you to access the meeting prior to the start time leaving ample time for the check in process. Please follow the registration instructions as outlined in this Proxy Statement.</w:t>
      </w:r>
    </w:p>
    <w:p>
      <w:pPr>
        <w:spacing w:after="0" w:line="103" w:lineRule="exact"/>
        <w:rPr>
          <w:sz w:val="20"/>
          <w:szCs w:val="20"/>
          <w:color w:val="auto"/>
        </w:rPr>
      </w:pPr>
    </w:p>
    <w:p>
      <w:pPr>
        <w:ind w:left="400" w:right="439" w:firstLine="360"/>
        <w:spacing w:after="0" w:line="269"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live webcast and listen-only audio. If you encounter any difficulties accessing the live webcast and listen-only audio before or during the Annual Meeting please call 1-888-724-2416 (toll free). Technical support will be available starting at 9:00 A.M. Eastern Daylight Time, on June 17, 2022, and will remain available until thirty minutes after the Annual Meeting has finished. 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and reliable internet connection wherever they intend to participate in the Annual Meeting. Participants should also give themselves sufficient time to log in and ensure that they can hear audio prior to the start of the Annual Meeting.</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 w:name="page5"/>
    <w:bookmarkEnd w:id="4"/>
    <w:p>
      <w:pPr>
        <w:ind w:left="400" w:right="619" w:firstLine="360"/>
        <w:spacing w:after="0" w:line="263" w:lineRule="auto"/>
        <w:rPr>
          <w:sz w:val="20"/>
          <w:szCs w:val="20"/>
          <w:color w:val="auto"/>
        </w:rPr>
      </w:pPr>
      <w:r>
        <w:rPr>
          <w:rFonts w:ascii="Arial" w:cs="Arial" w:eastAsia="Arial" w:hAnsi="Arial"/>
          <w:sz w:val="18"/>
          <w:szCs w:val="18"/>
          <w:color w:val="auto"/>
        </w:rPr>
        <w:t>If you are a registered shareholder (i.e., you hold your shares through our transfer agent, Computershare), you do not need to register to attend the Annual Meeting virtually on the Internet. Please follow the instructions on the Notice card that you received.</w:t>
      </w:r>
    </w:p>
    <w:p>
      <w:pPr>
        <w:spacing w:after="0" w:line="103" w:lineRule="exact"/>
        <w:rPr>
          <w:sz w:val="20"/>
          <w:szCs w:val="20"/>
          <w:color w:val="auto"/>
        </w:rPr>
      </w:pPr>
    </w:p>
    <w:p>
      <w:pPr>
        <w:ind w:left="400" w:right="499" w:firstLine="360"/>
        <w:spacing w:after="0" w:line="270" w:lineRule="auto"/>
        <w:rPr>
          <w:sz w:val="20"/>
          <w:szCs w:val="20"/>
          <w:color w:val="auto"/>
        </w:rPr>
      </w:pPr>
      <w:r>
        <w:rPr>
          <w:rFonts w:ascii="Arial" w:cs="Arial" w:eastAsia="Arial" w:hAnsi="Arial"/>
          <w:sz w:val="17"/>
          <w:szCs w:val="17"/>
          <w:color w:val="auto"/>
        </w:rPr>
        <w:t>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10, 2022.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 AND REQUIRED VOTE</w:t>
      </w:r>
    </w:p>
    <w:p>
      <w:pPr>
        <w:spacing w:after="0" w:line="162"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8"/>
          <w:szCs w:val="18"/>
          <w:color w:val="auto"/>
        </w:rPr>
        <w:t>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124" w:lineRule="exact"/>
        <w:rPr>
          <w:sz w:val="20"/>
          <w:szCs w:val="20"/>
          <w:color w:val="auto"/>
        </w:rPr>
      </w:pPr>
    </w:p>
    <w:p>
      <w:pPr>
        <w:ind w:left="400" w:right="459" w:firstLine="360"/>
        <w:spacing w:after="0" w:line="255" w:lineRule="auto"/>
        <w:rPr>
          <w:sz w:val="20"/>
          <w:szCs w:val="20"/>
          <w:color w:val="auto"/>
        </w:rPr>
      </w:pPr>
      <w:r>
        <w:rPr>
          <w:rFonts w:ascii="Arial" w:cs="Arial" w:eastAsia="Arial" w:hAnsi="Arial"/>
          <w:sz w:val="18"/>
          <w:szCs w:val="18"/>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11" w:lineRule="exact"/>
        <w:rPr>
          <w:sz w:val="20"/>
          <w:szCs w:val="20"/>
          <w:color w:val="auto"/>
        </w:rPr>
      </w:pPr>
    </w:p>
    <w:p>
      <w:pPr>
        <w:ind w:left="400" w:right="619" w:firstLine="360"/>
        <w:spacing w:after="0" w:line="259" w:lineRule="auto"/>
        <w:rPr>
          <w:sz w:val="20"/>
          <w:szCs w:val="20"/>
          <w:color w:val="auto"/>
        </w:rPr>
      </w:pPr>
      <w:r>
        <w:rPr>
          <w:rFonts w:ascii="Arial" w:cs="Arial" w:eastAsia="Arial" w:hAnsi="Arial"/>
          <w:sz w:val="18"/>
          <w:szCs w:val="18"/>
          <w:color w:val="auto"/>
        </w:rPr>
        <w:t>An affirmative vote of the majority of the votes cast, present in person or by proxy at the meeting, is required for the approval of Proposals 2 and 3. Abstentions will have no effect on the outcome of the vote with respect to Proposals 2 and 3, and broker non-votes will have no effect on the outcome of these proposals.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REVOCABILITY OF PROXY</w:t>
      </w:r>
    </w:p>
    <w:p>
      <w:pPr>
        <w:spacing w:after="0" w:line="162" w:lineRule="exact"/>
        <w:rPr>
          <w:sz w:val="20"/>
          <w:szCs w:val="20"/>
          <w:color w:val="auto"/>
        </w:rPr>
      </w:pPr>
    </w:p>
    <w:p>
      <w:pPr>
        <w:ind w:left="400" w:right="539" w:firstLine="360"/>
        <w:spacing w:after="0" w:line="286" w:lineRule="auto"/>
        <w:rPr>
          <w:sz w:val="20"/>
          <w:szCs w:val="20"/>
          <w:color w:val="auto"/>
        </w:rPr>
      </w:pPr>
      <w:r>
        <w:rPr>
          <w:rFonts w:ascii="Arial" w:cs="Arial" w:eastAsia="Arial" w:hAnsi="Arial"/>
          <w:sz w:val="17"/>
          <w:szCs w:val="17"/>
          <w:color w:val="auto"/>
        </w:rPr>
        <w:t>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w:t>
      </w:r>
    </w:p>
    <w:p>
      <w:pPr>
        <w:spacing w:after="0" w:line="98" w:lineRule="exact"/>
        <w:rPr>
          <w:sz w:val="20"/>
          <w:szCs w:val="20"/>
          <w:color w:val="auto"/>
        </w:rPr>
      </w:pPr>
    </w:p>
    <w:p>
      <w:pPr>
        <w:ind w:left="400" w:right="479" w:firstLine="360"/>
        <w:spacing w:after="0" w:line="259" w:lineRule="auto"/>
        <w:rPr>
          <w:sz w:val="20"/>
          <w:szCs w:val="20"/>
          <w:color w:val="auto"/>
        </w:rPr>
      </w:pPr>
      <w:r>
        <w:rPr>
          <w:rFonts w:ascii="Arial" w:cs="Arial" w:eastAsia="Arial" w:hAnsi="Arial"/>
          <w:sz w:val="18"/>
          <w:szCs w:val="18"/>
          <w:color w:val="auto"/>
        </w:rPr>
        <w:t>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DISSENTER’S RIGHT OF APPRAISAL</w:t>
      </w:r>
    </w:p>
    <w:p>
      <w:pPr>
        <w:spacing w:after="0" w:line="148" w:lineRule="exact"/>
        <w:rPr>
          <w:sz w:val="20"/>
          <w:szCs w:val="20"/>
          <w:color w:val="auto"/>
        </w:rPr>
      </w:pPr>
    </w:p>
    <w:p>
      <w:pPr>
        <w:ind w:left="400" w:right="619" w:firstLine="360"/>
        <w:spacing w:after="0" w:line="277" w:lineRule="auto"/>
        <w:rPr>
          <w:sz w:val="20"/>
          <w:szCs w:val="20"/>
          <w:color w:val="auto"/>
        </w:rPr>
      </w:pPr>
      <w:r>
        <w:rPr>
          <w:rFonts w:ascii="Arial" w:cs="Arial" w:eastAsia="Arial" w:hAnsi="Arial"/>
          <w:sz w:val="18"/>
          <w:szCs w:val="18"/>
          <w:color w:val="auto"/>
        </w:rPr>
        <w:t>The matters submitted to the stockholders for their approval will not give rise to dissenter’s appraisal rights under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PERSONS MAKING THE SOLICITATION</w:t>
      </w:r>
    </w:p>
    <w:p>
      <w:pPr>
        <w:spacing w:after="0" w:line="148" w:lineRule="exact"/>
        <w:rPr>
          <w:sz w:val="20"/>
          <w:szCs w:val="20"/>
          <w:color w:val="auto"/>
        </w:rPr>
      </w:pPr>
    </w:p>
    <w:p>
      <w:pPr>
        <w:ind w:left="400" w:right="419" w:firstLine="360"/>
        <w:spacing w:after="0" w:line="272" w:lineRule="auto"/>
        <w:rPr>
          <w:sz w:val="20"/>
          <w:szCs w:val="20"/>
          <w:color w:val="auto"/>
        </w:rPr>
      </w:pPr>
      <w:r>
        <w:rPr>
          <w:rFonts w:ascii="Arial" w:cs="Arial" w:eastAsia="Arial" w:hAnsi="Arial"/>
          <w:sz w:val="17"/>
          <w:szCs w:val="17"/>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VOTING SECURITIES AND PRINCIPAL STOCKHOLDERS</w:t>
      </w:r>
    </w:p>
    <w:p>
      <w:pPr>
        <w:spacing w:after="0" w:line="135" w:lineRule="exact"/>
        <w:rPr>
          <w:sz w:val="20"/>
          <w:szCs w:val="20"/>
          <w:color w:val="auto"/>
        </w:rPr>
      </w:pPr>
    </w:p>
    <w:p>
      <w:pPr>
        <w:ind w:left="400" w:right="479" w:firstLine="360"/>
        <w:spacing w:after="0" w:line="22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April 18, 2022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w:t>
      </w:r>
    </w:p>
    <w:p>
      <w:pPr>
        <w:spacing w:after="0" w:line="121" w:lineRule="exact"/>
        <w:rPr>
          <w:sz w:val="20"/>
          <w:szCs w:val="20"/>
          <w:color w:val="auto"/>
        </w:rPr>
      </w:pPr>
    </w:p>
    <w:p>
      <w:pPr>
        <w:ind w:left="400" w:right="499" w:firstLine="360"/>
        <w:spacing w:after="0" w:line="252" w:lineRule="auto"/>
        <w:rPr>
          <w:sz w:val="20"/>
          <w:szCs w:val="20"/>
          <w:color w:val="auto"/>
        </w:rPr>
      </w:pPr>
      <w:r>
        <w:rPr>
          <w:rFonts w:ascii="Arial" w:cs="Arial" w:eastAsia="Arial" w:hAnsi="Arial"/>
          <w:sz w:val="17"/>
          <w:szCs w:val="17"/>
          <w:color w:val="auto"/>
        </w:rPr>
        <w:t>Beneficial ownership is determined in accordance with the rules and regulations of the United States Securities and Exchange Commission (SEC) . In computing the number of shares beneficially owned by a person and the percentage ownership of that person, shares of common stock subject to options held by that person that are currently exercisable or exercisable within sixty (60) days of April 18, 2022, are deemed outstanding. These shares, however, are not deemed outstanding for the purposes of computing</w:t>
      </w:r>
    </w:p>
    <w:p>
      <w:pPr>
        <w:spacing w:after="0" w:line="2" w:lineRule="exact"/>
        <w:rPr>
          <w:sz w:val="20"/>
          <w:szCs w:val="20"/>
          <w:color w:val="auto"/>
        </w:rPr>
      </w:pPr>
    </w:p>
    <w:p>
      <w:pPr>
        <w:jc w:val="both"/>
        <w:ind w:left="400" w:right="439"/>
        <w:spacing w:after="0" w:line="260" w:lineRule="auto"/>
        <w:rPr>
          <w:sz w:val="20"/>
          <w:szCs w:val="20"/>
          <w:color w:val="auto"/>
        </w:rPr>
      </w:pPr>
      <w:r>
        <w:rPr>
          <w:rFonts w:ascii="Arial" w:cs="Arial" w:eastAsia="Arial" w:hAnsi="Arial"/>
          <w:sz w:val="17"/>
          <w:szCs w:val="17"/>
          <w:color w:val="auto"/>
        </w:rPr>
        <w:t>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pacing w:after="0" w:line="123"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Shares</w:t>
            </w:r>
          </w:p>
        </w:tc>
      </w:t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of Common 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of Common Stock</w:t>
            </w:r>
          </w:p>
        </w:tc>
      </w:tr>
      <w:tr>
        <w:trPr>
          <w:trHeight w:val="18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Beneficially Owned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w:t>
            </w:r>
          </w:p>
        </w:tc>
      </w:tr>
      <w:tr>
        <w:trPr>
          <w:trHeight w:val="26"/>
        </w:trPr>
        <w:tc>
          <w:tcPr>
            <w:tcW w:w="5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2"/>
        </w:trPr>
        <w:tc>
          <w:tcPr>
            <w:tcW w:w="5560" w:type="dxa"/>
            <w:vAlign w:val="bottom"/>
            <w:gridSpan w:val="2"/>
          </w:tcPr>
          <w:p>
            <w:pPr>
              <w:spacing w:after="0" w:line="242" w:lineRule="exact"/>
              <w:rPr>
                <w:sz w:val="20"/>
                <w:szCs w:val="20"/>
                <w:color w:val="auto"/>
              </w:rPr>
            </w:pPr>
            <w:r>
              <w:rPr>
                <w:rFonts w:ascii="Arial" w:cs="Arial" w:eastAsia="Arial" w:hAnsi="Arial"/>
                <w:sz w:val="18"/>
                <w:szCs w:val="18"/>
                <w:color w:val="auto"/>
              </w:rPr>
              <w:t>BlackRock, Inc. and its affiliates</w:t>
            </w:r>
            <w:r>
              <w:rPr>
                <w:rFonts w:ascii="Arial" w:cs="Arial" w:eastAsia="Arial" w:hAnsi="Arial"/>
                <w:sz w:val="23"/>
                <w:szCs w:val="23"/>
                <w:color w:val="auto"/>
                <w:vertAlign w:val="superscript"/>
              </w:rPr>
              <w:t>(1)</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8,451,022</w:t>
            </w:r>
          </w:p>
        </w:tc>
        <w:tc>
          <w:tcPr>
            <w:tcW w:w="220" w:type="dxa"/>
            <w:vAlign w:val="bottom"/>
          </w:tcPr>
          <w:p>
            <w:pPr>
              <w:spacing w:after="0"/>
              <w:rPr>
                <w:sz w:val="21"/>
                <w:szCs w:val="21"/>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15.8%</w:t>
            </w:r>
          </w:p>
        </w:tc>
      </w:tr>
      <w:tr>
        <w:trPr>
          <w:trHeight w:val="216"/>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New York, NY 10055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and its affiliates</w:t>
            </w:r>
            <w:r>
              <w:rPr>
                <w:rFonts w:ascii="Arial" w:cs="Arial" w:eastAsia="Arial" w:hAnsi="Arial"/>
                <w:sz w:val="23"/>
                <w:szCs w:val="23"/>
                <w:color w:val="auto"/>
                <w:vertAlign w:val="superscript"/>
              </w:rPr>
              <w:t>(2)</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5,513,149</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10.3%</w:t>
            </w:r>
          </w:p>
        </w:tc>
      </w:tr>
      <w:tr>
        <w:trPr>
          <w:trHeight w:val="21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4"/>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350"/>
        </w:trPr>
        <w:tc>
          <w:tcPr>
            <w:tcW w:w="5560" w:type="dxa"/>
            <w:vAlign w:val="bottom"/>
            <w:gridSpan w:val="2"/>
          </w:tcPr>
          <w:p>
            <w:pPr>
              <w:spacing w:after="0"/>
              <w:rPr>
                <w:sz w:val="20"/>
                <w:szCs w:val="20"/>
                <w:color w:val="auto"/>
              </w:rPr>
            </w:pPr>
            <w:r>
              <w:rPr>
                <w:rFonts w:ascii="Arial" w:cs="Arial" w:eastAsia="Arial" w:hAnsi="Arial"/>
                <w:sz w:val="18"/>
                <w:szCs w:val="18"/>
                <w:color w:val="auto"/>
              </w:rPr>
              <w:t>Armistice Capital, LLC</w:t>
            </w:r>
            <w:r>
              <w:rPr>
                <w:rFonts w:ascii="Arial" w:cs="Arial" w:eastAsia="Arial" w:hAnsi="Arial"/>
                <w:sz w:val="23"/>
                <w:szCs w:val="23"/>
                <w:color w:val="auto"/>
                <w:vertAlign w:val="superscript"/>
              </w:rPr>
              <w:t>(3)</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4,136,000</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7.7%</w:t>
            </w:r>
          </w:p>
        </w:tc>
      </w:tr>
      <w:tr>
        <w:trPr>
          <w:trHeight w:val="216"/>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510 Madison Avenue, 7th Floor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New York, NY 10022</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1"/>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83"/>
        </w:trPr>
        <w:tc>
          <w:tcPr>
            <w:tcW w:w="5560" w:type="dxa"/>
            <w:vAlign w:val="bottom"/>
            <w:gridSpan w:val="2"/>
          </w:tcPr>
          <w:p>
            <w:pPr>
              <w:spacing w:after="0"/>
              <w:rPr>
                <w:sz w:val="20"/>
                <w:szCs w:val="20"/>
                <w:color w:val="auto"/>
              </w:rPr>
            </w:pPr>
            <w:r>
              <w:rPr>
                <w:rFonts w:ascii="Arial" w:cs="Arial" w:eastAsia="Arial" w:hAnsi="Arial"/>
                <w:sz w:val="18"/>
                <w:szCs w:val="18"/>
                <w:color w:val="auto"/>
              </w:rPr>
              <w:t>Jack A. Khattar</w:t>
            </w:r>
            <w:r>
              <w:rPr>
                <w:rFonts w:ascii="Arial" w:cs="Arial" w:eastAsia="Arial" w:hAnsi="Arial"/>
                <w:sz w:val="23"/>
                <w:szCs w:val="23"/>
                <w:color w:val="auto"/>
                <w:vertAlign w:val="superscript"/>
              </w:rPr>
              <w:t>+(4)</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3,712,541</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6.7%</w:t>
            </w:r>
          </w:p>
        </w:tc>
      </w:tr>
      <w:tr>
        <w:trPr>
          <w:trHeight w:val="284"/>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3"/>
                <w:szCs w:val="23"/>
                <w:color w:val="auto"/>
                <w:vertAlign w:val="superscript"/>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tcPr>
          <w:p>
            <w:pPr>
              <w:spacing w:after="0"/>
              <w:rPr>
                <w:sz w:val="20"/>
                <w:szCs w:val="20"/>
                <w:color w:val="auto"/>
              </w:rPr>
            </w:pPr>
            <w:r>
              <w:rPr>
                <w:rFonts w:ascii="Arial" w:cs="Arial" w:eastAsia="Arial" w:hAnsi="Arial"/>
                <w:sz w:val="18"/>
                <w:szCs w:val="18"/>
                <w:color w:val="auto"/>
              </w:rPr>
              <w:t>Timothy C. Dec</w:t>
            </w:r>
            <w:r>
              <w:rPr>
                <w:rFonts w:ascii="Arial" w:cs="Arial" w:eastAsia="Arial" w:hAnsi="Arial"/>
                <w:sz w:val="23"/>
                <w:szCs w:val="23"/>
                <w:color w:val="auto"/>
                <w:vertAlign w:val="superscript"/>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3"/>
              <w:spacing w:after="0"/>
              <w:rPr>
                <w:sz w:val="20"/>
                <w:szCs w:val="20"/>
                <w:color w:val="auto"/>
              </w:rPr>
            </w:pPr>
            <w:r>
              <w:rPr>
                <w:rFonts w:ascii="Arial" w:cs="Arial" w:eastAsia="Arial" w:hAnsi="Arial"/>
                <w:sz w:val="18"/>
                <w:szCs w:val="18"/>
                <w:color w:val="auto"/>
              </w:rPr>
              <w:t>*</w:t>
            </w:r>
          </w:p>
        </w:tc>
      </w:tr>
      <w:tr>
        <w:trPr>
          <w:trHeight w:val="284"/>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r>
              <w:rPr>
                <w:rFonts w:ascii="Arial" w:cs="Arial" w:eastAsia="Arial" w:hAnsi="Arial"/>
                <w:sz w:val="23"/>
                <w:szCs w:val="23"/>
                <w:color w:val="auto"/>
                <w:vertAlign w:val="superscript"/>
              </w:rPr>
              <w:t>+(5)</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181,394</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tcPr>
          <w:p>
            <w:pPr>
              <w:spacing w:after="0"/>
              <w:rPr>
                <w:sz w:val="20"/>
                <w:szCs w:val="20"/>
                <w:color w:val="auto"/>
              </w:rPr>
            </w:pPr>
            <w:r>
              <w:rPr>
                <w:rFonts w:ascii="Arial" w:cs="Arial" w:eastAsia="Arial" w:hAnsi="Arial"/>
                <w:sz w:val="18"/>
                <w:szCs w:val="18"/>
                <w:color w:val="auto"/>
              </w:rPr>
              <w:t>Jonathan Rubin, M.D</w:t>
            </w:r>
            <w:r>
              <w:rPr>
                <w:rFonts w:ascii="Arial" w:cs="Arial" w:eastAsia="Arial" w:hAnsi="Arial"/>
                <w:sz w:val="23"/>
                <w:szCs w:val="23"/>
                <w:color w:val="auto"/>
                <w:vertAlign w:val="superscript"/>
              </w:rPr>
              <w:t>.+(6)</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13,750</w:t>
            </w:r>
          </w:p>
        </w:tc>
        <w:tc>
          <w:tcPr>
            <w:tcW w:w="22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T. Martin, R.N., Esq.</w:t>
            </w:r>
            <w:r>
              <w:rPr>
                <w:rFonts w:ascii="Arial" w:cs="Arial" w:eastAsia="Arial" w:hAnsi="Arial"/>
                <w:sz w:val="23"/>
                <w:szCs w:val="23"/>
                <w:color w:val="auto"/>
                <w:vertAlign w:val="superscript"/>
              </w:rPr>
              <w:t>+(7)</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192,220</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84"/>
        </w:trPr>
        <w:tc>
          <w:tcPr>
            <w:tcW w:w="5560" w:type="dxa"/>
            <w:vAlign w:val="bottom"/>
            <w:gridSpan w:val="2"/>
          </w:tcPr>
          <w:p>
            <w:pPr>
              <w:spacing w:after="0"/>
              <w:rPr>
                <w:sz w:val="20"/>
                <w:szCs w:val="20"/>
                <w:color w:val="auto"/>
              </w:rPr>
            </w:pPr>
            <w:r>
              <w:rPr>
                <w:rFonts w:ascii="Arial" w:cs="Arial" w:eastAsia="Arial" w:hAnsi="Arial"/>
                <w:sz w:val="18"/>
                <w:szCs w:val="18"/>
                <w:color w:val="auto"/>
              </w:rPr>
              <w:t>Frank Mottola</w:t>
            </w:r>
            <w:r>
              <w:rPr>
                <w:rFonts w:ascii="Arial" w:cs="Arial" w:eastAsia="Arial" w:hAnsi="Arial"/>
                <w:sz w:val="23"/>
                <w:szCs w:val="23"/>
                <w:color w:val="auto"/>
                <w:vertAlign w:val="superscript"/>
              </w:rPr>
              <w:t>(8)</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89,194</w:t>
            </w:r>
          </w:p>
        </w:tc>
        <w:tc>
          <w:tcPr>
            <w:tcW w:w="22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Carrolee Barlow, M.D., Ph.D.</w:t>
            </w:r>
            <w:r>
              <w:rPr>
                <w:rFonts w:ascii="Arial" w:cs="Arial" w:eastAsia="Arial" w:hAnsi="Arial"/>
                <w:sz w:val="23"/>
                <w:szCs w:val="23"/>
                <w:color w:val="auto"/>
                <w:vertAlign w:val="superscript"/>
              </w:rPr>
              <w:t>(9)</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46,190</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tcPr>
          <w:p>
            <w:pPr>
              <w:spacing w:after="0"/>
              <w:rPr>
                <w:sz w:val="20"/>
                <w:szCs w:val="20"/>
                <w:color w:val="auto"/>
              </w:rPr>
            </w:pPr>
            <w:r>
              <w:rPr>
                <w:rFonts w:ascii="Arial" w:cs="Arial" w:eastAsia="Arial" w:hAnsi="Arial"/>
                <w:sz w:val="18"/>
                <w:szCs w:val="18"/>
                <w:color w:val="auto"/>
              </w:rPr>
              <w:t>Georges Gemayel, Ph.D.</w:t>
            </w:r>
            <w:r>
              <w:rPr>
                <w:rFonts w:ascii="Arial" w:cs="Arial" w:eastAsia="Arial" w:hAnsi="Arial"/>
                <w:sz w:val="23"/>
                <w:szCs w:val="23"/>
                <w:color w:val="auto"/>
                <w:vertAlign w:val="superscript"/>
              </w:rPr>
              <w:t>(10)</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111,084</w:t>
            </w:r>
          </w:p>
        </w:tc>
        <w:tc>
          <w:tcPr>
            <w:tcW w:w="22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Arial" w:cs="Arial" w:eastAsia="Arial" w:hAnsi="Arial"/>
                <w:sz w:val="18"/>
                <w:szCs w:val="18"/>
                <w:color w:val="auto"/>
              </w:rPr>
              <w:t>*</w:t>
            </w:r>
          </w:p>
        </w:tc>
      </w:tr>
      <w:tr>
        <w:trPr>
          <w:trHeight w:val="284"/>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M. Hudson</w:t>
            </w:r>
            <w:r>
              <w:rPr>
                <w:rFonts w:ascii="Arial" w:cs="Arial" w:eastAsia="Arial" w:hAnsi="Arial"/>
                <w:sz w:val="23"/>
                <w:szCs w:val="23"/>
                <w:color w:val="auto"/>
                <w:vertAlign w:val="superscript"/>
              </w:rPr>
              <w:t>(11)</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125,093</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tcPr>
          <w:p>
            <w:pPr>
              <w:spacing w:after="0"/>
              <w:rPr>
                <w:sz w:val="20"/>
                <w:szCs w:val="20"/>
                <w:color w:val="auto"/>
              </w:rPr>
            </w:pPr>
            <w:r>
              <w:rPr>
                <w:rFonts w:ascii="Arial" w:cs="Arial" w:eastAsia="Arial" w:hAnsi="Arial"/>
                <w:sz w:val="18"/>
                <w:szCs w:val="18"/>
                <w:color w:val="auto"/>
              </w:rPr>
              <w:t>Charles W. Newhall, III</w:t>
            </w:r>
            <w:r>
              <w:rPr>
                <w:rFonts w:ascii="Arial" w:cs="Arial" w:eastAsia="Arial" w:hAnsi="Arial"/>
                <w:sz w:val="23"/>
                <w:szCs w:val="23"/>
                <w:color w:val="auto"/>
                <w:vertAlign w:val="superscript"/>
              </w:rPr>
              <w:t>(12)</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202,358</w:t>
            </w:r>
          </w:p>
        </w:tc>
        <w:tc>
          <w:tcPr>
            <w:tcW w:w="22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Arial" w:cs="Arial" w:eastAsia="Arial" w:hAnsi="Arial"/>
                <w:sz w:val="18"/>
                <w:szCs w:val="18"/>
                <w:color w:val="auto"/>
              </w:rPr>
              <w:t>*</w:t>
            </w:r>
          </w:p>
        </w:tc>
      </w:tr>
      <w:tr>
        <w:trPr>
          <w:trHeight w:val="283"/>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Siebert, Ph.D.</w:t>
            </w:r>
            <w:r>
              <w:rPr>
                <w:rFonts w:ascii="Arial" w:cs="Arial" w:eastAsia="Arial" w:hAnsi="Arial"/>
                <w:sz w:val="23"/>
                <w:szCs w:val="23"/>
                <w:color w:val="auto"/>
                <w:vertAlign w:val="superscript"/>
              </w:rPr>
              <w:t>(13)</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131,826</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(12 persons)</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4,802,650</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-4199890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-4199890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145415</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760" w:hanging="36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63" w:lineRule="exact"/>
        <w:rPr>
          <w:sz w:val="20"/>
          <w:szCs w:val="20"/>
          <w:color w:val="auto"/>
        </w:rPr>
      </w:pPr>
    </w:p>
    <w:p>
      <w:pPr>
        <w:ind w:left="760" w:right="459" w:hanging="360"/>
        <w:spacing w:after="0" w:line="259"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person is a NEO. The NEOs consist of the following: Chief Executive Officer, Jack A. Khattar; current Chief Financial Officer, Timothy C. Dec; the three most highly compensated officers other than the Chief Executive Officer and Chief Financial Officer; and the former Chief Financial Officer, James P. Kelly.</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7" w:name="page8"/>
    <w:bookmarkEnd w:id="7"/>
    <w:p>
      <w:pPr>
        <w:ind w:left="760" w:right="419" w:hanging="360"/>
        <w:spacing w:after="0" w:line="25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is based on information provided in a Schedule 13G filed by BlackRock, Inc. with the SEC on January 26, 2022. BlackRock, Inc. indirectly holds the shares on behalf of its affiliated investment adviser subsidiaries, consisting of BlackRock Advisors, LLC, Aperio Group,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Fund Managers Ltd. BlackRock, Inc. has sole voting power with respect to 8,344,531 shares and sole dispositive power with respect to 8,451,022 shares.</w:t>
      </w:r>
    </w:p>
    <w:p>
      <w:pPr>
        <w:spacing w:after="0" w:line="43" w:lineRule="exact"/>
        <w:rPr>
          <w:rFonts w:ascii="Arial" w:cs="Arial" w:eastAsia="Arial" w:hAnsi="Arial"/>
          <w:sz w:val="18"/>
          <w:szCs w:val="18"/>
          <w:color w:val="auto"/>
        </w:rPr>
      </w:pPr>
    </w:p>
    <w:p>
      <w:pPr>
        <w:ind w:left="760" w:right="599" w:hanging="36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is based on information provided in a Schedule 13G filed by The Vanguard Group with the SEC on February 10, 2022. The Vanguard Group has shared voting and dispositive power with respect to 41,640 and 88,067 shares, respectively, and sole dispositive power with respect to 5,425,082 shares.</w:t>
      </w:r>
    </w:p>
    <w:p>
      <w:pPr>
        <w:spacing w:after="0" w:line="38" w:lineRule="exact"/>
        <w:rPr>
          <w:rFonts w:ascii="Arial" w:cs="Arial" w:eastAsia="Arial" w:hAnsi="Arial"/>
          <w:sz w:val="18"/>
          <w:szCs w:val="18"/>
          <w:color w:val="auto"/>
        </w:rPr>
      </w:pPr>
    </w:p>
    <w:p>
      <w:pPr>
        <w:ind w:left="760" w:right="539" w:hanging="36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is based on information provided in a Schedule 13G/A filed by Armistice Capital, LLC with the SEC on February 15, 2022. Armistice Capital, LLC and Steven Boyd are the beneficial owners of 4,136,000. Armistice Capital, LLC and Steven Boyd share voting and dispositive power with respect to 4,136,000.</w:t>
      </w:r>
    </w:p>
    <w:p>
      <w:pPr>
        <w:spacing w:after="0" w:line="51" w:lineRule="exact"/>
        <w:rPr>
          <w:rFonts w:ascii="Arial" w:cs="Arial" w:eastAsia="Arial" w:hAnsi="Arial"/>
          <w:sz w:val="18"/>
          <w:szCs w:val="18"/>
          <w:color w:val="auto"/>
        </w:rPr>
      </w:pPr>
    </w:p>
    <w:p>
      <w:pPr>
        <w:ind w:left="760" w:right="499" w:hanging="360"/>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1,047,700 shares of common stock held by KBT Trust and 2,037,625 shares of common stock issuable to Mr. Khattar that may be acquired at or within 60 days of April 18, 2022, pursuant to the exercise of outstanding options.</w:t>
      </w:r>
    </w:p>
    <w:p>
      <w:pPr>
        <w:spacing w:after="0" w:line="35" w:lineRule="exact"/>
        <w:rPr>
          <w:rFonts w:ascii="Arial" w:cs="Arial" w:eastAsia="Arial" w:hAnsi="Arial"/>
          <w:sz w:val="18"/>
          <w:szCs w:val="18"/>
          <w:color w:val="auto"/>
        </w:rPr>
      </w:pPr>
    </w:p>
    <w:p>
      <w:pPr>
        <w:ind w:left="760" w:right="95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180,500 shares of common stock issuable to Dr. Bhatt that may be acquired at or within 60 days of April 18, 2022, pursuant to the exercise of outstanding options.</w:t>
      </w:r>
    </w:p>
    <w:p>
      <w:pPr>
        <w:spacing w:after="0" w:line="21" w:lineRule="exact"/>
        <w:rPr>
          <w:rFonts w:ascii="Arial" w:cs="Arial" w:eastAsia="Arial" w:hAnsi="Arial"/>
          <w:sz w:val="18"/>
          <w:szCs w:val="18"/>
          <w:color w:val="auto"/>
        </w:rPr>
      </w:pPr>
    </w:p>
    <w:p>
      <w:pPr>
        <w:ind w:left="760" w:right="99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13,750 shares of common stock issuable to Dr. Rubin that may be acquired at or within 60 days of April 18, 2022, pursuant to the exercise of outstanding options.</w:t>
      </w:r>
    </w:p>
    <w:p>
      <w:pPr>
        <w:spacing w:after="0" w:line="35" w:lineRule="exact"/>
        <w:rPr>
          <w:rFonts w:ascii="Arial" w:cs="Arial" w:eastAsia="Arial" w:hAnsi="Arial"/>
          <w:sz w:val="18"/>
          <w:szCs w:val="18"/>
          <w:color w:val="auto"/>
        </w:rPr>
      </w:pPr>
    </w:p>
    <w:p>
      <w:pPr>
        <w:ind w:left="760" w:right="79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105,000 shares of common stock issuable to Ms. Martin that may be acquired at or within 60 days of April 18, 2022, pursuant to the exercise of outstanding options.</w:t>
      </w:r>
    </w:p>
    <w:p>
      <w:pPr>
        <w:spacing w:after="0" w:line="21" w:lineRule="exact"/>
        <w:rPr>
          <w:rFonts w:ascii="Arial" w:cs="Arial" w:eastAsia="Arial" w:hAnsi="Arial"/>
          <w:sz w:val="18"/>
          <w:szCs w:val="18"/>
          <w:color w:val="auto"/>
        </w:rPr>
      </w:pPr>
    </w:p>
    <w:p>
      <w:pPr>
        <w:ind w:left="760" w:right="83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81,750 shares of common stock issuable to Mr. Mottola that may be acquired at or within 60 days of April 18, 2022, pursuant to the exercise of outstanding options.</w:t>
      </w:r>
    </w:p>
    <w:p>
      <w:pPr>
        <w:spacing w:after="0" w:line="21" w:lineRule="exact"/>
        <w:rPr>
          <w:rFonts w:ascii="Arial" w:cs="Arial" w:eastAsia="Arial" w:hAnsi="Arial"/>
          <w:sz w:val="18"/>
          <w:szCs w:val="18"/>
          <w:color w:val="auto"/>
        </w:rPr>
      </w:pPr>
    </w:p>
    <w:p>
      <w:pPr>
        <w:ind w:left="760" w:right="89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36,757 shares of common stock issuable to Dr. Barlow that may be acquired at or within 60 days of April 18, 2021, pursuant to the exercise of outstanding options.</w:t>
      </w:r>
    </w:p>
    <w:p>
      <w:pPr>
        <w:spacing w:after="0" w:line="35" w:lineRule="exact"/>
        <w:rPr>
          <w:rFonts w:ascii="Arial" w:cs="Arial" w:eastAsia="Arial" w:hAnsi="Arial"/>
          <w:sz w:val="18"/>
          <w:szCs w:val="18"/>
          <w:color w:val="auto"/>
        </w:rPr>
      </w:pPr>
    </w:p>
    <w:p>
      <w:pPr>
        <w:ind w:left="760" w:right="67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101,651 shares of common stock issuable to Dr. Gemayel that may be acquired at or within 60 days of April 18, 2022, pursuant to the exercise of outstanding options.</w:t>
      </w:r>
    </w:p>
    <w:p>
      <w:pPr>
        <w:spacing w:after="0" w:line="21" w:lineRule="exact"/>
        <w:rPr>
          <w:rFonts w:ascii="Arial" w:cs="Arial" w:eastAsia="Arial" w:hAnsi="Arial"/>
          <w:sz w:val="18"/>
          <w:szCs w:val="18"/>
          <w:color w:val="auto"/>
        </w:rPr>
      </w:pPr>
    </w:p>
    <w:p>
      <w:pPr>
        <w:ind w:left="760" w:right="75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102,830 shares of common stock issuable to Mr. Hudson that may be acquired at or within 60 days of April 18, 2022, pursuant to the exercise of outstanding options.</w:t>
      </w:r>
    </w:p>
    <w:p>
      <w:pPr>
        <w:spacing w:after="0" w:line="21" w:lineRule="exact"/>
        <w:rPr>
          <w:rFonts w:ascii="Arial" w:cs="Arial" w:eastAsia="Arial" w:hAnsi="Arial"/>
          <w:sz w:val="18"/>
          <w:szCs w:val="18"/>
          <w:color w:val="auto"/>
        </w:rPr>
      </w:pPr>
    </w:p>
    <w:p>
      <w:pPr>
        <w:ind w:left="760" w:right="69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102,830 shares of common stock issuable to Mr. Newhall that may be acquired at or within 60 days of April 18, 2022, pursuant to the exercise of outstanding options.</w:t>
      </w:r>
    </w:p>
    <w:p>
      <w:pPr>
        <w:spacing w:after="0" w:line="35" w:lineRule="exact"/>
        <w:rPr>
          <w:rFonts w:ascii="Arial" w:cs="Arial" w:eastAsia="Arial" w:hAnsi="Arial"/>
          <w:sz w:val="18"/>
          <w:szCs w:val="18"/>
          <w:color w:val="auto"/>
        </w:rPr>
      </w:pPr>
    </w:p>
    <w:p>
      <w:pPr>
        <w:ind w:left="760" w:right="919" w:hanging="36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51,651 shares of common stock issuable to Dr. Siebert that may be acquired at or within 60 days of April 18, 2022, pursuant to the exercise of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5" w:lineRule="exact"/>
        <w:rPr>
          <w:sz w:val="20"/>
          <w:szCs w:val="20"/>
          <w:color w:val="auto"/>
        </w:rPr>
      </w:pPr>
    </w:p>
    <w:p>
      <w:pPr>
        <w:ind w:left="400" w:right="419" w:firstLine="360"/>
        <w:spacing w:after="0" w:line="238" w:lineRule="auto"/>
        <w:rPr>
          <w:sz w:val="20"/>
          <w:szCs w:val="20"/>
          <w:color w:val="auto"/>
        </w:rPr>
      </w:pPr>
      <w:r>
        <w:rPr>
          <w:rFonts w:ascii="Arial" w:cs="Arial" w:eastAsia="Arial" w:hAnsi="Arial"/>
          <w:sz w:val="18"/>
          <w:szCs w:val="18"/>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2022 Annual Meeting of Stockholders, the term of the Class II directors will expire at the 2023 Annual Meeting of Stockholders and the term of the Class III directors will expire at the 2024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24" w:lineRule="exact"/>
        <w:rPr>
          <w:sz w:val="20"/>
          <w:szCs w:val="20"/>
          <w:color w:val="auto"/>
        </w:rPr>
      </w:pPr>
    </w:p>
    <w:p>
      <w:pPr>
        <w:ind w:left="400" w:right="459" w:firstLine="360"/>
        <w:spacing w:after="0" w:line="251" w:lineRule="auto"/>
        <w:rPr>
          <w:sz w:val="20"/>
          <w:szCs w:val="20"/>
          <w:color w:val="auto"/>
        </w:rPr>
      </w:pPr>
      <w:r>
        <w:rPr>
          <w:rFonts w:ascii="Arial" w:cs="Arial" w:eastAsia="Arial" w:hAnsi="Arial"/>
          <w:sz w:val="17"/>
          <w:szCs w:val="17"/>
          <w:color w:val="auto"/>
        </w:rPr>
        <w:t>Our Board of Directors shall be not fewer than five and not more than 15 members. At our Annual Meeting, two directors are to be elected. The Board of Directors recommends that stockholders elect Carrolee Barlow, M.D., Ph.D. and Jack A. Khattar to hold office until the 2025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Dr. Barlow and Mr. Khattar were elected as directors at the Annual Meeting of Stockholders held on June 11, 2019.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below the name, age, service dates and respective position with the</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Company of each member of our Board of Directors:</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Director</w:t>
            </w:r>
          </w:p>
        </w:tc>
        <w:tc>
          <w:tcPr>
            <w:tcW w:w="2760" w:type="dxa"/>
            <w:vAlign w:val="bottom"/>
          </w:tcPr>
          <w:p>
            <w:pPr>
              <w:spacing w:after="0"/>
              <w:rPr>
                <w:sz w:val="14"/>
                <w:szCs w:val="14"/>
                <w:color w:val="auto"/>
              </w:rPr>
            </w:pP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Since</w:t>
            </w:r>
          </w:p>
        </w:tc>
        <w:tc>
          <w:tcPr>
            <w:tcW w:w="2760" w:type="dxa"/>
            <w:vAlign w:val="bottom"/>
          </w:tcPr>
          <w:p>
            <w:pPr>
              <w:ind w:left="114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 Directors (Term maturing in 2022)</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Carrolee Barlow,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43"/>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Jack A. Khattar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w:t>
            </w:r>
          </w:p>
        </w:tc>
      </w:tr>
      <w:tr>
        <w:trPr>
          <w:trHeight w:val="270"/>
        </w:trPr>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and Secretary, Director</w:t>
            </w:r>
          </w:p>
        </w:tc>
      </w:tr>
      <w:tr>
        <w:trPr>
          <w:trHeight w:val="365"/>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 (Term maturing in 2023):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83"/>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Frederick M. Hudson</w:t>
            </w:r>
            <w:r>
              <w:rPr>
                <w:rFonts w:ascii="Arial" w:cs="Arial" w:eastAsia="Arial" w:hAnsi="Arial"/>
                <w:sz w:val="23"/>
                <w:szCs w:val="23"/>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Charles W. Newhall, III</w:t>
            </w:r>
            <w:r>
              <w:rPr>
                <w:rFonts w:ascii="Arial" w:cs="Arial" w:eastAsia="Arial" w:hAnsi="Arial"/>
                <w:sz w:val="23"/>
                <w:szCs w:val="23"/>
                <w:color w:val="auto"/>
                <w:vertAlign w:val="superscript"/>
              </w:rPr>
              <w:t>(2)(3)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i w:val="1"/>
                <w:iCs w:val="1"/>
                <w:color w:val="auto"/>
              </w:rPr>
              <w:t>Term maturing in 2024):</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28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Georges Gemayel, Ph.D.</w:t>
            </w:r>
            <w:r>
              <w:rPr>
                <w:rFonts w:ascii="Arial" w:cs="Arial" w:eastAsia="Arial" w:hAnsi="Arial"/>
                <w:sz w:val="23"/>
                <w:szCs w:val="23"/>
                <w:color w:val="auto"/>
                <w:vertAlign w:val="superscript"/>
              </w:rPr>
              <w:t>(1)(3)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84"/>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 M. Siebert, Ph.D.</w:t>
            </w:r>
            <w:r>
              <w:rPr>
                <w:rFonts w:ascii="Arial" w:cs="Arial" w:eastAsia="Arial" w:hAnsi="Arial"/>
                <w:sz w:val="23"/>
                <w:szCs w:val="23"/>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-1842770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-1842770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-1842770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146050</wp:posOffset>
            </wp:positionV>
            <wp:extent cx="1234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760" w:hanging="36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63" w:lineRule="exact"/>
        <w:rPr>
          <w:rFonts w:ascii="Arial" w:cs="Arial" w:eastAsia="Arial" w:hAnsi="Arial"/>
          <w:sz w:val="18"/>
          <w:szCs w:val="18"/>
          <w:color w:val="auto"/>
        </w:rPr>
      </w:pPr>
    </w:p>
    <w:p>
      <w:pPr>
        <w:ind w:left="760" w:hanging="36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63" w:lineRule="exact"/>
        <w:rPr>
          <w:rFonts w:ascii="Arial" w:cs="Arial" w:eastAsia="Arial" w:hAnsi="Arial"/>
          <w:sz w:val="18"/>
          <w:szCs w:val="18"/>
          <w:color w:val="auto"/>
        </w:rPr>
      </w:pPr>
    </w:p>
    <w:p>
      <w:pPr>
        <w:ind w:left="760" w:hanging="36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Governance and Nominating Committee</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Biographical Information</w:t>
      </w:r>
    </w:p>
    <w:p>
      <w:pPr>
        <w:spacing w:after="0" w:line="148" w:lineRule="exact"/>
        <w:rPr>
          <w:sz w:val="20"/>
          <w:szCs w:val="20"/>
          <w:color w:val="auto"/>
        </w:rPr>
      </w:pPr>
    </w:p>
    <w:p>
      <w:pPr>
        <w:ind w:left="400" w:right="579" w:firstLine="360"/>
        <w:spacing w:after="0" w:line="248" w:lineRule="auto"/>
        <w:rPr>
          <w:sz w:val="20"/>
          <w:szCs w:val="20"/>
          <w:color w:val="auto"/>
        </w:rPr>
      </w:pPr>
      <w:r>
        <w:rPr>
          <w:rFonts w:ascii="Arial" w:cs="Arial" w:eastAsia="Arial" w:hAnsi="Arial"/>
          <w:sz w:val="18"/>
          <w:szCs w:val="18"/>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b w:val="1"/>
          <w:bCs w:val="1"/>
          <w:color w:val="auto"/>
        </w:rPr>
        <w:t>Class I Nominees With Term of Office Expiring in 2022:</w:t>
      </w:r>
    </w:p>
    <w:p>
      <w:pPr>
        <w:spacing w:after="0" w:line="148" w:lineRule="exact"/>
        <w:rPr>
          <w:sz w:val="20"/>
          <w:szCs w:val="20"/>
          <w:color w:val="auto"/>
        </w:rPr>
      </w:pPr>
    </w:p>
    <w:p>
      <w:pPr>
        <w:ind w:left="400" w:right="499" w:firstLine="360"/>
        <w:spacing w:after="0" w:line="250" w:lineRule="auto"/>
        <w:rPr>
          <w:sz w:val="20"/>
          <w:szCs w:val="20"/>
          <w:color w:val="auto"/>
        </w:rPr>
      </w:pPr>
      <w:r>
        <w:rPr>
          <w:rFonts w:ascii="Arial" w:cs="Arial" w:eastAsia="Arial" w:hAnsi="Arial"/>
          <w:sz w:val="17"/>
          <w:szCs w:val="17"/>
          <w:b w:val="1"/>
          <w:bCs w:val="1"/>
          <w:i w:val="1"/>
          <w:iCs w:val="1"/>
          <w:color w:val="auto"/>
        </w:rPr>
        <w:t>Carrolee Barlow, M.D., Ph.D.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2018. Dr. Barlow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renowned expert in neuroscience and neurodegeneration, rare diseases and clinical development of new therapies, and she is presently the Chief Medical Officer of E-Scape Bio, a position she has held since January 2019. E -Scape Bio is a preclinical biopharmaceutical company focused on the discovery and development of small molecule drugs to treat genetically-defined subpopulations in neurodegenerative diseases.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currently serves as a member of the board of directors of Orphazyme A/S, a publicly traded company, and on the scientific advisory boards of Razor Inc., Kainos Medicine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w:t>
      </w:r>
    </w:p>
    <w:p>
      <w:pPr>
        <w:spacing w:after="0" w:line="114" w:lineRule="exact"/>
        <w:rPr>
          <w:sz w:val="20"/>
          <w:szCs w:val="20"/>
          <w:color w:val="auto"/>
        </w:rPr>
      </w:pPr>
    </w:p>
    <w:p>
      <w:pPr>
        <w:ind w:left="40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Jack A. Khattar </w:t>
      </w:r>
      <w:r>
        <w:rPr>
          <w:rFonts w:ascii="Arial" w:cs="Arial" w:eastAsia="Arial" w:hAnsi="Arial"/>
          <w:sz w:val="17"/>
          <w:szCs w:val="17"/>
          <w:color w:val="auto"/>
        </w:rPr>
        <w:t>is the founder of our Company and has served as our President,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companies, and on the advisory board of New Rhein Healthcare, a private equity firm. Mr. Khattar also serves as Chairman of the board of directors of scPharmaceuticals and Cognition Therapeutics Inc., two publicly traded pharmaceutical companies.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w:t>
      </w:r>
    </w:p>
    <w:p>
      <w:pPr>
        <w:spacing w:after="0" w:line="112" w:lineRule="exact"/>
        <w:rPr>
          <w:sz w:val="20"/>
          <w:szCs w:val="20"/>
          <w:color w:val="auto"/>
        </w:rPr>
      </w:pPr>
    </w:p>
    <w:p>
      <w:pPr>
        <w:ind w:left="400" w:right="779" w:firstLine="360"/>
        <w:spacing w:after="0" w:line="266" w:lineRule="auto"/>
        <w:rPr>
          <w:sz w:val="20"/>
          <w:szCs w:val="20"/>
          <w:color w:val="auto"/>
        </w:rPr>
      </w:pPr>
      <w:r>
        <w:rPr>
          <w:rFonts w:ascii="Arial" w:cs="Arial" w:eastAsia="Arial" w:hAnsi="Arial"/>
          <w:sz w:val="18"/>
          <w:szCs w:val="18"/>
          <w:b w:val="1"/>
          <w:bCs w:val="1"/>
          <w:color w:val="auto"/>
        </w:rPr>
        <w:t>The Board of Directors recommends a vote “FOR” the election of the Class I nominees to the Board of Directors named above.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Class II Directors Continuing for Term of Office Expiring in 2023:</w:t>
      </w:r>
    </w:p>
    <w:p>
      <w:pPr>
        <w:spacing w:after="0" w:line="148" w:lineRule="exact"/>
        <w:rPr>
          <w:sz w:val="20"/>
          <w:szCs w:val="20"/>
          <w:color w:val="auto"/>
        </w:rPr>
      </w:pPr>
    </w:p>
    <w:p>
      <w:pPr>
        <w:ind w:left="400" w:right="519" w:firstLine="360"/>
        <w:spacing w:after="0" w:line="291" w:lineRule="auto"/>
        <w:rPr>
          <w:sz w:val="20"/>
          <w:szCs w:val="20"/>
          <w:color w:val="auto"/>
        </w:rPr>
      </w:pPr>
      <w:r>
        <w:rPr>
          <w:rFonts w:ascii="Arial" w:cs="Arial" w:eastAsia="Arial" w:hAnsi="Arial"/>
          <w:sz w:val="17"/>
          <w:szCs w:val="17"/>
          <w:b w:val="1"/>
          <w:bCs w:val="1"/>
          <w:i w:val="1"/>
          <w:iCs w:val="1"/>
          <w:color w:val="auto"/>
        </w:rPr>
        <w:t xml:space="preserve">Frederick M. Hudson </w:t>
      </w:r>
      <w:r>
        <w:rPr>
          <w:rFonts w:ascii="Arial" w:cs="Arial" w:eastAsia="Arial" w:hAnsi="Arial"/>
          <w:sz w:val="17"/>
          <w:szCs w:val="17"/>
          <w:color w:val="auto"/>
        </w:rPr>
        <w:t>has served as a member of our Board of Directors since 2010. Mr. Hudson retired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partner in the accounting firm of KPMG LLP in 2006 after a 37 year career with the firm.</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 w:name="page11"/>
    <w:bookmarkEnd w:id="10"/>
    <w:p>
      <w:pPr>
        <w:ind w:left="400" w:right="439"/>
        <w:spacing w:after="0" w:line="251" w:lineRule="auto"/>
        <w:rPr>
          <w:sz w:val="20"/>
          <w:szCs w:val="20"/>
          <w:color w:val="auto"/>
        </w:rPr>
      </w:pPr>
      <w:r>
        <w:rPr>
          <w:rFonts w:ascii="Arial" w:cs="Arial" w:eastAsia="Arial" w:hAnsi="Arial"/>
          <w:sz w:val="17"/>
          <w:szCs w:val="17"/>
          <w:color w:val="auto"/>
        </w:rPr>
        <w:t>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 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Chairman of the board of directors of GBMC Healthcare, Inc. and its affiliate, Greater Baltimore Medical Center, where he was the prior chair of the finance committee and audit committee. He was previously on the board of directors and the audit committee chair of Educate, Inc., Woodhaven Holding Corp., Vicor Technologies, Inc., and Paradigm Management Services LLC; and as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w:t>
      </w:r>
    </w:p>
    <w:p>
      <w:pPr>
        <w:spacing w:after="0" w:line="106"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Charles W. Newhall, III </w:t>
      </w:r>
      <w:r>
        <w:rPr>
          <w:rFonts w:ascii="Arial" w:cs="Arial" w:eastAsia="Arial" w:hAnsi="Arial"/>
          <w:sz w:val="17"/>
          <w:szCs w:val="17"/>
          <w:color w:val="auto"/>
        </w:rPr>
        <w:t>has served as a member of our Board of Directors since 2005 and was elected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 as Chairman of the Board in August 2016. In 1977, Mr. Newhall co-founded NEA, a venture capital firm that focuses on the medical and life sciences and information technology industries, from which he retired effective December 31, 2012. To date, Mr. Newhall has served as a director of over approximately</w:t>
      </w:r>
    </w:p>
    <w:p>
      <w:pPr>
        <w:spacing w:after="0" w:line="2" w:lineRule="exact"/>
        <w:rPr>
          <w:sz w:val="20"/>
          <w:szCs w:val="20"/>
          <w:color w:val="auto"/>
        </w:rPr>
      </w:pPr>
    </w:p>
    <w:p>
      <w:pPr>
        <w:ind w:left="400" w:right="439"/>
        <w:spacing w:after="0" w:line="251"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Class III Directors Continuing for Term of Office Expiring in 2024:</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Georges Gemayel,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our Board of Directors since 2015. Since 2010, he</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has served as a consultant for several biotechnology companies and venture capital funds. From</w:t>
      </w:r>
    </w:p>
    <w:p>
      <w:pPr>
        <w:ind w:left="400"/>
        <w:spacing w:after="0"/>
        <w:rPr>
          <w:sz w:val="20"/>
          <w:szCs w:val="20"/>
          <w:color w:val="auto"/>
        </w:rPr>
      </w:pPr>
      <w:r>
        <w:rPr>
          <w:rFonts w:ascii="Arial" w:cs="Arial" w:eastAsia="Arial" w:hAnsi="Arial"/>
          <w:sz w:val="17"/>
          <w:szCs w:val="17"/>
          <w:color w:val="auto"/>
        </w:rPr>
        <w:t>February 2011 to December 2012, Dr. Gemayel served as Executive Chairman of Syndexa Pharmaceuticals</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Corp., a privately held drug development company. Prior to that, in 2010, Dr. Gemayel served as Executive</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Chairman of FoldRx until its acquisition by Pfizer. From June 2008 until November 2009, Dr. Gemayel</w:t>
      </w:r>
    </w:p>
    <w:p>
      <w:pPr>
        <w:ind w:left="400"/>
        <w:spacing w:after="0"/>
        <w:rPr>
          <w:sz w:val="20"/>
          <w:szCs w:val="20"/>
          <w:color w:val="auto"/>
        </w:rPr>
      </w:pPr>
      <w:r>
        <w:rPr>
          <w:rFonts w:ascii="Arial" w:cs="Arial" w:eastAsia="Arial" w:hAnsi="Arial"/>
          <w:sz w:val="17"/>
          <w:szCs w:val="17"/>
          <w:color w:val="auto"/>
        </w:rPr>
        <w:t>served as President and Chief Executive Officer of Altus Pharmaceuticals, a publicly traded pharmaceutical</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company. From 2003 to 2008, he was Executive Vice President at Genzyme Corporation where he was</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responsible for Genzyme’s global therapeutics, transplant, renal and biosurgery businesses. From 2000 to</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2003, Dr. Gemayel was employed as Vice President National Specialty Care for Hoffmann La-Roche,</w:t>
      </w:r>
    </w:p>
    <w:p>
      <w:pPr>
        <w:ind w:left="400"/>
        <w:spacing w:after="0"/>
        <w:rPr>
          <w:sz w:val="20"/>
          <w:szCs w:val="20"/>
          <w:color w:val="auto"/>
        </w:rPr>
      </w:pPr>
      <w:r>
        <w:rPr>
          <w:rFonts w:ascii="Arial" w:cs="Arial" w:eastAsia="Arial" w:hAnsi="Arial"/>
          <w:sz w:val="17"/>
          <w:szCs w:val="17"/>
          <w:color w:val="auto"/>
        </w:rPr>
        <w:t>responsible for its U.S. business for dermatology, oncology, transplantation, hepatitis and HIV. Dr. Gemayel</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joined Hoffmann-La Roche in 1988 and served in various positions of increasing responsibility over his</w:t>
      </w:r>
    </w:p>
    <w:p>
      <w:pPr>
        <w:ind w:left="400"/>
        <w:spacing w:after="0"/>
        <w:rPr>
          <w:sz w:val="20"/>
          <w:szCs w:val="20"/>
          <w:color w:val="auto"/>
        </w:rPr>
      </w:pPr>
      <w:r>
        <w:rPr>
          <w:rFonts w:ascii="Arial" w:cs="Arial" w:eastAsia="Arial" w:hAnsi="Arial"/>
          <w:sz w:val="17"/>
          <w:szCs w:val="17"/>
          <w:color w:val="auto"/>
        </w:rPr>
        <w:t>tenure there. Dr. Gemayel received his doctorate in pharmacy from St. Joseph University in Beirut, Lebanon</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and his Ph.D. in Pharmacology from Paris-Sud University in Paris. France. Dr. Gemayel currently serves as</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Chairman of the board of directors of Enterome Bioscience SA and Dynacure, all privately held companies,</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well as the Chairman of the boards of directors of Orphazyme A/S and as the Executive Chairman of</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Gemini Therapeutics, both publicly traded companies. He was previously a director of Adolor Corporation,</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publicly traded company, acquired by Cubist Pharmaceuticals. Inc., a director at Prosensa, acquired by</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Biomarin, a director at NPS, acquired by Shire, a director of Epitherapeutics, acquired by Gilead, a director</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of Raptor Pharmaceutical Corp., acquired by Horizon Pharma plc, the Chairman of Dimension Therapeutics,</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acquired by Ultragenyx, a director of Momenta Pharmaceuticals, a publicly traded company acquired by</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Johnson and Johnson, and the Chairman of Vascular Magnetics and Oxthera AB, both privately owned</w:t>
      </w:r>
    </w:p>
    <w:p>
      <w:pPr>
        <w:ind w:left="400"/>
        <w:spacing w:after="0"/>
        <w:rPr>
          <w:sz w:val="20"/>
          <w:szCs w:val="20"/>
          <w:color w:val="auto"/>
        </w:rPr>
      </w:pPr>
      <w:r>
        <w:rPr>
          <w:rFonts w:ascii="Arial" w:cs="Arial" w:eastAsia="Arial" w:hAnsi="Arial"/>
          <w:sz w:val="17"/>
          <w:szCs w:val="17"/>
          <w:color w:val="auto"/>
        </w:rPr>
        <w:t>companies. Dr. Gemayel’s substantial experience on the boards of directors of life science and healthcare</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companies and his over 25 years of experience in the pharmaceutical industry, including management and</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executive positions spanning the United States, Europe and the Middle East, qualify him to serve as a</w:t>
      </w:r>
    </w:p>
    <w:p>
      <w:pPr>
        <w:ind w:left="400"/>
        <w:spacing w:after="0"/>
        <w:rPr>
          <w:sz w:val="20"/>
          <w:szCs w:val="20"/>
          <w:color w:val="auto"/>
        </w:rPr>
      </w:pPr>
      <w:r>
        <w:rPr>
          <w:rFonts w:ascii="Arial" w:cs="Arial" w:eastAsia="Arial" w:hAnsi="Arial"/>
          <w:sz w:val="18"/>
          <w:szCs w:val="18"/>
          <w:color w:val="auto"/>
        </w:rPr>
        <w:t>director.</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 w:name="page12"/>
    <w:bookmarkEnd w:id="11"/>
    <w:p>
      <w:pPr>
        <w:ind w:left="400" w:right="459" w:firstLine="360"/>
        <w:spacing w:after="0" w:line="267" w:lineRule="auto"/>
        <w:rPr>
          <w:sz w:val="20"/>
          <w:szCs w:val="20"/>
          <w:color w:val="auto"/>
        </w:rPr>
      </w:pPr>
      <w:r>
        <w:rPr>
          <w:rFonts w:ascii="Arial" w:cs="Arial" w:eastAsia="Arial" w:hAnsi="Arial"/>
          <w:sz w:val="17"/>
          <w:szCs w:val="17"/>
          <w:b w:val="1"/>
          <w:bCs w:val="1"/>
          <w:i w:val="1"/>
          <w:iCs w:val="1"/>
          <w:color w:val="auto"/>
        </w:rPr>
        <w:t>John M. Siebert, Ph.D.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2011. Dr. Siebert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a member of the board of directors of Riverside Pharmaceuticals, a private company. From February 2018 to July 2020, Dr. Siebert was Acting Principal Executive Officer of Aradigm Corporation, a publicly traded respiratory pharmaceuticals development company. From November 2006 to February 2018, Dr. Siebert was a member of the board of directors of Aradigm Corporation and was Chairman of the board of directors from June 2017 to February 2018. From May 2014 to November 2015, Dr. Siebert was Chief Executive Officer of Chase Pharmaceuticals, a company conducting clinical trials in Alzheimer’s disease. From 2010 to 2014, he was a Partner and Chief Operating Officer of New Rhein Healthcare Investors, LLC, a private equity group. From 2008 to 2010, Dr. Siebert was the founder and CEO of Compan Pharmaceuticals, a companion animal pharmaceutical company developing a drug to treat transitional cell cancer. From May 2003 to October 2008, Dr. Siebert was the Chairman and Chief Executive Officer of CyDex, Inc., a privately held specialty pharmaceutical company. From September 1995 to April 2003, he was President and Chief Executive Officer of CIMA Labs Inc., a publicly traded specialty pharmaceutical company, and from July 1995 to September 1995 he was President and Chief Operating Officer of CIMA Labs. From 1992 to 1995, Dr. Siebert was Vice President, Technical Affairs at Dey Laboratories, Inc., a privately held pharmaceutical company. From 1988 to 1992, he headed R&amp;D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400" w:right="459" w:firstLine="360"/>
        <w:spacing w:after="0" w:line="241"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A copy of the Code of Ethics is currently available at ir.supernus.com/corporate -governance. Supernus will publicly disclose any waivers or amendments to the Code of Ethics that apply to the Chief Executive Officer (CEO) and senior financial officers pursuant to the requirements of the SEC.</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62" w:lineRule="exact"/>
        <w:rPr>
          <w:sz w:val="20"/>
          <w:szCs w:val="20"/>
          <w:color w:val="auto"/>
        </w:rPr>
      </w:pPr>
    </w:p>
    <w:p>
      <w:pPr>
        <w:ind w:left="400" w:right="459" w:firstLine="360"/>
        <w:spacing w:after="0" w:line="273" w:lineRule="auto"/>
        <w:rPr>
          <w:sz w:val="20"/>
          <w:szCs w:val="20"/>
          <w:color w:val="auto"/>
        </w:rPr>
      </w:pPr>
      <w:r>
        <w:rPr>
          <w:rFonts w:ascii="Arial" w:cs="Arial" w:eastAsia="Arial" w:hAnsi="Arial"/>
          <w:sz w:val="17"/>
          <w:szCs w:val="17"/>
          <w:color w:val="auto"/>
        </w:rPr>
        <w:t>Our Board of Directors currently consists of six members. Our Class I directors were elected by our stockholders at the 2019 Annual Meeting of Stockholders, our Class II directors were elected by our stockholders at the 2020 Annual Meeting of Stockholders, and our Class III directors were elected by our stockholders at the 2021 Annual Meeting of Stockholders. Our Governance and Nominating Committee and Board of Directors may consider a broad range of factors relating to the qualifications and background of nominees, including, for example, diversity, which is not limited to race, gender or national origin.</w:t>
      </w:r>
    </w:p>
    <w:p>
      <w:pPr>
        <w:spacing w:after="0" w:line="110" w:lineRule="exact"/>
        <w:rPr>
          <w:sz w:val="20"/>
          <w:szCs w:val="20"/>
          <w:color w:val="auto"/>
        </w:rPr>
      </w:pPr>
    </w:p>
    <w:p>
      <w:pPr>
        <w:ind w:left="400" w:right="559" w:firstLine="360"/>
        <w:spacing w:after="0" w:line="257" w:lineRule="auto"/>
        <w:rPr>
          <w:sz w:val="20"/>
          <w:szCs w:val="20"/>
          <w:color w:val="auto"/>
        </w:rPr>
      </w:pPr>
      <w:r>
        <w:rPr>
          <w:rFonts w:ascii="Arial" w:cs="Arial" w:eastAsia="Arial" w:hAnsi="Arial"/>
          <w:sz w:val="18"/>
          <w:szCs w:val="18"/>
          <w:color w:val="auto"/>
        </w:rPr>
        <w:t>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107" w:lineRule="exact"/>
        <w:rPr>
          <w:sz w:val="20"/>
          <w:szCs w:val="20"/>
          <w:color w:val="auto"/>
        </w:rPr>
      </w:pPr>
    </w:p>
    <w:p>
      <w:pPr>
        <w:ind w:left="400" w:right="1059" w:firstLine="360"/>
        <w:spacing w:after="0" w:line="277" w:lineRule="auto"/>
        <w:rPr>
          <w:sz w:val="20"/>
          <w:szCs w:val="20"/>
          <w:color w:val="auto"/>
        </w:rPr>
      </w:pPr>
      <w:r>
        <w:rPr>
          <w:rFonts w:ascii="Arial" w:cs="Arial" w:eastAsia="Arial" w:hAnsi="Arial"/>
          <w:sz w:val="18"/>
          <w:szCs w:val="18"/>
          <w:color w:val="auto"/>
        </w:rPr>
        <w:t>As a company listed on the NASDAQ Global Market, we are required to disclose the following aggregate demographic information about the members of our Board of Directors.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Board Diversity Matrix as of March 30, 2022</w:t>
      </w:r>
    </w:p>
    <w:p>
      <w:pPr>
        <w:spacing w:after="0" w:line="194"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Did Not Disclose</w:t>
            </w:r>
          </w:p>
        </w:tc>
      </w:tr>
      <w:tr>
        <w:trPr>
          <w:trHeight w:val="186"/>
        </w:trPr>
        <w:tc>
          <w:tcPr>
            <w:tcW w:w="502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Female</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Male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Non-Binary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Gender</w:t>
            </w:r>
          </w:p>
        </w:tc>
      </w:tr>
      <w:tr>
        <w:trPr>
          <w:trHeight w:val="25"/>
        </w:trPr>
        <w:tc>
          <w:tcPr>
            <w:tcW w:w="50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Gender Identity</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5" w:lineRule="exact"/>
        <w:rPr>
          <w:sz w:val="20"/>
          <w:szCs w:val="20"/>
          <w:color w:val="auto"/>
        </w:rPr>
      </w:pPr>
    </w:p>
    <w:tbl>
      <w:tblPr>
        <w:tblLayout w:type="fixed"/>
        <w:tblInd w:w="400" w:type="dxa"/>
        <w:tblCellMar>
          <w:top w:w="0" w:type="dxa"/>
          <w:left w:w="0" w:type="dxa"/>
          <w:bottom w:w="0" w:type="dxa"/>
          <w:right w:w="0" w:type="dxa"/>
        </w:tblCellMar>
      </w:tblPr>
      <w:tr>
        <w:trPr>
          <w:trHeight w:val="27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Directors</w:t>
            </w:r>
          </w:p>
        </w:tc>
        <w:tc>
          <w:tcPr>
            <w:tcW w:w="1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9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18"/>
        </w:trPr>
        <w:tc>
          <w:tcPr>
            <w:tcW w:w="4240" w:type="dxa"/>
            <w:vAlign w:val="bottom"/>
          </w:tcPr>
          <w:p>
            <w:pPr>
              <w:spacing w:after="0"/>
              <w:rPr>
                <w:sz w:val="20"/>
                <w:szCs w:val="20"/>
                <w:color w:val="auto"/>
              </w:rPr>
            </w:pPr>
            <w:r>
              <w:rPr>
                <w:rFonts w:ascii="Arial" w:cs="Arial" w:eastAsia="Arial" w:hAnsi="Arial"/>
                <w:sz w:val="14"/>
                <w:szCs w:val="14"/>
                <w:b w:val="1"/>
                <w:bCs w:val="1"/>
                <w:color w:val="auto"/>
              </w:rPr>
              <w:t>Demographic Background</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
        </w:trPr>
        <w:tc>
          <w:tcPr>
            <w:tcW w:w="4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African American or Black</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Alaskan Native or Native American</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r>
      <w:tr>
        <w:trPr>
          <w:trHeight w:val="25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Asian</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Hispanic or Latinx</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r>
      <w:tr>
        <w:trPr>
          <w:trHeight w:val="27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r>
      <w:tr>
        <w:trPr>
          <w:trHeight w:val="297"/>
        </w:trPr>
        <w:tc>
          <w:tcPr>
            <w:tcW w:w="4240" w:type="dxa"/>
            <w:vAlign w:val="bottom"/>
            <w:shd w:val="clear" w:color="auto" w:fill="CCEEFF"/>
          </w:tcPr>
          <w:p>
            <w:pPr>
              <w:spacing w:after="0" w:line="297" w:lineRule="exact"/>
              <w:rPr>
                <w:sz w:val="20"/>
                <w:szCs w:val="20"/>
                <w:color w:val="auto"/>
              </w:rPr>
            </w:pPr>
            <w:r>
              <w:rPr>
                <w:rFonts w:ascii="Arial" w:cs="Arial" w:eastAsia="Arial" w:hAnsi="Arial"/>
                <w:sz w:val="34"/>
                <w:szCs w:val="34"/>
                <w:color w:val="auto"/>
                <w:vertAlign w:val="subscript"/>
              </w:rPr>
              <w:t>White</w:t>
            </w:r>
            <w:r>
              <w:rPr>
                <w:rFonts w:ascii="Arial" w:cs="Arial" w:eastAsia="Arial" w:hAnsi="Arial"/>
                <w:sz w:val="12"/>
                <w:szCs w:val="12"/>
                <w:color w:val="auto"/>
              </w:rPr>
              <w:t>(1)(2)</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LGBTQ+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r>
      <w:tr>
        <w:trPr>
          <w:trHeight w:val="27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Did not Disclose Demographic Background</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146050</wp:posOffset>
            </wp:positionV>
            <wp:extent cx="1234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760" w:hanging="36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who are Military Veterans: 1</w:t>
      </w:r>
    </w:p>
    <w:p>
      <w:pPr>
        <w:spacing w:after="0" w:line="90" w:lineRule="exact"/>
        <w:rPr>
          <w:rFonts w:ascii="Arial" w:cs="Arial" w:eastAsia="Arial" w:hAnsi="Arial"/>
          <w:sz w:val="18"/>
          <w:szCs w:val="18"/>
          <w:color w:val="auto"/>
        </w:rPr>
      </w:pPr>
    </w:p>
    <w:p>
      <w:pPr>
        <w:ind w:left="760" w:hanging="36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who identify as Middle Eastern: 2</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Description of Director Qualifications, Nominating Process and Stockholder Nominations</w:t>
      </w:r>
    </w:p>
    <w:p>
      <w:pPr>
        <w:spacing w:after="0" w:line="148" w:lineRule="exact"/>
        <w:rPr>
          <w:sz w:val="20"/>
          <w:szCs w:val="20"/>
          <w:color w:val="auto"/>
        </w:rPr>
      </w:pPr>
    </w:p>
    <w:p>
      <w:pPr>
        <w:ind w:left="400" w:right="799" w:firstLine="360"/>
        <w:spacing w:after="0" w:line="274" w:lineRule="auto"/>
        <w:rPr>
          <w:sz w:val="20"/>
          <w:szCs w:val="20"/>
          <w:color w:val="auto"/>
        </w:rPr>
      </w:pPr>
      <w:r>
        <w:rPr>
          <w:rFonts w:ascii="Arial" w:cs="Arial" w:eastAsia="Arial" w:hAnsi="Arial"/>
          <w:sz w:val="17"/>
          <w:szCs w:val="17"/>
          <w:color w:val="auto"/>
        </w:rPr>
        <w:t>Members of our Board of Directors should meet certain minimum qualifications including being at least 21 years old and possessing (1) the ability to read and understand corporate financial statements,</w:t>
      </w:r>
    </w:p>
    <w:p>
      <w:pPr>
        <w:ind w:left="400" w:right="759"/>
        <w:spacing w:after="0" w:line="255"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relevant business experience and professional skills, (3) high moral character and personal and professional integrity, and (4) the willingness to commit sufficient time to attend to his or her duties and responsibilities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3" w:name="page14"/>
    <w:bookmarkEnd w:id="13"/>
    <w:p>
      <w:pPr>
        <w:ind w:left="400" w:right="579"/>
        <w:spacing w:after="0" w:line="257" w:lineRule="auto"/>
        <w:rPr>
          <w:sz w:val="20"/>
          <w:szCs w:val="20"/>
          <w:color w:val="auto"/>
        </w:rPr>
      </w:pPr>
      <w:r>
        <w:rPr>
          <w:rFonts w:ascii="Arial" w:cs="Arial" w:eastAsia="Arial" w:hAnsi="Arial"/>
          <w:sz w:val="17"/>
          <w:szCs w:val="17"/>
          <w:color w:val="auto"/>
        </w:rPr>
        <w:t>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gender, race, ethnic background and experience, and (v) the ability to work effectively with other directors in collectively serving the long-term interests of all stockholders. Nominees must also meet any applicable requirements of SEC regulations, NASDAQ rules, state law and Supernus’ charter and bylaws.</w:t>
      </w:r>
    </w:p>
    <w:p>
      <w:pPr>
        <w:spacing w:after="0" w:line="94" w:lineRule="exact"/>
        <w:rPr>
          <w:sz w:val="20"/>
          <w:szCs w:val="20"/>
          <w:color w:val="auto"/>
        </w:rPr>
      </w:pPr>
    </w:p>
    <w:p>
      <w:pPr>
        <w:ind w:left="400" w:right="479" w:firstLine="360"/>
        <w:spacing w:after="0" w:line="251" w:lineRule="auto"/>
        <w:rPr>
          <w:sz w:val="20"/>
          <w:szCs w:val="20"/>
          <w:color w:val="auto"/>
        </w:rPr>
      </w:pPr>
      <w:r>
        <w:rPr>
          <w:rFonts w:ascii="Arial" w:cs="Arial" w:eastAsia="Arial" w:hAnsi="Arial"/>
          <w:sz w:val="17"/>
          <w:szCs w:val="17"/>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 with staff support and seek input from directors and senior management, consider nominees previously submitted by stockholders, and, if deemed necessary or appropriate, hire a search firm. An initial slate of candidates satisfying the specific qualifications, if any, and otherwise qualifying for membership on the Board of Directors, will then be identified, preliminarily assessed by the Governance and Nominating Committee and remaining candidates will be presented to the Board of Directors which will then prioritize the candidates. If any of the members of the Board of Directors or senior management have relationships with the preferred candidates, they may initiate contact with a candidate. Alternatively, contact may be initiated by a search firm. The Governance and Nominating Committee will interview remaining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w:t>
      </w:r>
    </w:p>
    <w:p>
      <w:pPr>
        <w:spacing w:after="0" w:line="114" w:lineRule="exact"/>
        <w:rPr>
          <w:sz w:val="20"/>
          <w:szCs w:val="20"/>
          <w:color w:val="auto"/>
        </w:rPr>
      </w:pPr>
    </w:p>
    <w:p>
      <w:pPr>
        <w:ind w:left="400" w:right="419" w:firstLine="360"/>
        <w:spacing w:after="0" w:line="250" w:lineRule="auto"/>
        <w:rPr>
          <w:sz w:val="20"/>
          <w:szCs w:val="20"/>
          <w:color w:val="auto"/>
        </w:rPr>
      </w:pPr>
      <w:r>
        <w:rPr>
          <w:rFonts w:ascii="Arial" w:cs="Arial" w:eastAsia="Arial" w:hAnsi="Arial"/>
          <w:sz w:val="17"/>
          <w:szCs w:val="17"/>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Annual Meeting of Stockholders, or, if we did not have an Annual Meeting of Stockholders in the prior year or if the date of the current year’s Annual Meeting of Stockholders is more than 30 days before or after the anniversary date of the prior year’s Annual Meeting of Stockholders, on or before 15 days after the day on which the date of the current year’s Annual Meeting of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as set forth in our Amended and Restated Bylaws, a copy of which has been filed with the SEC. In making recommendations or nominations, stockholders must adhere to all of the required procedures set forth in our Amended and Restated Bylaws. Stockholders should also consider the minimum qualifications determined by our Board of Directors for Board members as noted elsewhere in this Proxy Statement. All nominees for director, including nominees recommended by a stockholder, shall be evaluated on the same basis.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Director Resignation Policy</w:t>
      </w:r>
    </w:p>
    <w:p>
      <w:pPr>
        <w:spacing w:after="0" w:line="162" w:lineRule="exact"/>
        <w:rPr>
          <w:sz w:val="20"/>
          <w:szCs w:val="20"/>
          <w:color w:val="auto"/>
        </w:rPr>
      </w:pPr>
    </w:p>
    <w:p>
      <w:pPr>
        <w:ind w:left="400" w:right="439" w:firstLine="360"/>
        <w:spacing w:after="0" w:line="255" w:lineRule="auto"/>
        <w:rPr>
          <w:sz w:val="20"/>
          <w:szCs w:val="20"/>
          <w:color w:val="auto"/>
        </w:rPr>
      </w:pPr>
      <w:r>
        <w:rPr>
          <w:rFonts w:ascii="Arial" w:cs="Arial" w:eastAsia="Arial" w:hAnsi="Arial"/>
          <w:sz w:val="17"/>
          <w:szCs w:val="17"/>
          <w:color w:val="auto"/>
        </w:rPr>
        <w:t>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Governance and Nominating Committee, in making its recommendation, and the Board of Directors, in making its decision, may consider any factors or other information that it considers appropriate, including the reasons (if any) given by shareholders as to</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 w:name="page15"/>
    <w:bookmarkEnd w:id="14"/>
    <w:p>
      <w:pPr>
        <w:ind w:left="400" w:right="419"/>
        <w:spacing w:after="0" w:line="238" w:lineRule="auto"/>
        <w:rPr>
          <w:sz w:val="20"/>
          <w:szCs w:val="20"/>
          <w:color w:val="auto"/>
        </w:rPr>
      </w:pPr>
      <w:r>
        <w:rPr>
          <w:rFonts w:ascii="Arial" w:cs="Arial" w:eastAsia="Arial" w:hAnsi="Arial"/>
          <w:sz w:val="18"/>
          <w:szCs w:val="18"/>
          <w:color w:val="auto"/>
        </w:rPr>
        <w:t>why they withheld their votes, the qualifications of the tendering director, the composition of and number of independent directors remaining on the Board of Directors if the Board of Directors accepted the resignation of the tendering director, and his or her contributions to the Board of Directors and the Company. The Board of Directors, taking into account the Governance and Nominating Committee’s recommendation, will act on each tendered resignation within 90 days following the certification of the stockholder vote. If a director’s tendered resignation is accepted by the Board of Directors, then the Board of Directors may fill any resulting vacancy or may decrease the number of directors comprising the Board of Directors. If a director’s tendered resignation is rejected by the Board of Directors, the director will continue to serve for the remainder of his or her term and until his or her successor is duly elected, or his or her earlier death, resignation or removal.</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00" w:right="439" w:firstLine="360"/>
        <w:spacing w:after="0" w:line="251" w:lineRule="auto"/>
        <w:rPr>
          <w:sz w:val="20"/>
          <w:szCs w:val="20"/>
          <w:color w:val="auto"/>
        </w:rPr>
      </w:pPr>
      <w:r>
        <w:rPr>
          <w:rFonts w:ascii="Arial" w:cs="Arial" w:eastAsia="Arial" w:hAnsi="Arial"/>
          <w:sz w:val="17"/>
          <w:szCs w:val="17"/>
          <w:color w:val="auto"/>
        </w:rPr>
        <w:t>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the Marketplace Rules, an affirmative determination must be made that members of a compensation committee are independent from management in connection with the duties of a compensation committee member.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20" w:lineRule="exact"/>
        <w:rPr>
          <w:sz w:val="20"/>
          <w:szCs w:val="20"/>
          <w:color w:val="auto"/>
        </w:rPr>
      </w:pPr>
    </w:p>
    <w:p>
      <w:pPr>
        <w:jc w:val="both"/>
        <w:ind w:left="400" w:right="619" w:firstLine="360"/>
        <w:spacing w:after="0" w:line="248" w:lineRule="auto"/>
        <w:rPr>
          <w:sz w:val="20"/>
          <w:szCs w:val="20"/>
          <w:color w:val="auto"/>
        </w:rPr>
      </w:pPr>
      <w:r>
        <w:rPr>
          <w:rFonts w:ascii="Arial" w:cs="Arial" w:eastAsia="Arial" w:hAnsi="Arial"/>
          <w:sz w:val="18"/>
          <w:szCs w:val="18"/>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jc w:val="both"/>
        <w:ind w:left="400" w:right="499" w:firstLine="360"/>
        <w:spacing w:after="0" w:line="271" w:lineRule="auto"/>
        <w:rPr>
          <w:sz w:val="20"/>
          <w:szCs w:val="20"/>
          <w:color w:val="auto"/>
        </w:rPr>
      </w:pPr>
      <w:r>
        <w:rPr>
          <w:rFonts w:ascii="Arial" w:cs="Arial" w:eastAsia="Arial" w:hAnsi="Arial"/>
          <w:sz w:val="17"/>
          <w:szCs w:val="17"/>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w:t>
      </w:r>
    </w:p>
    <w:p>
      <w:pPr>
        <w:ind w:left="400" w:right="459"/>
        <w:spacing w:after="0" w:line="270" w:lineRule="auto"/>
        <w:rPr>
          <w:sz w:val="20"/>
          <w:szCs w:val="20"/>
          <w:color w:val="auto"/>
        </w:rPr>
      </w:pPr>
      <w:r>
        <w:rPr>
          <w:rFonts w:ascii="Arial" w:cs="Arial" w:eastAsia="Arial" w:hAnsi="Arial"/>
          <w:sz w:val="17"/>
          <w:szCs w:val="17"/>
          <w:color w:val="auto"/>
        </w:rPr>
        <w:t>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Board of Directors’ Role in the Oversight of Risk Management</w:t>
      </w:r>
    </w:p>
    <w:p>
      <w:pPr>
        <w:spacing w:after="0" w:line="148" w:lineRule="exact"/>
        <w:rPr>
          <w:sz w:val="20"/>
          <w:szCs w:val="20"/>
          <w:color w:val="auto"/>
        </w:rPr>
      </w:pPr>
    </w:p>
    <w:p>
      <w:pPr>
        <w:ind w:left="400" w:right="619" w:firstLine="360"/>
        <w:spacing w:after="0" w:line="253" w:lineRule="auto"/>
        <w:rPr>
          <w:sz w:val="20"/>
          <w:szCs w:val="20"/>
          <w:color w:val="auto"/>
        </w:rPr>
      </w:pPr>
      <w:r>
        <w:rPr>
          <w:rFonts w:ascii="Arial" w:cs="Arial" w:eastAsia="Arial" w:hAnsi="Arial"/>
          <w:sz w:val="18"/>
          <w:szCs w:val="18"/>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including cybersecurity risks.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 w:name="page16"/>
    <w:bookmarkEnd w:id="15"/>
    <w:p>
      <w:pPr>
        <w:ind w:left="400" w:right="539"/>
        <w:spacing w:after="0" w:line="251" w:lineRule="auto"/>
        <w:rPr>
          <w:sz w:val="20"/>
          <w:szCs w:val="20"/>
          <w:color w:val="auto"/>
        </w:rPr>
      </w:pPr>
      <w:r>
        <w:rPr>
          <w:rFonts w:ascii="Arial" w:cs="Arial" w:eastAsia="Arial" w:hAnsi="Arial"/>
          <w:sz w:val="17"/>
          <w:szCs w:val="17"/>
          <w:color w:val="auto"/>
        </w:rPr>
        <w:t>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of Directors meetings and is available to address any questions or concerns raised by the Board concerning risk management-related and other 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and the Governance and Nominating Committee assists the Board of Directors concerning the organization, membership and structure of the Board of Directors and facilitating the annual Board of Directors assessment process.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400" w:right="479" w:firstLine="360"/>
        <w:spacing w:after="0" w:line="243" w:lineRule="auto"/>
        <w:rPr>
          <w:sz w:val="20"/>
          <w:szCs w:val="20"/>
          <w:color w:val="auto"/>
        </w:rPr>
      </w:pPr>
      <w:r>
        <w:rPr>
          <w:rFonts w:ascii="Arial" w:cs="Arial" w:eastAsia="Arial" w:hAnsi="Arial"/>
          <w:sz w:val="18"/>
          <w:szCs w:val="18"/>
          <w:color w:val="auto"/>
        </w:rPr>
        <w:t>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400" w:right="459" w:firstLine="360"/>
        <w:spacing w:after="0" w:line="251" w:lineRule="auto"/>
        <w:rPr>
          <w:sz w:val="20"/>
          <w:szCs w:val="20"/>
          <w:color w:val="auto"/>
        </w:rPr>
      </w:pPr>
      <w:r>
        <w:rPr>
          <w:rFonts w:ascii="Arial" w:cs="Arial" w:eastAsia="Arial" w:hAnsi="Arial"/>
          <w:sz w:val="17"/>
          <w:szCs w:val="17"/>
          <w:color w:val="auto"/>
        </w:rPr>
        <w:t>The current members of our Audit Committee are Mr. Hudson, who is the Chair of the committee, Dr. Siebert and Dr. Gemayel. All members of our Audit Committee meet the requirements for financial literacy under the applicable rules and regulations of the SEC and The NASDAQ Global Market. Our Board of Directors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w:t>
      </w:r>
    </w:p>
    <w:p>
      <w:pPr>
        <w:spacing w:after="0" w:line="2" w:lineRule="exact"/>
        <w:rPr>
          <w:sz w:val="20"/>
          <w:szCs w:val="20"/>
          <w:color w:val="auto"/>
        </w:rPr>
      </w:pPr>
    </w:p>
    <w:p>
      <w:pPr>
        <w:ind w:left="400" w:right="439"/>
        <w:spacing w:after="0" w:line="237" w:lineRule="auto"/>
        <w:rPr>
          <w:sz w:val="20"/>
          <w:szCs w:val="20"/>
          <w:color w:val="auto"/>
        </w:rPr>
      </w:pPr>
      <w:r>
        <w:rPr>
          <w:rFonts w:ascii="Arial" w:cs="Arial" w:eastAsia="Arial" w:hAnsi="Arial"/>
          <w:sz w:val="18"/>
          <w:szCs w:val="18"/>
          <w:color w:val="auto"/>
        </w:rPr>
        <w:t>Mr. Hudson, Dr. Siebert and Dr. Gemayel are independent directors as defined under the applicable rules and regulations of the SEC and The NASDAQ Global Market. The Audit Committee held six (6) meetings during the last fiscal year. The Audit Committee operates under a written charter that satisfies the applicable standards of the SEC and The NASDAQ Global Market and is currently available at ir.supernus.com/corporate-governance.</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audit committee’s responsibilities include:</w:t>
      </w:r>
    </w:p>
    <w:p>
      <w:pPr>
        <w:spacing w:after="0" w:line="104" w:lineRule="exact"/>
        <w:rPr>
          <w:sz w:val="20"/>
          <w:szCs w:val="20"/>
          <w:color w:val="auto"/>
        </w:rPr>
      </w:pPr>
    </w:p>
    <w:p>
      <w:pPr>
        <w:ind w:left="940" w:right="919" w:hanging="180"/>
        <w:spacing w:after="0" w:line="308"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discussing with management and the independent auditors the audited financial statements, the results of the annual audit and the review of our quarterly financial statements;</w:t>
      </w:r>
    </w:p>
    <w:p>
      <w:pPr>
        <w:spacing w:after="0" w:line="38" w:lineRule="exact"/>
        <w:rPr>
          <w:rFonts w:ascii="Arial" w:cs="Arial" w:eastAsia="Arial" w:hAnsi="Arial"/>
          <w:sz w:val="17"/>
          <w:szCs w:val="17"/>
          <w:color w:val="auto"/>
        </w:rPr>
      </w:pPr>
    </w:p>
    <w:p>
      <w:pPr>
        <w:ind w:left="940" w:right="899" w:hanging="180"/>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internal auditors, if any, and independent auditors the quality and adequacy of our internal controls and internal auditing procedures;</w:t>
      </w:r>
    </w:p>
    <w:p>
      <w:pPr>
        <w:spacing w:after="0" w:line="48" w:lineRule="exact"/>
        <w:rPr>
          <w:rFonts w:ascii="Arial" w:cs="Arial" w:eastAsia="Arial" w:hAnsi="Arial"/>
          <w:sz w:val="18"/>
          <w:szCs w:val="18"/>
          <w:color w:val="auto"/>
        </w:rPr>
      </w:pPr>
    </w:p>
    <w:p>
      <w:pPr>
        <w:ind w:left="940" w:right="519" w:hanging="180"/>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the significant risks and exposures facing the Company and related risk mitigation plans;</w:t>
      </w:r>
    </w:p>
    <w:p>
      <w:pPr>
        <w:spacing w:after="0" w:line="62" w:lineRule="exact"/>
        <w:rPr>
          <w:rFonts w:ascii="Arial" w:cs="Arial" w:eastAsia="Arial" w:hAnsi="Arial"/>
          <w:sz w:val="18"/>
          <w:szCs w:val="18"/>
          <w:color w:val="auto"/>
        </w:rPr>
      </w:pPr>
    </w:p>
    <w:p>
      <w:pPr>
        <w:ind w:left="940" w:right="1099" w:hanging="180"/>
        <w:spacing w:after="0" w:line="308"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with management and the independent auditors our accounting policies, including discussing with the independent auditors any changes in our critical accounting principles;</w:t>
      </w:r>
    </w:p>
    <w:p>
      <w:pPr>
        <w:spacing w:after="0" w:line="38" w:lineRule="exact"/>
        <w:rPr>
          <w:rFonts w:ascii="Arial" w:cs="Arial" w:eastAsia="Arial" w:hAnsi="Arial"/>
          <w:sz w:val="17"/>
          <w:szCs w:val="17"/>
          <w:color w:val="auto"/>
        </w:rPr>
      </w:pPr>
    </w:p>
    <w:p>
      <w:pPr>
        <w:ind w:left="940" w:right="659" w:hanging="180"/>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its processes for complying with certification requirements under the Sarbanes-Oxley Act;</w:t>
      </w:r>
    </w:p>
    <w:p>
      <w:pPr>
        <w:spacing w:after="0" w:line="62" w:lineRule="exact"/>
        <w:rPr>
          <w:rFonts w:ascii="Arial" w:cs="Arial" w:eastAsia="Arial" w:hAnsi="Arial"/>
          <w:sz w:val="18"/>
          <w:szCs w:val="18"/>
          <w:color w:val="auto"/>
        </w:rPr>
      </w:pPr>
    </w:p>
    <w:p>
      <w:pPr>
        <w:ind w:left="940" w:right="979" w:hanging="180"/>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the independent auditors any material correcting adjustments identified by the independent auditors;</w:t>
      </w:r>
    </w:p>
    <w:p>
      <w:pPr>
        <w:spacing w:after="0" w:line="48" w:lineRule="exact"/>
        <w:rPr>
          <w:rFonts w:ascii="Arial" w:cs="Arial" w:eastAsia="Arial" w:hAnsi="Arial"/>
          <w:sz w:val="18"/>
          <w:szCs w:val="18"/>
          <w:color w:val="auto"/>
        </w:rPr>
      </w:pPr>
    </w:p>
    <w:p>
      <w:pPr>
        <w:ind w:left="940" w:right="1159" w:hanging="180"/>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engagement of the independent auditors, and approving the retention of the independent auditors to perform any proposed permissible non-audit services;</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the scope of the annual audit with the independent auditors and approving the audit fee;</w:t>
      </w:r>
    </w:p>
    <w:p>
      <w:pPr>
        <w:spacing w:after="0" w:line="128" w:lineRule="exact"/>
        <w:rPr>
          <w:rFonts w:ascii="Arial" w:cs="Arial" w:eastAsia="Arial" w:hAnsi="Arial"/>
          <w:sz w:val="17"/>
          <w:szCs w:val="17"/>
          <w:color w:val="auto"/>
        </w:rPr>
      </w:pPr>
    </w:p>
    <w:p>
      <w:pPr>
        <w:ind w:left="940" w:hanging="180"/>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independence and performance;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 w:name="page17"/>
    <w:bookmarkEnd w:id="16"/>
    <w:p>
      <w:pPr>
        <w:ind w:left="940" w:right="69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hiring policies for employees or former employees of the independent auditors that meet SEC regulations and applicable NASDAQ listing standards;</w:t>
      </w:r>
    </w:p>
    <w:p>
      <w:pPr>
        <w:spacing w:after="0" w:line="48" w:lineRule="exact"/>
        <w:rPr>
          <w:rFonts w:ascii="Arial" w:cs="Arial" w:eastAsia="Arial" w:hAnsi="Arial"/>
          <w:sz w:val="18"/>
          <w:szCs w:val="18"/>
          <w:color w:val="auto"/>
        </w:rPr>
      </w:pPr>
    </w:p>
    <w:p>
      <w:pPr>
        <w:ind w:left="940" w:right="71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all related-party transactions required to be disclosed pursuant to Item 404 of Regulation S-K;</w:t>
      </w:r>
    </w:p>
    <w:p>
      <w:pPr>
        <w:spacing w:after="0" w:line="48" w:lineRule="exact"/>
        <w:rPr>
          <w:rFonts w:ascii="Arial" w:cs="Arial" w:eastAsia="Arial" w:hAnsi="Arial"/>
          <w:sz w:val="18"/>
          <w:szCs w:val="18"/>
          <w:color w:val="auto"/>
        </w:rPr>
      </w:pPr>
    </w:p>
    <w:p>
      <w:pPr>
        <w:ind w:left="940" w:right="75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whether the Company’s audited financial statements should be included in the Company’s Annual Report on Form 10-K;</w:t>
      </w:r>
    </w:p>
    <w:p>
      <w:pPr>
        <w:spacing w:after="0" w:line="62" w:lineRule="exact"/>
        <w:rPr>
          <w:rFonts w:ascii="Arial" w:cs="Arial" w:eastAsia="Arial" w:hAnsi="Arial"/>
          <w:sz w:val="18"/>
          <w:szCs w:val="18"/>
          <w:color w:val="auto"/>
        </w:rPr>
      </w:pPr>
    </w:p>
    <w:p>
      <w:pPr>
        <w:ind w:left="940" w:right="57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 written report to be included in the Company’s annual proxy statement for each Annual Meeting of Stockholders;</w:t>
      </w:r>
    </w:p>
    <w:p>
      <w:pPr>
        <w:spacing w:after="0" w:line="48" w:lineRule="exact"/>
        <w:rPr>
          <w:rFonts w:ascii="Arial" w:cs="Arial" w:eastAsia="Arial" w:hAnsi="Arial"/>
          <w:sz w:val="18"/>
          <w:szCs w:val="18"/>
          <w:color w:val="auto"/>
        </w:rPr>
      </w:pPr>
    </w:p>
    <w:p>
      <w:pPr>
        <w:ind w:left="940" w:right="91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the independent auditors any material communication between the independent auditor and management;</w:t>
      </w:r>
    </w:p>
    <w:p>
      <w:pPr>
        <w:spacing w:after="0" w:line="48" w:lineRule="exact"/>
        <w:rPr>
          <w:rFonts w:ascii="Arial" w:cs="Arial" w:eastAsia="Arial" w:hAnsi="Arial"/>
          <w:sz w:val="18"/>
          <w:szCs w:val="18"/>
          <w:color w:val="auto"/>
        </w:rPr>
      </w:pPr>
    </w:p>
    <w:p>
      <w:pPr>
        <w:ind w:left="940" w:right="81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updating and approving a code of conduct and ethics for senior financial officers and certain other employees and agents of the Company;</w:t>
      </w:r>
    </w:p>
    <w:p>
      <w:pPr>
        <w:spacing w:after="0" w:line="62" w:lineRule="exact"/>
        <w:rPr>
          <w:rFonts w:ascii="Arial" w:cs="Arial" w:eastAsia="Arial" w:hAnsi="Arial"/>
          <w:sz w:val="18"/>
          <w:szCs w:val="18"/>
          <w:color w:val="auto"/>
        </w:rPr>
      </w:pPr>
    </w:p>
    <w:p>
      <w:pPr>
        <w:ind w:left="940" w:right="659" w:hanging="180"/>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procedures for the review and treatment of complaints received regarding accounting, internal accounting control or auditing matters;</w:t>
      </w:r>
    </w:p>
    <w:p>
      <w:pPr>
        <w:spacing w:after="0" w:line="48" w:lineRule="exact"/>
        <w:rPr>
          <w:rFonts w:ascii="Arial" w:cs="Arial" w:eastAsia="Arial" w:hAnsi="Arial"/>
          <w:sz w:val="18"/>
          <w:szCs w:val="18"/>
          <w:color w:val="auto"/>
        </w:rPr>
      </w:pPr>
    </w:p>
    <w:p>
      <w:pPr>
        <w:ind w:left="940" w:hanging="18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the Audit Committee’s performance; and</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reviewing the Audit Committee charter.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400" w:right="679" w:firstLine="360"/>
        <w:spacing w:after="0" w:line="252" w:lineRule="auto"/>
        <w:rPr>
          <w:sz w:val="20"/>
          <w:szCs w:val="20"/>
          <w:color w:val="auto"/>
        </w:rPr>
      </w:pPr>
      <w:r>
        <w:rPr>
          <w:rFonts w:ascii="Arial" w:cs="Arial" w:eastAsia="Arial" w:hAnsi="Arial"/>
          <w:sz w:val="17"/>
          <w:szCs w:val="17"/>
          <w:color w:val="auto"/>
        </w:rPr>
        <w:t>The current members of our Compensation Committee are Dr. Siebert, who is the Chair of the committee, Mr. Newhall and Mr. Hudson.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 six</w:t>
      </w:r>
    </w:p>
    <w:p>
      <w:pPr>
        <w:spacing w:after="0" w:line="2" w:lineRule="exact"/>
        <w:rPr>
          <w:sz w:val="20"/>
          <w:szCs w:val="20"/>
          <w:color w:val="auto"/>
        </w:rPr>
      </w:pPr>
    </w:p>
    <w:p>
      <w:pPr>
        <w:jc w:val="both"/>
        <w:ind w:left="400" w:right="499"/>
        <w:spacing w:after="0" w:line="260"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meetings during the last fiscal year. The Compensation Committee operates under a written charter that satisfies the applicable standards of the SEC and The NASDAQ Global Market and is currently available at ir.supernus.com/corporate-governance. The Compensation Committee’s responsibilities include:</w:t>
      </w:r>
    </w:p>
    <w:p>
      <w:pPr>
        <w:spacing w:after="0" w:line="64" w:lineRule="exact"/>
        <w:rPr>
          <w:rFonts w:ascii="Arial" w:cs="Arial" w:eastAsia="Arial" w:hAnsi="Arial"/>
          <w:sz w:val="17"/>
          <w:szCs w:val="17"/>
          <w:color w:val="auto"/>
        </w:rPr>
      </w:pPr>
    </w:p>
    <w:p>
      <w:pPr>
        <w:ind w:left="940" w:right="719" w:hanging="180"/>
        <w:spacing w:after="0" w:line="277"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and other executive officers;</w:t>
      </w:r>
    </w:p>
    <w:p>
      <w:pPr>
        <w:spacing w:after="0" w:line="48" w:lineRule="exact"/>
        <w:rPr>
          <w:rFonts w:ascii="Arial" w:cs="Arial" w:eastAsia="Arial" w:hAnsi="Arial"/>
          <w:sz w:val="18"/>
          <w:szCs w:val="18"/>
          <w:color w:val="auto"/>
        </w:rPr>
      </w:pPr>
    </w:p>
    <w:p>
      <w:pPr>
        <w:ind w:left="940" w:hanging="180"/>
        <w:spacing w:after="0"/>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those goals and objectives;</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setting the compensation of our executive officers, other than the CEO, based on such evaluations;</w:t>
      </w:r>
    </w:p>
    <w:p>
      <w:pPr>
        <w:spacing w:after="0" w:line="128" w:lineRule="exact"/>
        <w:rPr>
          <w:rFonts w:ascii="Arial" w:cs="Arial" w:eastAsia="Arial" w:hAnsi="Arial"/>
          <w:sz w:val="17"/>
          <w:szCs w:val="17"/>
          <w:color w:val="auto"/>
        </w:rPr>
      </w:pPr>
    </w:p>
    <w:p>
      <w:pPr>
        <w:ind w:left="940" w:right="639" w:hanging="180"/>
        <w:spacing w:after="0" w:line="263"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reviewing and recommending for approval by the independent directors on the Board of Directors, the compensation of our CEO based on the Compensation Committee’s review of the CEO’s performance;</w:t>
      </w:r>
    </w:p>
    <w:p>
      <w:pPr>
        <w:spacing w:after="0" w:line="62" w:lineRule="exact"/>
        <w:rPr>
          <w:rFonts w:ascii="Arial" w:cs="Arial" w:eastAsia="Arial" w:hAnsi="Arial"/>
          <w:sz w:val="18"/>
          <w:szCs w:val="18"/>
          <w:color w:val="auto"/>
        </w:rPr>
      </w:pPr>
    </w:p>
    <w:p>
      <w:pPr>
        <w:ind w:left="940" w:right="419" w:hanging="180"/>
        <w:spacing w:after="0" w:line="263"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adoption of incentive compensation plans and equity-based plans, as well as the Company’s 401(k) plan, and administering the Company’s existing incentive compensation plans and equity-based plans;</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compensation of directors;</w:t>
      </w:r>
    </w:p>
    <w:p>
      <w:pPr>
        <w:spacing w:after="0" w:line="117" w:lineRule="exact"/>
        <w:rPr>
          <w:rFonts w:ascii="Arial" w:cs="Arial" w:eastAsia="Arial" w:hAnsi="Arial"/>
          <w:sz w:val="18"/>
          <w:szCs w:val="18"/>
          <w:color w:val="auto"/>
        </w:rPr>
      </w:pPr>
    </w:p>
    <w:p>
      <w:pPr>
        <w:ind w:left="940" w:right="659" w:hanging="180"/>
        <w:spacing w:after="0" w:line="259"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the Company’s filings with the SEC, and recommending to the Board of Directors whether such Compensation Discussion and Analysis should be included in the Company’s annual proxy statement or annual report;</w:t>
      </w:r>
    </w:p>
    <w:p>
      <w:pPr>
        <w:spacing w:after="0" w:line="65" w:lineRule="exact"/>
        <w:rPr>
          <w:rFonts w:ascii="Arial" w:cs="Arial" w:eastAsia="Arial" w:hAnsi="Arial"/>
          <w:sz w:val="18"/>
          <w:szCs w:val="18"/>
          <w:color w:val="auto"/>
        </w:rPr>
      </w:pPr>
    </w:p>
    <w:p>
      <w:pPr>
        <w:ind w:left="940" w:right="579" w:hanging="180"/>
        <w:spacing w:after="0" w:line="277"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preparing a written report to be included in the Company’s annual proxy statement for each Annual Meeting of Stockholders;</w:t>
      </w:r>
    </w:p>
    <w:p>
      <w:pPr>
        <w:spacing w:after="0" w:line="48" w:lineRule="exact"/>
        <w:rPr>
          <w:rFonts w:ascii="Arial" w:cs="Arial" w:eastAsia="Arial" w:hAnsi="Arial"/>
          <w:sz w:val="18"/>
          <w:szCs w:val="18"/>
          <w:color w:val="auto"/>
        </w:rPr>
      </w:pPr>
    </w:p>
    <w:p>
      <w:pPr>
        <w:ind w:left="940" w:right="999" w:hanging="180"/>
        <w:spacing w:after="0" w:line="277"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overseeing management’s succession planning for succession of senior management positions including the position of CEO;</w:t>
      </w:r>
    </w:p>
    <w:p>
      <w:pPr>
        <w:spacing w:after="0" w:line="48" w:lineRule="exact"/>
        <w:rPr>
          <w:rFonts w:ascii="Arial" w:cs="Arial" w:eastAsia="Arial" w:hAnsi="Arial"/>
          <w:sz w:val="18"/>
          <w:szCs w:val="18"/>
          <w:color w:val="auto"/>
        </w:rPr>
      </w:pPr>
    </w:p>
    <w:p>
      <w:pPr>
        <w:ind w:left="940" w:right="1159" w:hanging="180"/>
        <w:spacing w:after="0" w:line="308" w:lineRule="auto"/>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annually reviewing and evaluating the performance of the Compensation Committee and its members, including compliance of the Compensation Committee with its charter;</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7" w:name="page18"/>
    <w:bookmarkEnd w:id="17"/>
    <w:p>
      <w:pPr>
        <w:ind w:left="940" w:hanging="180"/>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periodically reviewing the Compensation Committee charter; and</w:t>
      </w:r>
    </w:p>
    <w:p>
      <w:pPr>
        <w:spacing w:after="0" w:line="117" w:lineRule="exact"/>
        <w:rPr>
          <w:rFonts w:ascii="Arial" w:cs="Arial" w:eastAsia="Arial" w:hAnsi="Arial"/>
          <w:sz w:val="18"/>
          <w:szCs w:val="18"/>
          <w:color w:val="auto"/>
        </w:rPr>
      </w:pPr>
    </w:p>
    <w:p>
      <w:pPr>
        <w:ind w:left="940" w:right="639" w:hanging="180"/>
        <w:spacing w:after="0" w:line="342" w:lineRule="auto"/>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engaging and collaborating with an independent compensation consultant to establish a peer group and assess the Company’s compensation policies and practices in relation to such peer group.</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44"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8"/>
          <w:szCs w:val="18"/>
          <w:color w:val="auto"/>
        </w:rPr>
        <w:t>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did not hold a meeting during the last fiscal year. The Governance and Nominating Committee operates under a written charter that satisfies the applicable standards of the SEC and The NASDAQ Global Market and is currently available at ir.supernus.com/corporate-governance.</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Governance and Nominating Committee’s responsibilities include:</w:t>
      </w:r>
    </w:p>
    <w:p>
      <w:pPr>
        <w:spacing w:after="0" w:line="117" w:lineRule="exact"/>
        <w:rPr>
          <w:sz w:val="20"/>
          <w:szCs w:val="20"/>
          <w:color w:val="auto"/>
        </w:rPr>
      </w:pPr>
    </w:p>
    <w:p>
      <w:pPr>
        <w:ind w:left="940" w:right="959" w:hanging="180"/>
        <w:spacing w:after="0" w:line="308"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candidates for directorships and assisting the Board of Directors in identifying and recruiting such individuals;</w:t>
      </w:r>
    </w:p>
    <w:p>
      <w:pPr>
        <w:spacing w:after="0" w:line="38" w:lineRule="exact"/>
        <w:rPr>
          <w:rFonts w:ascii="Arial" w:cs="Arial" w:eastAsia="Arial" w:hAnsi="Arial"/>
          <w:sz w:val="17"/>
          <w:szCs w:val="17"/>
          <w:color w:val="auto"/>
        </w:rPr>
      </w:pPr>
    </w:p>
    <w:p>
      <w:pPr>
        <w:ind w:left="940" w:right="479" w:hanging="180"/>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qualified individuals to serve as committee members on the various Board committees;</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performance, operations and composition of the Board of Directors;</w:t>
      </w:r>
    </w:p>
    <w:p>
      <w:pPr>
        <w:spacing w:after="0" w:line="117" w:lineRule="exact"/>
        <w:rPr>
          <w:rFonts w:ascii="Arial" w:cs="Arial" w:eastAsia="Arial" w:hAnsi="Arial"/>
          <w:sz w:val="18"/>
          <w:szCs w:val="18"/>
          <w:color w:val="auto"/>
        </w:rPr>
      </w:pPr>
    </w:p>
    <w:p>
      <w:pPr>
        <w:ind w:left="940" w:right="819" w:hanging="180"/>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need for continuing education of directors as specifically related to service on the Board of Directors and board committees;</w:t>
      </w:r>
    </w:p>
    <w:p>
      <w:pPr>
        <w:spacing w:after="0" w:line="62" w:lineRule="exact"/>
        <w:rPr>
          <w:rFonts w:ascii="Arial" w:cs="Arial" w:eastAsia="Arial" w:hAnsi="Arial"/>
          <w:sz w:val="18"/>
          <w:szCs w:val="18"/>
          <w:color w:val="auto"/>
        </w:rPr>
      </w:pPr>
    </w:p>
    <w:p>
      <w:pPr>
        <w:ind w:left="940" w:right="519" w:hanging="180"/>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assessing and reviewing our corporate governance guidelines and recommending any changes to the Board of Directors;</w:t>
      </w:r>
    </w:p>
    <w:p>
      <w:pPr>
        <w:spacing w:after="0" w:line="62" w:lineRule="exact"/>
        <w:rPr>
          <w:rFonts w:ascii="Arial" w:cs="Arial" w:eastAsia="Arial" w:hAnsi="Arial"/>
          <w:sz w:val="18"/>
          <w:szCs w:val="18"/>
          <w:color w:val="auto"/>
        </w:rPr>
      </w:pPr>
    </w:p>
    <w:p>
      <w:pPr>
        <w:ind w:left="940" w:right="879" w:hanging="180"/>
        <w:spacing w:after="0" w:line="308"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monitoring and safeguarding the independent of the Board of Directors and reviewing potential conflicts of interest between a director and the Company or a member of senior management;</w:t>
      </w:r>
    </w:p>
    <w:p>
      <w:pPr>
        <w:spacing w:after="0" w:line="38" w:lineRule="exact"/>
        <w:rPr>
          <w:rFonts w:ascii="Arial" w:cs="Arial" w:eastAsia="Arial" w:hAnsi="Arial"/>
          <w:sz w:val="17"/>
          <w:szCs w:val="17"/>
          <w:color w:val="auto"/>
        </w:rPr>
      </w:pPr>
    </w:p>
    <w:p>
      <w:pPr>
        <w:ind w:left="940" w:hanging="18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and making recommendations to our Board concerning governance matters;</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reviewing the Governance and Nominating Committee’s performance; and</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reviewing the Governance and Nominating Committee charter.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58" w:lineRule="exact"/>
        <w:rPr>
          <w:sz w:val="20"/>
          <w:szCs w:val="20"/>
          <w:color w:val="auto"/>
        </w:rPr>
      </w:pPr>
    </w:p>
    <w:p>
      <w:pPr>
        <w:ind w:left="400" w:right="499" w:firstLine="360"/>
        <w:spacing w:after="0" w:line="277" w:lineRule="auto"/>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Procedures for Related Person Transactions</w:t>
      </w:r>
    </w:p>
    <w:p>
      <w:pPr>
        <w:spacing w:after="0" w:line="144" w:lineRule="exact"/>
        <w:rPr>
          <w:sz w:val="20"/>
          <w:szCs w:val="20"/>
          <w:color w:val="auto"/>
        </w:rPr>
      </w:pPr>
    </w:p>
    <w:p>
      <w:pPr>
        <w:ind w:left="400" w:right="479" w:firstLine="360"/>
        <w:spacing w:after="0" w:line="257" w:lineRule="auto"/>
        <w:rPr>
          <w:sz w:val="20"/>
          <w:szCs w:val="20"/>
          <w:color w:val="auto"/>
        </w:rPr>
      </w:pPr>
      <w:r>
        <w:rPr>
          <w:rFonts w:ascii="Arial" w:cs="Arial" w:eastAsia="Arial" w:hAnsi="Arial"/>
          <w:sz w:val="18"/>
          <w:szCs w:val="18"/>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Transactions with Related Persons and Certain Control Persons</w:t>
      </w:r>
    </w:p>
    <w:p>
      <w:pPr>
        <w:spacing w:after="0" w:line="158" w:lineRule="exact"/>
        <w:rPr>
          <w:sz w:val="20"/>
          <w:szCs w:val="20"/>
          <w:color w:val="auto"/>
        </w:rPr>
      </w:pPr>
    </w:p>
    <w:p>
      <w:pPr>
        <w:ind w:left="400" w:right="459" w:firstLine="360"/>
        <w:spacing w:after="0" w:line="255" w:lineRule="auto"/>
        <w:rPr>
          <w:sz w:val="20"/>
          <w:szCs w:val="20"/>
          <w:color w:val="auto"/>
        </w:rPr>
      </w:pPr>
      <w:r>
        <w:rPr>
          <w:rFonts w:ascii="Arial" w:cs="Arial" w:eastAsia="Arial" w:hAnsi="Arial"/>
          <w:sz w:val="18"/>
          <w:szCs w:val="18"/>
          <w:color w:val="auto"/>
        </w:rPr>
        <w:t>Other than the transactions set forth below, since January 1, 2021,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arrangement set forth below is on terms no less favorable to us than</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8" w:name="page19"/>
    <w:bookmarkEnd w:id="18"/>
    <w:p>
      <w:pPr>
        <w:ind w:left="400" w:right="579"/>
        <w:spacing w:after="0" w:line="261" w:lineRule="auto"/>
        <w:rPr>
          <w:sz w:val="20"/>
          <w:szCs w:val="20"/>
          <w:color w:val="auto"/>
        </w:rPr>
      </w:pPr>
      <w:r>
        <w:rPr>
          <w:rFonts w:ascii="Arial" w:cs="Arial" w:eastAsia="Arial" w:hAnsi="Arial"/>
          <w:sz w:val="18"/>
          <w:szCs w:val="18"/>
          <w:color w:val="auto"/>
        </w:rPr>
        <w:t>we could have obtained from unaffiliated third parties. The arrangement described below was approved by the Audit Committee under the Audit Committee charter.</w:t>
      </w:r>
    </w:p>
    <w:p>
      <w:pPr>
        <w:spacing w:after="0" w:line="90" w:lineRule="exact"/>
        <w:rPr>
          <w:sz w:val="20"/>
          <w:szCs w:val="20"/>
          <w:color w:val="auto"/>
        </w:rPr>
      </w:pPr>
    </w:p>
    <w:p>
      <w:pPr>
        <w:ind w:left="400" w:right="419" w:firstLine="360"/>
        <w:spacing w:after="0" w:line="255" w:lineRule="auto"/>
        <w:rPr>
          <w:sz w:val="20"/>
          <w:szCs w:val="20"/>
          <w:color w:val="auto"/>
        </w:rPr>
      </w:pPr>
      <w:r>
        <w:rPr>
          <w:rFonts w:ascii="Arial" w:cs="Arial" w:eastAsia="Arial" w:hAnsi="Arial"/>
          <w:sz w:val="17"/>
          <w:szCs w:val="17"/>
          <w:color w:val="auto"/>
        </w:rPr>
        <w:t>We employ an adult daughter of Mr. Khattar in a non- executive, non-managerial capacity as a Product Manager. This individual, who does not reside with and is not supported financially by Mr. Khattar, earned total cash compensation for fiscal year 2021 of $138,863 and total cash compensation for fiscal year 2020 of $131,308,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product managers.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Meetings</w:t>
      </w:r>
    </w:p>
    <w:p>
      <w:pPr>
        <w:spacing w:after="0" w:line="162" w:lineRule="exact"/>
        <w:rPr>
          <w:sz w:val="20"/>
          <w:szCs w:val="20"/>
          <w:color w:val="auto"/>
        </w:rPr>
      </w:pPr>
    </w:p>
    <w:p>
      <w:pPr>
        <w:ind w:left="400" w:right="459" w:firstLine="360"/>
        <w:spacing w:after="0" w:line="243" w:lineRule="auto"/>
        <w:rPr>
          <w:sz w:val="20"/>
          <w:szCs w:val="20"/>
          <w:color w:val="auto"/>
        </w:rPr>
      </w:pPr>
      <w:r>
        <w:rPr>
          <w:rFonts w:ascii="Arial" w:cs="Arial" w:eastAsia="Arial" w:hAnsi="Arial"/>
          <w:sz w:val="18"/>
          <w:szCs w:val="18"/>
          <w:color w:val="auto"/>
        </w:rPr>
        <w:t>During the year ended December 31, 2021, the Board of Directors held a total of eight (8) meetings. Each of our directors attended at least 75% of the aggregate number of meetings of the Board of Directors and meetings of any committee of which he or she was a member, which were held during the time in which he or she was a director or a committee member.</w:t>
      </w:r>
    </w:p>
    <w:p>
      <w:pPr>
        <w:spacing w:after="0" w:line="120" w:lineRule="exact"/>
        <w:rPr>
          <w:sz w:val="20"/>
          <w:szCs w:val="20"/>
          <w:color w:val="auto"/>
        </w:rPr>
      </w:pPr>
    </w:p>
    <w:p>
      <w:pPr>
        <w:jc w:val="both"/>
        <w:ind w:left="400" w:right="459" w:firstLine="360"/>
        <w:spacing w:after="0" w:line="243" w:lineRule="auto"/>
        <w:rPr>
          <w:sz w:val="20"/>
          <w:szCs w:val="20"/>
          <w:color w:val="auto"/>
        </w:rPr>
      </w:pPr>
      <w:r>
        <w:rPr>
          <w:rFonts w:ascii="Arial" w:cs="Arial" w:eastAsia="Arial" w:hAnsi="Arial"/>
          <w:sz w:val="18"/>
          <w:szCs w:val="18"/>
          <w:color w:val="auto"/>
        </w:rPr>
        <w:t>Each member of the Board of Directors who is up for election at an Annual Meeting of Stockholders or who has a term that continues after such meeting is expected to attend the Annual Meeting of Stockholders. Messrs. Gemayel, Hudson, Khattar and Newhall attended the 2021 Annual Meeting of Stockholders, which was held on June 15, 2021.</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48" w:lineRule="exact"/>
        <w:rPr>
          <w:sz w:val="20"/>
          <w:szCs w:val="20"/>
          <w:color w:val="auto"/>
        </w:rPr>
      </w:pPr>
    </w:p>
    <w:p>
      <w:pPr>
        <w:ind w:left="400" w:right="459" w:firstLine="360"/>
        <w:spacing w:after="0" w:line="237" w:lineRule="auto"/>
        <w:rPr>
          <w:sz w:val="20"/>
          <w:szCs w:val="20"/>
          <w:color w:val="auto"/>
        </w:rPr>
      </w:pPr>
      <w:r>
        <w:rPr>
          <w:rFonts w:ascii="Arial" w:cs="Arial" w:eastAsia="Arial" w:hAnsi="Arial"/>
          <w:sz w:val="18"/>
          <w:szCs w:val="18"/>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any such letter and circulate it to the director(s) to whom it is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00" w:right="639" w:firstLine="360"/>
        <w:spacing w:after="0" w:line="243" w:lineRule="auto"/>
        <w:rPr>
          <w:sz w:val="20"/>
          <w:szCs w:val="20"/>
          <w:color w:val="auto"/>
        </w:rPr>
      </w:pPr>
      <w:r>
        <w:rPr>
          <w:rFonts w:ascii="Arial" w:cs="Arial" w:eastAsia="Arial" w:hAnsi="Arial"/>
          <w:sz w:val="18"/>
          <w:szCs w:val="18"/>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Share Ownership and Retention Guidelines</w:t>
      </w:r>
    </w:p>
    <w:p>
      <w:pPr>
        <w:spacing w:after="0" w:line="162" w:lineRule="exact"/>
        <w:rPr>
          <w:sz w:val="20"/>
          <w:szCs w:val="20"/>
          <w:color w:val="auto"/>
        </w:rPr>
      </w:pPr>
    </w:p>
    <w:p>
      <w:pPr>
        <w:ind w:left="400" w:right="499" w:firstLine="360"/>
        <w:spacing w:after="0" w:line="259" w:lineRule="auto"/>
        <w:rPr>
          <w:sz w:val="20"/>
          <w:szCs w:val="20"/>
          <w:color w:val="auto"/>
        </w:rPr>
      </w:pPr>
      <w:r>
        <w:rPr>
          <w:rFonts w:ascii="Arial" w:cs="Arial" w:eastAsia="Arial" w:hAnsi="Arial"/>
          <w:sz w:val="17"/>
          <w:szCs w:val="17"/>
          <w:color w:val="auto"/>
        </w:rPr>
        <w:t>The Compensation Committee of the Board of Directors recommended, and the Board of Directors has adopted, Share Ownership and Retention Guidelines for the Board of Directors and the CEO. Under 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Hedging Transactions</w:t>
      </w:r>
    </w:p>
    <w:p>
      <w:pPr>
        <w:spacing w:after="0" w:line="148" w:lineRule="exact"/>
        <w:rPr>
          <w:sz w:val="20"/>
          <w:szCs w:val="20"/>
          <w:color w:val="auto"/>
        </w:rPr>
      </w:pPr>
    </w:p>
    <w:p>
      <w:pPr>
        <w:ind w:left="400" w:right="739" w:firstLine="360"/>
        <w:spacing w:after="0" w:line="241" w:lineRule="auto"/>
        <w:rPr>
          <w:sz w:val="20"/>
          <w:szCs w:val="20"/>
          <w:color w:val="auto"/>
        </w:rPr>
      </w:pPr>
      <w:r>
        <w:rPr>
          <w:rFonts w:ascii="Arial" w:cs="Arial" w:eastAsia="Arial" w:hAnsi="Arial"/>
          <w:sz w:val="18"/>
          <w:szCs w:val="18"/>
          <w:color w:val="auto"/>
        </w:rPr>
        <w:t>The Company prohibits hedging and monetization transactions that transfer, with respect to equity compensation received by a director, officer or employee, all or a portion of the risk of a decline in the market price of shares of Company Common Stock. This policy, however, does not apply to transactions executed pursuant to the terms of a trading plan that has been pre-approved by the CEO or the Chief Financial Officer.</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9" w:name="page20"/>
    <w:bookmarkEnd w:id="19"/>
    <w:p>
      <w:pPr>
        <w:ind w:left="400"/>
        <w:spacing w:after="0"/>
        <w:rPr>
          <w:sz w:val="20"/>
          <w:szCs w:val="20"/>
          <w:color w:val="auto"/>
        </w:rPr>
      </w:pPr>
      <w:r>
        <w:rPr>
          <w:rFonts w:ascii="Arial" w:cs="Arial" w:eastAsia="Arial" w:hAnsi="Arial"/>
          <w:sz w:val="18"/>
          <w:szCs w:val="18"/>
          <w:b w:val="1"/>
          <w:bCs w:val="1"/>
          <w:color w:val="auto"/>
        </w:rPr>
        <w:t>Margin Accounts and Pledges</w:t>
      </w:r>
    </w:p>
    <w:p>
      <w:pPr>
        <w:spacing w:after="0" w:line="148" w:lineRule="exact"/>
        <w:rPr>
          <w:sz w:val="20"/>
          <w:szCs w:val="20"/>
          <w:color w:val="auto"/>
        </w:rPr>
      </w:pPr>
    </w:p>
    <w:p>
      <w:pPr>
        <w:ind w:left="400" w:right="439" w:firstLine="360"/>
        <w:spacing w:after="0" w:line="277" w:lineRule="auto"/>
        <w:rPr>
          <w:sz w:val="20"/>
          <w:szCs w:val="20"/>
          <w:color w:val="auto"/>
        </w:rPr>
      </w:pPr>
      <w:r>
        <w:rPr>
          <w:rFonts w:ascii="Arial" w:cs="Arial" w:eastAsia="Arial" w:hAnsi="Arial"/>
          <w:sz w:val="18"/>
          <w:szCs w:val="18"/>
          <w:color w:val="auto"/>
        </w:rPr>
        <w:t>The Company prohibits directors, officers and employees from pledging Company securities or holding Company securities in margin accounts.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162" w:lineRule="exact"/>
        <w:rPr>
          <w:sz w:val="20"/>
          <w:szCs w:val="20"/>
          <w:color w:val="auto"/>
        </w:rPr>
      </w:pPr>
    </w:p>
    <w:p>
      <w:pPr>
        <w:ind w:left="400" w:right="699" w:firstLine="360"/>
        <w:spacing w:after="0" w:line="259" w:lineRule="auto"/>
        <w:rPr>
          <w:sz w:val="20"/>
          <w:szCs w:val="20"/>
          <w:color w:val="auto"/>
        </w:rPr>
      </w:pPr>
      <w:r>
        <w:rPr>
          <w:rFonts w:ascii="Arial" w:cs="Arial" w:eastAsia="Arial" w:hAnsi="Arial"/>
          <w:sz w:val="18"/>
          <w:szCs w:val="18"/>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79" w:lineRule="exact"/>
        <w:rPr>
          <w:sz w:val="20"/>
          <w:szCs w:val="20"/>
          <w:color w:val="auto"/>
        </w:rPr>
      </w:pPr>
    </w:p>
    <w:p>
      <w:pPr>
        <w:ind w:left="940" w:hanging="180"/>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940" w:right="539" w:hanging="180"/>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940" w:right="819" w:hanging="180"/>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400" w:right="599" w:firstLine="36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our amended and restated certificate of incorporation provides that:</w:t>
      </w:r>
    </w:p>
    <w:p>
      <w:pPr>
        <w:spacing w:after="0" w:line="117" w:lineRule="exact"/>
        <w:rPr>
          <w:sz w:val="20"/>
          <w:szCs w:val="20"/>
          <w:color w:val="auto"/>
        </w:rPr>
      </w:pPr>
    </w:p>
    <w:p>
      <w:pPr>
        <w:ind w:left="940" w:right="539" w:hanging="180"/>
        <w:spacing w:after="0" w:line="277"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indemnify our directors and officers to the fullest extent permitted by the Delaware General Corporation Law; and</w:t>
      </w:r>
    </w:p>
    <w:p>
      <w:pPr>
        <w:spacing w:after="0" w:line="62" w:lineRule="exact"/>
        <w:rPr>
          <w:rFonts w:ascii="Arial" w:cs="Arial" w:eastAsia="Arial" w:hAnsi="Arial"/>
          <w:sz w:val="18"/>
          <w:szCs w:val="18"/>
          <w:color w:val="auto"/>
        </w:rPr>
      </w:pPr>
    </w:p>
    <w:p>
      <w:pPr>
        <w:ind w:left="940" w:right="519" w:hanging="180"/>
        <w:spacing w:after="0" w:line="277"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advance expenses, including attorneys’ fees, to our directors and officers in connection with legal proceedings, subject to limited exceptions.</w:t>
      </w:r>
    </w:p>
    <w:p>
      <w:pPr>
        <w:spacing w:after="0" w:line="103" w:lineRule="exact"/>
        <w:rPr>
          <w:sz w:val="20"/>
          <w:szCs w:val="20"/>
          <w:color w:val="auto"/>
        </w:rPr>
      </w:pPr>
    </w:p>
    <w:p>
      <w:pPr>
        <w:ind w:left="400" w:right="559" w:firstLine="360"/>
        <w:spacing w:after="0" w:line="259"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19" w:lineRule="exact"/>
        <w:rPr>
          <w:sz w:val="20"/>
          <w:szCs w:val="20"/>
          <w:color w:val="auto"/>
        </w:rPr>
      </w:pPr>
    </w:p>
    <w:p>
      <w:pPr>
        <w:ind w:left="400" w:right="439" w:firstLine="360"/>
        <w:spacing w:after="0" w:line="254" w:lineRule="auto"/>
        <w:rPr>
          <w:sz w:val="20"/>
          <w:szCs w:val="20"/>
          <w:color w:val="auto"/>
        </w:rPr>
      </w:pPr>
      <w:r>
        <w:rPr>
          <w:rFonts w:ascii="Arial" w:cs="Arial" w:eastAsia="Arial" w:hAnsi="Arial"/>
          <w:sz w:val="18"/>
          <w:szCs w:val="18"/>
          <w:color w:val="auto"/>
        </w:rPr>
        <w:t>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124" w:lineRule="exact"/>
        <w:rPr>
          <w:sz w:val="20"/>
          <w:szCs w:val="20"/>
          <w:color w:val="auto"/>
        </w:rPr>
      </w:pPr>
    </w:p>
    <w:p>
      <w:pPr>
        <w:jc w:val="both"/>
        <w:ind w:left="400" w:right="899" w:firstLine="360"/>
        <w:spacing w:after="0" w:line="263"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OFFICERS OF SUPERNUS</w:t>
      </w:r>
    </w:p>
    <w:p>
      <w:pPr>
        <w:spacing w:after="0" w:line="148" w:lineRule="exact"/>
        <w:rPr>
          <w:sz w:val="20"/>
          <w:szCs w:val="20"/>
          <w:color w:val="auto"/>
        </w:rPr>
      </w:pPr>
    </w:p>
    <w:p>
      <w:pPr>
        <w:ind w:left="400" w:right="539" w:firstLine="360"/>
        <w:spacing w:after="0" w:line="261" w:lineRule="auto"/>
        <w:rPr>
          <w:sz w:val="20"/>
          <w:szCs w:val="20"/>
          <w:color w:val="auto"/>
        </w:rPr>
      </w:pPr>
      <w:r>
        <w:rPr>
          <w:rFonts w:ascii="Arial" w:cs="Arial" w:eastAsia="Arial" w:hAnsi="Arial"/>
          <w:sz w:val="18"/>
          <w:szCs w:val="18"/>
          <w:color w:val="auto"/>
        </w:rPr>
        <w:t>The following table sets forth the names and ages of our executive officers as of the date of this Proxy Statement.</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Age</w:t>
            </w:r>
          </w:p>
        </w:tc>
        <w:tc>
          <w:tcPr>
            <w:tcW w:w="4320" w:type="dxa"/>
            <w:vAlign w:val="bottom"/>
          </w:tcPr>
          <w:p>
            <w:pPr>
              <w:ind w:left="186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Chief Executive Officer &amp; Secretary, Director</w:t>
            </w:r>
          </w:p>
        </w:tc>
      </w:tr>
      <w:tr>
        <w:trPr>
          <w:trHeight w:val="256"/>
        </w:trPr>
        <w:tc>
          <w:tcPr>
            <w:tcW w:w="3340" w:type="dxa"/>
            <w:vAlign w:val="bottom"/>
            <w:gridSpan w:val="2"/>
          </w:tcPr>
          <w:p>
            <w:pPr>
              <w:spacing w:after="0"/>
              <w:rPr>
                <w:sz w:val="20"/>
                <w:szCs w:val="20"/>
                <w:color w:val="auto"/>
              </w:rPr>
            </w:pPr>
            <w:r>
              <w:rPr>
                <w:rFonts w:ascii="Arial" w:cs="Arial" w:eastAsia="Arial" w:hAnsi="Arial"/>
                <w:sz w:val="18"/>
                <w:szCs w:val="18"/>
                <w:color w:val="auto"/>
              </w:rPr>
              <w:t>Timothy C. Dec</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Intellectual Property, Chief</w:t>
            </w:r>
          </w:p>
        </w:tc>
      </w:tr>
      <w:tr>
        <w:trPr>
          <w:trHeight w:val="244"/>
        </w:trPr>
        <w:tc>
          <w:tcPr>
            <w:tcW w:w="3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Scientific Officer</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Tami T. Martin, R.N., Esq.</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Senior Vice President, Regulatory Affairs</w:t>
            </w:r>
          </w:p>
        </w:tc>
      </w:tr>
      <w:tr>
        <w:trPr>
          <w:trHeight w:val="22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Mottola</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Quality, GMP Operations and</w:t>
            </w:r>
          </w:p>
        </w:tc>
      </w:tr>
      <w:tr>
        <w:trPr>
          <w:trHeight w:val="237"/>
        </w:trPr>
        <w:tc>
          <w:tcPr>
            <w:tcW w:w="3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Information Technology</w:t>
            </w:r>
          </w:p>
        </w:tc>
      </w:tr>
      <w:tr>
        <w:trPr>
          <w:trHeight w:val="229"/>
        </w:trPr>
        <w:tc>
          <w:tcPr>
            <w:tcW w:w="3340" w:type="dxa"/>
            <w:vAlign w:val="bottom"/>
            <w:gridSpan w:val="2"/>
          </w:tcPr>
          <w:p>
            <w:pPr>
              <w:spacing w:after="0"/>
              <w:rPr>
                <w:sz w:val="20"/>
                <w:szCs w:val="20"/>
                <w:color w:val="auto"/>
              </w:rPr>
            </w:pPr>
            <w:r>
              <w:rPr>
                <w:rFonts w:ascii="Arial" w:cs="Arial" w:eastAsia="Arial" w:hAnsi="Arial"/>
                <w:sz w:val="18"/>
                <w:szCs w:val="18"/>
                <w:color w:val="auto"/>
              </w:rPr>
              <w:t>Jonathan Rubin, M.D.</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8"/>
              </w:rPr>
              <w:t>Senior Vice President, Chief Medical Officer, Research</w:t>
            </w:r>
          </w:p>
        </w:tc>
      </w:tr>
      <w:tr>
        <w:trPr>
          <w:trHeight w:val="230"/>
        </w:trPr>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-1405255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-1405255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Jack A. Khattar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“Election of Directors.”</w:t>
      </w:r>
    </w:p>
    <w:p>
      <w:pPr>
        <w:spacing w:after="0" w:line="158" w:lineRule="exact"/>
        <w:rPr>
          <w:sz w:val="20"/>
          <w:szCs w:val="20"/>
          <w:color w:val="auto"/>
        </w:rPr>
      </w:pPr>
    </w:p>
    <w:p>
      <w:pPr>
        <w:ind w:left="400" w:right="459" w:firstLine="360"/>
        <w:spacing w:after="0" w:line="236" w:lineRule="auto"/>
        <w:rPr>
          <w:sz w:val="20"/>
          <w:szCs w:val="20"/>
          <w:color w:val="auto"/>
        </w:rPr>
      </w:pPr>
      <w:r>
        <w:rPr>
          <w:rFonts w:ascii="Arial" w:cs="Arial" w:eastAsia="Arial" w:hAnsi="Arial"/>
          <w:sz w:val="18"/>
          <w:szCs w:val="18"/>
          <w:b w:val="1"/>
          <w:bCs w:val="1"/>
          <w:i w:val="1"/>
          <w:iCs w:val="1"/>
          <w:color w:val="auto"/>
        </w:rPr>
        <w:t xml:space="preserve">Timothy C. Dec </w:t>
      </w:r>
      <w:r>
        <w:rPr>
          <w:rFonts w:ascii="Arial" w:cs="Arial" w:eastAsia="Arial" w:hAnsi="Arial"/>
          <w:sz w:val="18"/>
          <w:szCs w:val="18"/>
          <w:color w:val="auto"/>
        </w:rPr>
        <w:t>has more than 35 years of experience in accounting and finance across many industries,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healthcare. His experience includes serving in chief financial officer or other senior financial executive roles at three publicly traded companies listed on Nasdaq, and with private equity-backed companies. Most recently, from April 2015 to July 2021, Mr. Dec was Chief Financial Officer of OpGen, Inc., a Nasdaq listed company engaged in the development and commercialization of molecular microbiology solutions to help combat infectious diseases. Prior to joining OpGen, Mr. Dec served as Senior Vice President and Chief Financial Officer for Clubwidesports, LLC, a start-up sports management software company, from January 2014 to April 2015. From August 2007 to December 2012, Mr. Dec served as Senior Vice President and Chief Financial Officer of Fortress International Group, Inc., a publicly traded company. From June 2006 to August 2007, Mr. Dec was Senior Vice President, Chief Financial Officer of Presidio Networked Solutions, a private company, and from June 1999 to June 2006, was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w:t>
      </w:r>
    </w:p>
    <w:p>
      <w:pPr>
        <w:spacing w:after="0" w:line="118" w:lineRule="exact"/>
        <w:rPr>
          <w:sz w:val="20"/>
          <w:szCs w:val="20"/>
          <w:color w:val="auto"/>
        </w:rPr>
      </w:pPr>
    </w:p>
    <w:p>
      <w:pPr>
        <w:ind w:left="400" w:right="439" w:firstLine="360"/>
        <w:spacing w:after="0" w:line="253" w:lineRule="auto"/>
        <w:rPr>
          <w:sz w:val="20"/>
          <w:szCs w:val="20"/>
          <w:color w:val="auto"/>
        </w:rPr>
      </w:pPr>
      <w:r>
        <w:rPr>
          <w:rFonts w:ascii="Arial" w:cs="Arial" w:eastAsia="Arial" w:hAnsi="Arial"/>
          <w:sz w:val="18"/>
          <w:szCs w:val="18"/>
          <w:b w:val="1"/>
          <w:bCs w:val="1"/>
          <w:i w:val="1"/>
          <w:iCs w:val="1"/>
          <w:color w:val="auto"/>
        </w:rPr>
        <w:t>Padmanabh P. Bhatt, Ph.D.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our Senior Vice President Intellectual Property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Hercon Laboratories (from 1989 to 1992). Dr. Bhatt earned his B.Pharm. and M.Pharm. degrees from the University of Bombay, India. He also holds M.S. and Ph.D. degrees in Pharmaceutical Chemistry from the University of Kansas.</w:t>
      </w:r>
    </w:p>
    <w:p>
      <w:pPr>
        <w:spacing w:after="0" w:line="124" w:lineRule="exact"/>
        <w:rPr>
          <w:sz w:val="20"/>
          <w:szCs w:val="20"/>
          <w:color w:val="auto"/>
        </w:rPr>
      </w:pPr>
    </w:p>
    <w:p>
      <w:pPr>
        <w:ind w:left="400" w:right="439" w:firstLine="360"/>
        <w:spacing w:after="0" w:line="270" w:lineRule="auto"/>
        <w:rPr>
          <w:sz w:val="20"/>
          <w:szCs w:val="20"/>
          <w:color w:val="auto"/>
        </w:rPr>
      </w:pPr>
      <w:r>
        <w:rPr>
          <w:rFonts w:ascii="Arial" w:cs="Arial" w:eastAsia="Arial" w:hAnsi="Arial"/>
          <w:sz w:val="17"/>
          <w:szCs w:val="17"/>
          <w:b w:val="1"/>
          <w:bCs w:val="1"/>
          <w:i w:val="1"/>
          <w:iCs w:val="1"/>
          <w:color w:val="auto"/>
        </w:rPr>
        <w:t>Tami T. Martin, R.N., Esq.</w:t>
      </w:r>
      <w:r>
        <w:rPr>
          <w:rFonts w:ascii="Arial" w:cs="Arial" w:eastAsia="Arial" w:hAnsi="Arial"/>
          <w:sz w:val="17"/>
          <w:szCs w:val="17"/>
          <w:color w:val="auto"/>
        </w:rPr>
        <w:t>, has served as our Senior Vice President of Regulatory Affairs since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2008 to 2015, she served as our Vice President of Regulatory Affairs. Ms. Martin has previously held positions as Vice President of Regulatory Affairs at Shire Pharmaceuticals from 2002 to 2007, and Manager to Sr. Director of Regulatory Affairs at Otsuka America Pharmaceuticals from 1995 to 2001. Ms. Martin has also consulted privately for domestic and international clients as President and CEO of Pyramid Regulatory Consulting. Earlier in her career, Ms. Martin held legal positions at Hogan &amp; Hartson as a member of the Food and Drug Practice Group, and with the Department of Health and Human Services as a staff attorney. Ms. Martin previously served as an instructor for the Johns Hopkins University Masters of Biotechnology and Regulatory Affairs Graduate Degree program, and previously taught a portion of the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1" w:name="page22"/>
    <w:bookmarkEnd w:id="21"/>
    <w:p>
      <w:pPr>
        <w:ind w:left="400" w:right="619"/>
        <w:spacing w:after="0" w:line="259" w:lineRule="auto"/>
        <w:rPr>
          <w:sz w:val="20"/>
          <w:szCs w:val="20"/>
          <w:color w:val="auto"/>
        </w:rPr>
      </w:pPr>
      <w:r>
        <w:rPr>
          <w:rFonts w:ascii="Arial" w:cs="Arial" w:eastAsia="Arial" w:hAnsi="Arial"/>
          <w:sz w:val="18"/>
          <w:szCs w:val="18"/>
          <w:color w:val="auto"/>
        </w:rPr>
        <w:t>United States Regulatory Module for TOPRA (The Organization for Professionals in Regulatory Affairs) leading to an MSc in Regulatory Affairs through the University of Wales. Ms. Martin earned her Bachelor of Science in Nursing from Albright College and a Juris Doctorate degree from Suffolk University. Ms. Martin is a member of the Pennsylvania Bar.</w:t>
      </w:r>
    </w:p>
    <w:p>
      <w:pPr>
        <w:spacing w:after="0" w:line="106" w:lineRule="exact"/>
        <w:rPr>
          <w:sz w:val="20"/>
          <w:szCs w:val="20"/>
          <w:color w:val="auto"/>
        </w:rPr>
      </w:pPr>
    </w:p>
    <w:p>
      <w:pPr>
        <w:ind w:left="400" w:right="4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Frank Mottola </w:t>
      </w:r>
      <w:r>
        <w:rPr>
          <w:rFonts w:ascii="Arial" w:cs="Arial" w:eastAsia="Arial" w:hAnsi="Arial"/>
          <w:sz w:val="17"/>
          <w:szCs w:val="17"/>
          <w:color w:val="auto"/>
        </w:rPr>
        <w:t>has served as our Senior Vice President of Quality, GMP Operations and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since January 2020. Prior to that, Mr. Mottola was Vice President of Quality, GMP Operations and Information Technology from 2017 to 2020. From 2014 to 2017, he served as Vice President of Quality and GMP Operations. Mr. Mottola served as Director of Quality from 2005 to 2013. Prior to 2005,</w:t>
      </w:r>
    </w:p>
    <w:p>
      <w:pPr>
        <w:spacing w:after="0" w:line="2" w:lineRule="exact"/>
        <w:rPr>
          <w:sz w:val="20"/>
          <w:szCs w:val="20"/>
          <w:color w:val="auto"/>
        </w:rPr>
      </w:pPr>
    </w:p>
    <w:p>
      <w:pPr>
        <w:ind w:left="400" w:right="459"/>
        <w:spacing w:after="0" w:line="253" w:lineRule="auto"/>
        <w:rPr>
          <w:sz w:val="20"/>
          <w:szCs w:val="20"/>
          <w:color w:val="auto"/>
        </w:rPr>
      </w:pPr>
      <w:r>
        <w:rPr>
          <w:rFonts w:ascii="Arial" w:cs="Arial" w:eastAsia="Arial" w:hAnsi="Arial"/>
          <w:sz w:val="18"/>
          <w:szCs w:val="18"/>
          <w:color w:val="auto"/>
        </w:rPr>
        <w:t>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w:t>
      </w:r>
    </w:p>
    <w:p>
      <w:pPr>
        <w:spacing w:after="0" w:line="125" w:lineRule="exact"/>
        <w:rPr>
          <w:sz w:val="20"/>
          <w:szCs w:val="20"/>
          <w:color w:val="auto"/>
        </w:rPr>
      </w:pPr>
    </w:p>
    <w:p>
      <w:pPr>
        <w:ind w:left="400" w:right="599" w:firstLine="360"/>
        <w:spacing w:after="0" w:line="271" w:lineRule="auto"/>
        <w:rPr>
          <w:sz w:val="20"/>
          <w:szCs w:val="20"/>
          <w:color w:val="auto"/>
        </w:rPr>
      </w:pPr>
      <w:r>
        <w:rPr>
          <w:rFonts w:ascii="Arial" w:cs="Arial" w:eastAsia="Arial" w:hAnsi="Arial"/>
          <w:sz w:val="17"/>
          <w:szCs w:val="17"/>
          <w:b w:val="1"/>
          <w:bCs w:val="1"/>
          <w:i w:val="1"/>
          <w:iCs w:val="1"/>
          <w:color w:val="auto"/>
        </w:rPr>
        <w:t xml:space="preserve">Jonathan Rubin, M.D. </w:t>
      </w:r>
      <w:r>
        <w:rPr>
          <w:rFonts w:ascii="Arial" w:cs="Arial" w:eastAsia="Arial" w:hAnsi="Arial"/>
          <w:sz w:val="17"/>
          <w:szCs w:val="17"/>
          <w:color w:val="auto"/>
        </w:rPr>
        <w:t>has served as our Senior Vice President, Chief Medical Officer,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since January 2021. Before joining the Company in February 2020 as Senior Vice President, Clinical Research and Medical Affairs, Dr. Rubin was Chief Medical Officer of Atentiv, Inc. from</w:t>
      </w:r>
    </w:p>
    <w:p>
      <w:pPr>
        <w:ind w:left="400" w:right="419"/>
        <w:spacing w:after="0" w:line="251" w:lineRule="auto"/>
        <w:rPr>
          <w:sz w:val="20"/>
          <w:szCs w:val="20"/>
          <w:color w:val="auto"/>
        </w:rPr>
      </w:pPr>
      <w:r>
        <w:rPr>
          <w:rFonts w:ascii="Arial" w:cs="Arial" w:eastAsia="Arial" w:hAnsi="Arial"/>
          <w:sz w:val="18"/>
          <w:szCs w:val="18"/>
          <w:color w:val="auto"/>
        </w:rPr>
        <w:t>May 2018 to February 2020 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 Dr. Rubin was Chief Medical Officer of Alcobra, Inc. where he was responsible for oversight of the company’s clinical development, medical affairs, biometrics and pharmacovigilance, participated in the completion of two Phase 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 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left="400" w:right="439" w:firstLine="360"/>
        <w:spacing w:after="0" w:line="243" w:lineRule="auto"/>
        <w:rPr>
          <w:sz w:val="20"/>
          <w:szCs w:val="20"/>
          <w:color w:val="auto"/>
        </w:rPr>
      </w:pPr>
      <w:r>
        <w:rPr>
          <w:rFonts w:ascii="Arial" w:cs="Arial" w:eastAsia="Arial" w:hAnsi="Arial"/>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and narratives that follow as our named executive officers, or NEOs. For 2021, our named executive officers were as follows:</w:t>
      </w:r>
    </w:p>
    <w:p>
      <w:pPr>
        <w:spacing w:after="0" w:line="80" w:lineRule="exact"/>
        <w:rPr>
          <w:sz w:val="20"/>
          <w:szCs w:val="20"/>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Jack A. Khattar, Chief Executive Officer, President &amp; Secretary</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Timothy C. Dec, Senior Vice President, Chief Financial Officer</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Jonathan Rubin, MD, Senior Vice President, Chief Medical Officer, Research and Development</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Padmanabh P. Bhatt, Ph.D., Senior Vice President, Intellectual Property, Chief Scientific Officer</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Tami Martin, R.N., Esq., Senior Vice President, Regulatory Affairs</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James P. Kelly, Former Executive Vice President, Chief Financial Officer</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Mr. Dec began serving as our Senior Vice President, Chief Financial Officer as of August 23, 2021.</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Mr. Kelly served as our Executive Vice President, Chief Financial Officer until August 13, 2021.</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Compensation Philosophy</w:t>
      </w:r>
    </w:p>
    <w:p>
      <w:pPr>
        <w:spacing w:after="0" w:line="162" w:lineRule="exact"/>
        <w:rPr>
          <w:sz w:val="20"/>
          <w:szCs w:val="20"/>
          <w:color w:val="auto"/>
        </w:rPr>
      </w:pPr>
    </w:p>
    <w:p>
      <w:pPr>
        <w:ind w:left="400" w:right="459" w:firstLine="360"/>
        <w:spacing w:after="0" w:line="238" w:lineRule="auto"/>
        <w:rPr>
          <w:sz w:val="20"/>
          <w:szCs w:val="20"/>
          <w:color w:val="auto"/>
        </w:rPr>
      </w:pPr>
      <w:r>
        <w:rPr>
          <w:rFonts w:ascii="Arial" w:cs="Arial" w:eastAsia="Arial" w:hAnsi="Arial"/>
          <w:sz w:val="18"/>
          <w:szCs w:val="18"/>
          <w:color w:val="auto"/>
        </w:rPr>
        <w:t>Our executive compensation program is designed to align the interests of our NEOs and all other executive officers with those of our stockholders by rewarding executives with incentives that are closely linked to the Company’s achievement of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in the United States. The Compensation Committee seeks to deliver a competitive compensation program to retain and motivate our executives by rewarding their contributions and the value they create for all of our stockholders. As described below, an independent compensation consultant assists our Compensation Committee in this process.</w:t>
      </w:r>
    </w:p>
    <w:p>
      <w:pPr>
        <w:spacing w:after="0" w:line="110" w:lineRule="exact"/>
        <w:rPr>
          <w:sz w:val="20"/>
          <w:szCs w:val="20"/>
          <w:color w:val="auto"/>
        </w:rPr>
      </w:pPr>
    </w:p>
    <w:p>
      <w:pPr>
        <w:ind w:left="400" w:right="659" w:firstLine="360"/>
        <w:spacing w:after="0" w:line="243" w:lineRule="auto"/>
        <w:rPr>
          <w:sz w:val="20"/>
          <w:szCs w:val="20"/>
          <w:color w:val="auto"/>
        </w:rPr>
      </w:pPr>
      <w:r>
        <w:rPr>
          <w:rFonts w:ascii="Arial" w:cs="Arial" w:eastAsia="Arial" w:hAnsi="Arial"/>
          <w:sz w:val="18"/>
          <w:szCs w:val="18"/>
          <w:color w:val="auto"/>
        </w:rPr>
        <w:t>At our 2020 Annual Meeting of Stockholders, stockholders voted overwhelmingly in favor of our compensation program for our NEOs through our annual “Say-on-Pay vote” with more than 97% of votes cast approving the program. The Compensation Committee believes this approval by our stockholders shows strong support for our executive compensation philosophy.</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Pay for Performance</w:t>
      </w:r>
    </w:p>
    <w:p>
      <w:pPr>
        <w:spacing w:after="0" w:line="158" w:lineRule="exact"/>
        <w:rPr>
          <w:sz w:val="20"/>
          <w:szCs w:val="20"/>
          <w:color w:val="auto"/>
        </w:rPr>
      </w:pPr>
    </w:p>
    <w:p>
      <w:pPr>
        <w:ind w:left="400" w:right="439" w:firstLine="360"/>
        <w:spacing w:after="0" w:line="272" w:lineRule="auto"/>
        <w:rPr>
          <w:sz w:val="20"/>
          <w:szCs w:val="20"/>
          <w:color w:val="auto"/>
        </w:rPr>
      </w:pPr>
      <w:r>
        <w:rPr>
          <w:rFonts w:ascii="Arial" w:cs="Arial" w:eastAsia="Arial" w:hAnsi="Arial"/>
          <w:sz w:val="17"/>
          <w:szCs w:val="17"/>
          <w:color w:val="auto"/>
        </w:rPr>
        <w:t>We structure our compensation program to align the interests of our NEOs and all other executive officers with the interests of our stockholders. We believe that each executive officer’s compensation should be tied directly to helping the Company achieve its mission and, in so doing, delivering value to our stockholders. Therefore, a significant part of each executive officer’s compensation, other than the CEO, depends on the overall performance of the Company, the executive’s individual performance and their achievement of individual performance objectives, which are established by the Compensation Committee and support the achievement of the Company’s Corporate Objectives (defined below).</w:t>
      </w:r>
    </w:p>
    <w:p>
      <w:pPr>
        <w:spacing w:after="0" w:line="110" w:lineRule="exact"/>
        <w:rPr>
          <w:sz w:val="20"/>
          <w:szCs w:val="20"/>
          <w:color w:val="auto"/>
        </w:rPr>
      </w:pPr>
    </w:p>
    <w:p>
      <w:pPr>
        <w:ind w:left="400" w:right="479" w:firstLine="360"/>
        <w:spacing w:after="0" w:line="255" w:lineRule="auto"/>
        <w:rPr>
          <w:sz w:val="20"/>
          <w:szCs w:val="20"/>
          <w:color w:val="auto"/>
        </w:rPr>
      </w:pPr>
      <w:r>
        <w:rPr>
          <w:rFonts w:ascii="Arial" w:cs="Arial" w:eastAsia="Arial" w:hAnsi="Arial"/>
          <w:sz w:val="18"/>
          <w:szCs w:val="18"/>
          <w:color w:val="auto"/>
        </w:rPr>
        <w:t>The CEO’s performance is measured by reference to the overall performance of the Company, specifically the achievement of Corporate Objectives. As a result, a significant part of the CEO’s compensation is dependent on the short and long-term performance of the Company and the achievement of Corporate Objectives including, but not limited to, the attainment of specific key financial metrics, the development of commercial products and the successful execution on projects that are designed to support both the short and long-term performance of the Company.</w:t>
      </w:r>
    </w:p>
    <w:p>
      <w:pPr>
        <w:spacing w:after="0" w:line="111" w:lineRule="exact"/>
        <w:rPr>
          <w:sz w:val="20"/>
          <w:szCs w:val="20"/>
          <w:color w:val="auto"/>
        </w:rPr>
      </w:pPr>
    </w:p>
    <w:p>
      <w:pPr>
        <w:jc w:val="both"/>
        <w:ind w:left="400" w:right="919" w:firstLine="360"/>
        <w:spacing w:after="0" w:line="286" w:lineRule="auto"/>
        <w:rPr>
          <w:sz w:val="20"/>
          <w:szCs w:val="20"/>
          <w:color w:val="auto"/>
        </w:rPr>
      </w:pPr>
      <w:r>
        <w:rPr>
          <w:rFonts w:ascii="Arial" w:cs="Arial" w:eastAsia="Arial" w:hAnsi="Arial"/>
          <w:sz w:val="17"/>
          <w:szCs w:val="17"/>
          <w:color w:val="auto"/>
        </w:rPr>
        <w:t>The CEO and Compensation Committee (and the full Board of Directors in the case of our CEO) regularly review each executive’s total compensation to ensure that it is aligned with overall company performance. The CEO and Compensation Committee also assess the individual performance of each</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3" w:name="page24"/>
    <w:bookmarkEnd w:id="23"/>
    <w:p>
      <w:pPr>
        <w:ind w:left="400" w:right="519"/>
        <w:spacing w:after="0" w:line="238" w:lineRule="auto"/>
        <w:rPr>
          <w:sz w:val="20"/>
          <w:szCs w:val="20"/>
          <w:color w:val="auto"/>
        </w:rPr>
      </w:pPr>
      <w:r>
        <w:rPr>
          <w:rFonts w:ascii="Arial" w:cs="Arial" w:eastAsia="Arial" w:hAnsi="Arial"/>
          <w:sz w:val="18"/>
          <w:szCs w:val="18"/>
          <w:color w:val="auto"/>
        </w:rPr>
        <w:t>executive (other than our CEO) in making compensation decisions related to base salary, cash bonuses and equity awards. This assessment involves consideration of objective measures, including Corporate Objectives, overall Company performance, and an assessment of the executive’s ability to execute and contribute to the Company’s overall strategy. The executive’s overall operational excellence and leadership ability are also important components of their individual performance. In assessing each executive’s individual performance, the CEO and Compensation Committee evaluate how well each executive fulfilled their obligations in the past year, including consideration of how well the operations or functions for which the executive is responsible performed during the year.</w:t>
      </w:r>
    </w:p>
    <w:p>
      <w:pPr>
        <w:spacing w:after="0" w:line="113"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color w:val="auto"/>
        </w:rPr>
        <w:t>In the case of the CEO, the full Board of Directors evaluates the performance of our CEO against the overall annual performance of the Company. The evaluation also includes reviewing the achievement of specific Corporate Objectives that are designed to support the Company’s strategy and drive both short and long term Company performance to create value for stockholders. These Corporate Objectives may include, among others, the acquisition of corporate entities or assets, the organic development of strategic assets that are fundamental to the future growth of the Company and the development of new chemical entities that could drive long term performance. Certain of the Corporate Objectives approved by the Board of Directors for 2021 are set forth below under the heading “Elements of Executive Compensation — Corporate Performance Goals.” In addition, the Board of Directors assesses the CEO on his ability to identify and evaluate strategic opportunities for and risks to the Company.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Compensation Program Design and Process</w:t>
      </w:r>
    </w:p>
    <w:p>
      <w:pPr>
        <w:spacing w:after="0" w:line="162" w:lineRule="exact"/>
        <w:rPr>
          <w:sz w:val="20"/>
          <w:szCs w:val="20"/>
          <w:color w:val="auto"/>
        </w:rPr>
      </w:pPr>
    </w:p>
    <w:p>
      <w:pPr>
        <w:ind w:left="400" w:right="439" w:firstLine="360"/>
        <w:spacing w:after="0" w:line="239" w:lineRule="auto"/>
        <w:rPr>
          <w:sz w:val="20"/>
          <w:szCs w:val="20"/>
          <w:color w:val="auto"/>
        </w:rPr>
      </w:pPr>
      <w:r>
        <w:rPr>
          <w:rFonts w:ascii="Arial" w:cs="Arial" w:eastAsia="Arial" w:hAnsi="Arial"/>
          <w:sz w:val="18"/>
          <w:szCs w:val="18"/>
          <w:color w:val="auto"/>
        </w:rPr>
        <w:t>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design and operation of our CEO compensation program is appropriate given the impact the CEO has on the development of strategic programs and internal assets, and the achievement of Corporate Objectives, all of which provide important future benefits for the Company and its stockholders.</w:t>
      </w:r>
    </w:p>
    <w:p>
      <w:pPr>
        <w:spacing w:after="0" w:line="123" w:lineRule="exact"/>
        <w:rPr>
          <w:sz w:val="20"/>
          <w:szCs w:val="20"/>
          <w:color w:val="auto"/>
        </w:rPr>
      </w:pPr>
    </w:p>
    <w:p>
      <w:pPr>
        <w:ind w:left="400" w:right="539" w:firstLine="360"/>
        <w:spacing w:after="0" w:line="248" w:lineRule="auto"/>
        <w:rPr>
          <w:sz w:val="20"/>
          <w:szCs w:val="20"/>
          <w:color w:val="auto"/>
        </w:rPr>
      </w:pPr>
      <w:r>
        <w:rPr>
          <w:rFonts w:ascii="Arial" w:cs="Arial" w:eastAsia="Arial" w:hAnsi="Arial"/>
          <w:sz w:val="18"/>
          <w:szCs w:val="18"/>
          <w:color w:val="auto"/>
        </w:rPr>
        <w:t>Our overall compensation program is designed to attract, retain and motivate key employees by providing competitive, equitable compensation, based on their performance, in the form of base salary plus short-term and long-term incentives including cash bonuses and equity awards.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Role of Compensation Committee</w:t>
      </w:r>
    </w:p>
    <w:p>
      <w:pPr>
        <w:spacing w:after="0" w:line="148" w:lineRule="exact"/>
        <w:rPr>
          <w:sz w:val="20"/>
          <w:szCs w:val="20"/>
          <w:color w:val="auto"/>
        </w:rPr>
      </w:pPr>
    </w:p>
    <w:p>
      <w:pPr>
        <w:ind w:left="400" w:right="619" w:firstLine="360"/>
        <w:spacing w:after="0" w:line="257" w:lineRule="auto"/>
        <w:rPr>
          <w:sz w:val="20"/>
          <w:szCs w:val="20"/>
          <w:color w:val="auto"/>
        </w:rPr>
      </w:pPr>
      <w:r>
        <w:rPr>
          <w:rFonts w:ascii="Arial" w:cs="Arial" w:eastAsia="Arial" w:hAnsi="Arial"/>
          <w:sz w:val="17"/>
          <w:szCs w:val="17"/>
          <w:color w:val="auto"/>
        </w:rPr>
        <w:t>The Compensation Committee is responsible for providing oversight of our executive compensation program for the CEO, CFO, all other NEOs and members of our executive management team. With the assistance of its independent compensation consultant, Aon’s Human Capital Solutions practice a division of Aon plc (“Aon”), the Compensation Committee reviews and evaluates the executive compensation program on an annual basis to ensure that the program is aligned with stockholder interests, including by evaluating various factors, such as peer group information, in light of our compensation philosophy.</w:t>
      </w:r>
    </w:p>
    <w:p>
      <w:pPr>
        <w:spacing w:after="0" w:line="108" w:lineRule="exact"/>
        <w:rPr>
          <w:sz w:val="20"/>
          <w:szCs w:val="20"/>
          <w:color w:val="auto"/>
        </w:rPr>
      </w:pPr>
    </w:p>
    <w:p>
      <w:pPr>
        <w:ind w:left="400" w:right="419" w:firstLine="360"/>
        <w:spacing w:after="0" w:line="251" w:lineRule="auto"/>
        <w:rPr>
          <w:sz w:val="20"/>
          <w:szCs w:val="20"/>
          <w:color w:val="auto"/>
        </w:rPr>
      </w:pPr>
      <w:r>
        <w:rPr>
          <w:rFonts w:ascii="Arial" w:cs="Arial" w:eastAsia="Arial" w:hAnsi="Arial"/>
          <w:sz w:val="17"/>
          <w:szCs w:val="17"/>
          <w:color w:val="auto"/>
        </w:rPr>
        <w:t>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Taking into consideration the peer group data, the achievement of corporate and individual objectives and the executive’s overall performance, the Compensation Committee reviews the recommendations of the CEO and, if in agreement, approves such recommendations regarding base salary, cash bonuses and equity awards for each NEO other than the CEO. The Compensation Committee and the full Board of Directors review the Compensation Committee’s decisions regarding the base salary, cash bonuses and equity awards for each NEO other than the CEO. In the case of the CEO, the Compensation Committee conducts an annual assessment of the CEO’s performance measured by reference to the overall performance of the Company, specifically reviewing the achievement of Corporate Objectives, the long-term strategic programs of the Company and the Company’s performance relative to its competition and peer group, among other factors. Following its assessment, the Compensation Committee makes recommendations to the full Board of Directors regarding the CEO’s compensation. The full Board of Directors then reviews the Compensation Committee’s assessment and recommendation, and with input from the Compensation Committee, makes a</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4" w:name="page25"/>
    <w:bookmarkEnd w:id="24"/>
    <w:p>
      <w:pPr>
        <w:ind w:left="400" w:right="799"/>
        <w:spacing w:after="0" w:line="263" w:lineRule="auto"/>
        <w:rPr>
          <w:sz w:val="20"/>
          <w:szCs w:val="20"/>
          <w:color w:val="auto"/>
        </w:rPr>
      </w:pPr>
      <w:r>
        <w:rPr>
          <w:rFonts w:ascii="Arial" w:cs="Arial" w:eastAsia="Arial" w:hAnsi="Arial"/>
          <w:sz w:val="18"/>
          <w:szCs w:val="18"/>
          <w:color w:val="auto"/>
        </w:rPr>
        <w:t>final decision concerning the CEO’s base salary, cash bonus and equity awards. The CEO is not in attendance discussions regarding his compensation are held by the Compensation Committee or the full Board of Directors.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Role of Compensation Consultant</w:t>
      </w:r>
    </w:p>
    <w:p>
      <w:pPr>
        <w:spacing w:after="0" w:line="148" w:lineRule="exact"/>
        <w:rPr>
          <w:sz w:val="20"/>
          <w:szCs w:val="20"/>
          <w:color w:val="auto"/>
        </w:rPr>
      </w:pPr>
    </w:p>
    <w:p>
      <w:pPr>
        <w:ind w:left="400" w:right="1099" w:firstLine="360"/>
        <w:spacing w:after="0" w:line="263" w:lineRule="auto"/>
        <w:rPr>
          <w:sz w:val="20"/>
          <w:szCs w:val="20"/>
          <w:color w:val="auto"/>
        </w:rPr>
      </w:pPr>
      <w:r>
        <w:rPr>
          <w:rFonts w:ascii="Arial" w:cs="Arial" w:eastAsia="Arial" w:hAnsi="Arial"/>
          <w:sz w:val="18"/>
          <w:szCs w:val="18"/>
          <w:color w:val="auto"/>
        </w:rPr>
        <w:t>The Compensation Committee retains an independent compensation consulting firm to provide advisory services concerning our executive compensation programs. In 2021, Aon assisted the Compensation Committee by providing the following services:</w:t>
      </w:r>
    </w:p>
    <w:p>
      <w:pPr>
        <w:spacing w:after="0" w:line="76" w:lineRule="exact"/>
        <w:rPr>
          <w:sz w:val="20"/>
          <w:szCs w:val="20"/>
          <w:color w:val="auto"/>
        </w:rPr>
      </w:pPr>
    </w:p>
    <w:p>
      <w:pPr>
        <w:ind w:left="940" w:right="839" w:hanging="180"/>
        <w:spacing w:after="0" w:line="277"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Assisting in establishing a peer group of publicly-traded companies to help assess our executive compensation program;</w:t>
      </w:r>
    </w:p>
    <w:p>
      <w:pPr>
        <w:spacing w:after="0" w:line="75" w:lineRule="exact"/>
        <w:rPr>
          <w:rFonts w:ascii="Arial" w:cs="Arial" w:eastAsia="Arial" w:hAnsi="Arial"/>
          <w:sz w:val="18"/>
          <w:szCs w:val="18"/>
          <w:color w:val="auto"/>
        </w:rPr>
      </w:pPr>
    </w:p>
    <w:p>
      <w:pPr>
        <w:ind w:left="940" w:right="539" w:hanging="180"/>
        <w:spacing w:after="0" w:line="263"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benchmarking of peer groups and market data analysis, including data used for reviewing the compensation of our CEO, CFO, the other NEOs and other members of our executive management team;</w:t>
      </w:r>
    </w:p>
    <w:p>
      <w:pPr>
        <w:spacing w:after="0" w:line="75" w:lineRule="exact"/>
        <w:rPr>
          <w:rFonts w:ascii="Arial" w:cs="Arial" w:eastAsia="Arial" w:hAnsi="Arial"/>
          <w:sz w:val="18"/>
          <w:szCs w:val="18"/>
          <w:color w:val="auto"/>
        </w:rPr>
      </w:pPr>
    </w:p>
    <w:p>
      <w:pPr>
        <w:ind w:left="940" w:right="419" w:hanging="180"/>
        <w:spacing w:after="0" w:line="277"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advising on certain materials provided to the Compensation Committee for discussion and approval; and</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Participating in certain of the Compensation Committee’s meetings in 2021.</w:t>
      </w:r>
    </w:p>
    <w:p>
      <w:pPr>
        <w:spacing w:after="0" w:line="144" w:lineRule="exact"/>
        <w:rPr>
          <w:sz w:val="20"/>
          <w:szCs w:val="20"/>
          <w:color w:val="auto"/>
        </w:rPr>
      </w:pPr>
    </w:p>
    <w:p>
      <w:pPr>
        <w:ind w:left="400" w:right="499" w:firstLine="360"/>
        <w:spacing w:after="0" w:line="271" w:lineRule="auto"/>
        <w:rPr>
          <w:sz w:val="20"/>
          <w:szCs w:val="20"/>
          <w:color w:val="auto"/>
        </w:rPr>
      </w:pPr>
      <w:r>
        <w:rPr>
          <w:rFonts w:ascii="Arial" w:cs="Arial" w:eastAsia="Arial" w:hAnsi="Arial"/>
          <w:sz w:val="17"/>
          <w:szCs w:val="17"/>
          <w:color w:val="auto"/>
        </w:rPr>
        <w:t>The members of the Aon team provide data and advice to the Compensation Committee. Other than providing the information identified above, the Aon team does not provide any other services unless specifically requested by the Compensation Committee. Aon follows its internal guidelines and practices to guard against any conflict of interest and to ensure the objectivity of its advice. The Compensation Committee analyzed whether Aon was independent pursuant to SEC and Nasdaq listing rules and whether the work of Aon as a compensation consultant raised any conflict of interest. Based on its analysis, the Compensation Committee determined that Aon was independent and that the work of Aon and the individual compensation advisors employed by Aon does not create any conflict of interest.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Role of Company Management</w:t>
      </w:r>
    </w:p>
    <w:p>
      <w:pPr>
        <w:spacing w:after="0" w:line="162" w:lineRule="exact"/>
        <w:rPr>
          <w:sz w:val="20"/>
          <w:szCs w:val="20"/>
          <w:color w:val="auto"/>
        </w:rPr>
      </w:pPr>
    </w:p>
    <w:p>
      <w:pPr>
        <w:ind w:left="400" w:right="479" w:firstLine="360"/>
        <w:spacing w:after="0" w:line="268" w:lineRule="auto"/>
        <w:rPr>
          <w:sz w:val="20"/>
          <w:szCs w:val="20"/>
          <w:color w:val="auto"/>
        </w:rPr>
      </w:pPr>
      <w:r>
        <w:rPr>
          <w:rFonts w:ascii="Arial" w:cs="Arial" w:eastAsia="Arial" w:hAnsi="Arial"/>
          <w:sz w:val="17"/>
          <w:szCs w:val="17"/>
          <w:color w:val="auto"/>
        </w:rPr>
        <w:t>The CEO makes recommendations to the Compensation Committee concerning each NEO’s contribution to the achievement of Corporate Objectives, which is the primary basis for each executive’s cash bonus, and the NEO’s individual performance, which is the primary basis for the equity award and is a factor in each executive’s cash bonus (other than the CEO). The CEO’s cash bonus is solely based on the achievement of Corporate Objectives. The recommendations take into account the peer group data provided by Aon. In addition, the CEO annually leads management in setting the research and development and business goals that are used to recommend the Corporate Objectives. The CEO works closely with the Compensation Committee to ensure that the Compensation Committee is provided with the appropriate information to make its decisions and to propose recommendations for the Compensation Committee’s consideration. The Compensation Committee develops the compensation plans by evaluating compensation data from Aon, overall Company performance and the recommendations of the CEO. The Compensation Committee then communicates its recommendations to the Board of Directors. Once approved by the Board of Directors, the CEO communicates those decisions to management for implementation.</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Benchmarking and Use of Peer Group Data</w:t>
      </w:r>
    </w:p>
    <w:p>
      <w:pPr>
        <w:spacing w:after="0" w:line="162" w:lineRule="exact"/>
        <w:rPr>
          <w:sz w:val="20"/>
          <w:szCs w:val="20"/>
          <w:color w:val="auto"/>
        </w:rPr>
      </w:pPr>
    </w:p>
    <w:p>
      <w:pPr>
        <w:ind w:left="400" w:right="519" w:firstLine="360"/>
        <w:spacing w:after="0" w:line="275" w:lineRule="auto"/>
        <w:rPr>
          <w:sz w:val="20"/>
          <w:szCs w:val="20"/>
          <w:color w:val="auto"/>
        </w:rPr>
      </w:pPr>
      <w:r>
        <w:rPr>
          <w:rFonts w:ascii="Arial" w:cs="Arial" w:eastAsia="Arial" w:hAnsi="Arial"/>
          <w:sz w:val="17"/>
          <w:szCs w:val="17"/>
          <w:color w:val="auto"/>
        </w:rPr>
        <w:t>Our executive compensation program seeks to provide total compensation at pay levels of executives with similar roles at comparable companies when targeted levels of performance are achieved. Use of peer group survey data provided by Aon plays a significant role in the structure of the compensation program. It is an important input in setting base salaries and target levels for cash bonuses and equity awards and to establish target compensation levels that are market competitive in order to attract and retain talent.</w:t>
      </w:r>
    </w:p>
    <w:p>
      <w:pPr>
        <w:spacing w:after="0" w:line="95" w:lineRule="exact"/>
        <w:rPr>
          <w:sz w:val="20"/>
          <w:szCs w:val="20"/>
          <w:color w:val="auto"/>
        </w:rPr>
      </w:pPr>
    </w:p>
    <w:p>
      <w:pPr>
        <w:jc w:val="both"/>
        <w:ind w:left="400" w:right="579" w:firstLine="360"/>
        <w:spacing w:after="0" w:line="259" w:lineRule="auto"/>
        <w:rPr>
          <w:sz w:val="20"/>
          <w:szCs w:val="20"/>
          <w:color w:val="auto"/>
        </w:rPr>
      </w:pPr>
      <w:r>
        <w:rPr>
          <w:rFonts w:ascii="Arial" w:cs="Arial" w:eastAsia="Arial" w:hAnsi="Arial"/>
          <w:sz w:val="18"/>
          <w:szCs w:val="18"/>
          <w:color w:val="auto"/>
        </w:rPr>
        <w:t>The Company participates in compensation surveys conducted by Aon each year. The Company has access to the resulting Aon reports, which are specific to the pharmaceutical and biotechnology industries and provide data on salaries, cash bonuses and equity awards for specific job functions. Aon’s input is one of the inputs for assessing our executive compensation program.</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 w:name="page26"/>
    <w:bookmarkEnd w:id="25"/>
    <w:p>
      <w:pPr>
        <w:ind w:left="400" w:right="499" w:firstLine="360"/>
        <w:spacing w:after="0" w:line="241" w:lineRule="auto"/>
        <w:rPr>
          <w:sz w:val="20"/>
          <w:szCs w:val="20"/>
          <w:color w:val="auto"/>
        </w:rPr>
      </w:pPr>
      <w:r>
        <w:rPr>
          <w:rFonts w:ascii="Arial" w:cs="Arial" w:eastAsia="Arial" w:hAnsi="Arial"/>
          <w:sz w:val="18"/>
          <w:szCs w:val="18"/>
          <w:color w:val="auto"/>
        </w:rPr>
        <w:t>With the guidance of Aon, the Compensation Committee determined the Peer Group for use and reference in 2021. The Compensation Committee used the peer data and the assistance of Aon to identify a reasonable reference point for base salaries, cash bonuses and equity awards. The Committee then analyzed overall company and individual executive performance to make final compensation decisions, which were recommended to the Board of Directors for approval.</w:t>
      </w:r>
    </w:p>
    <w:p>
      <w:pPr>
        <w:spacing w:after="0" w:line="108" w:lineRule="exact"/>
        <w:rPr>
          <w:sz w:val="20"/>
          <w:szCs w:val="20"/>
          <w:color w:val="auto"/>
        </w:rPr>
      </w:pPr>
    </w:p>
    <w:p>
      <w:pPr>
        <w:ind w:left="400" w:right="459" w:firstLine="360"/>
        <w:spacing w:after="0" w:line="241" w:lineRule="auto"/>
        <w:rPr>
          <w:sz w:val="20"/>
          <w:szCs w:val="20"/>
          <w:color w:val="auto"/>
        </w:rPr>
      </w:pPr>
      <w:r>
        <w:rPr>
          <w:rFonts w:ascii="Arial" w:cs="Arial" w:eastAsia="Arial" w:hAnsi="Arial"/>
          <w:sz w:val="18"/>
          <w:szCs w:val="18"/>
          <w:color w:val="auto"/>
        </w:rPr>
        <w:t>We believe that the design of our executive compensation program, with its emphasis on reward for achievement of the key goals that comprise our annual and long-term business plan, does not create incentives for our executives to take excessive or unnecessary risks that could threaten the value of the Company or are reasonably likely to cause a material adverse effect on the Company. Aon’s review includes a risk assessment of our executive compensation programs.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criteria we used for selecting peers included:</w:t>
      </w:r>
    </w:p>
    <w:p>
      <w:pPr>
        <w:spacing w:after="0" w:line="117" w:lineRule="exact"/>
        <w:rPr>
          <w:sz w:val="20"/>
          <w:szCs w:val="20"/>
          <w:color w:val="auto"/>
        </w:rPr>
      </w:pPr>
    </w:p>
    <w:p>
      <w:pPr>
        <w:ind w:left="940" w:hanging="180"/>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commercial biopharmaceutical companies;</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values generally between $400 million and $4.0 billion;</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Companies with annual revenue generally between $150 million and $1 billion; and</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Companies with 150-1,250 employees reflecting other organizations of similar scale and complexity.</w:t>
      </w:r>
    </w:p>
    <w:p>
      <w:pPr>
        <w:spacing w:after="0" w:line="169" w:lineRule="exact"/>
        <w:rPr>
          <w:sz w:val="20"/>
          <w:szCs w:val="20"/>
          <w:color w:val="auto"/>
        </w:rPr>
      </w:pPr>
    </w:p>
    <w:p>
      <w:pPr>
        <w:ind w:left="400" w:right="619" w:firstLine="360"/>
        <w:spacing w:after="0" w:line="246" w:lineRule="auto"/>
        <w:rPr>
          <w:sz w:val="20"/>
          <w:szCs w:val="20"/>
          <w:color w:val="auto"/>
        </w:rPr>
      </w:pPr>
      <w:r>
        <w:rPr>
          <w:rFonts w:ascii="Arial" w:cs="Arial" w:eastAsia="Arial" w:hAnsi="Arial"/>
          <w:sz w:val="17"/>
          <w:szCs w:val="17"/>
          <w:color w:val="auto"/>
        </w:rPr>
        <w:t>Using these criteria, the following companies were determined to comprise the Company’s 2021 peer group (the “Peer Group”): ACADIA Pharmaceuticals, Agios Pharmaceuticals, Akebia Therapeutics, Alkermes, Amarin, Amicus Therapeutics, Amphastar Pharmaceuticals, Coherus BioSciences, Collegium Pharmaceutical, Corcept Therapeutics, Eagle Pharmaceuticals, Emergent BioSolutions, Halozyme Therapeutics, Heron Therapeutics, Intercept Pharmaceuticals, Ironwood Pharmaceuticals, Ligand Pharmaceuticals, Pacira BioSciences, PTC Therapeutics,. Compared to the Peer Group, for 2021, the Company was at the 78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revenues, 24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market capitalization, and the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Peer Group headcount.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main components of our executive compensation program are:</w:t>
      </w:r>
    </w:p>
    <w:p>
      <w:pPr>
        <w:spacing w:after="0" w:line="117" w:lineRule="exact"/>
        <w:rPr>
          <w:sz w:val="20"/>
          <w:szCs w:val="20"/>
          <w:color w:val="auto"/>
        </w:rPr>
      </w:pPr>
    </w:p>
    <w:p>
      <w:pPr>
        <w:ind w:left="940" w:hanging="180"/>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cash bonus; and</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incentives — equity awards.</w:t>
      </w:r>
    </w:p>
    <w:p>
      <w:pPr>
        <w:spacing w:after="0" w:line="158" w:lineRule="exact"/>
        <w:rPr>
          <w:sz w:val="20"/>
          <w:szCs w:val="20"/>
          <w:color w:val="auto"/>
        </w:rPr>
      </w:pPr>
    </w:p>
    <w:p>
      <w:pPr>
        <w:ind w:left="400" w:right="499" w:firstLine="360"/>
        <w:spacing w:after="0" w:line="259" w:lineRule="auto"/>
        <w:rPr>
          <w:sz w:val="20"/>
          <w:szCs w:val="20"/>
          <w:color w:val="auto"/>
        </w:rPr>
      </w:pPr>
      <w:r>
        <w:rPr>
          <w:rFonts w:ascii="Arial" w:cs="Arial" w:eastAsia="Arial" w:hAnsi="Arial"/>
          <w:sz w:val="18"/>
          <w:szCs w:val="18"/>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and individual performance.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Base Salaries</w:t>
      </w:r>
    </w:p>
    <w:p>
      <w:pPr>
        <w:spacing w:after="0" w:line="158" w:lineRule="exact"/>
        <w:rPr>
          <w:sz w:val="20"/>
          <w:szCs w:val="20"/>
          <w:color w:val="auto"/>
        </w:rPr>
      </w:pPr>
    </w:p>
    <w:p>
      <w:pPr>
        <w:ind w:left="400" w:right="439" w:firstLine="360"/>
        <w:spacing w:after="0" w:line="252" w:lineRule="auto"/>
        <w:rPr>
          <w:sz w:val="20"/>
          <w:szCs w:val="20"/>
          <w:color w:val="auto"/>
        </w:rPr>
      </w:pPr>
      <w:r>
        <w:rPr>
          <w:rFonts w:ascii="Arial" w:cs="Arial" w:eastAsia="Arial" w:hAnsi="Arial"/>
          <w:sz w:val="18"/>
          <w:szCs w:val="18"/>
          <w:color w:val="auto"/>
        </w:rPr>
        <w:t>Base salaries are paid in order to provide a fixed component of compensation for the CEO, CFO, other NEOs and other members of executive management. For 2021, on February 19, 2021, the Compensation Committee, based on the CEO’s recommendation and comparison with data from the Aon report, reviewed the base salaries of the CEO and the then serving CFO, other NEOs and the other executive officers. Each executive officer’s individual performance and tenure were also evaluated. For each of these executive officers, based on the CEO’s recommendation (other than with respect to the CEO) and the executive officer’s individual performance and contribution to the achievement of Corporate Objectives, the Compensation Committee approved an increase in the respective base salary from the 2020 level (other than with respect to the CEO) to be within a range that is competitive with salaries paid to comparable officers at companies in the Peer Group. With respect to the CEO, based on the foregoing, the Compensation Committee recommended the Board of Directors approve an increase of the CEO’s base salary from the 2020 level to be within a range that is competitive with salaries paid to comparable CEOs at companies in the Peer Group. The full Board of Directors reviewed the approved increases and approved an increase in the CEO’s base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6" w:name="page27"/>
    <w:bookmarkEnd w:id="26"/>
    <w:p>
      <w:pPr>
        <w:ind w:left="400" w:right="779"/>
        <w:spacing w:after="0" w:line="261" w:lineRule="auto"/>
        <w:rPr>
          <w:sz w:val="20"/>
          <w:szCs w:val="20"/>
          <w:color w:val="auto"/>
        </w:rPr>
      </w:pPr>
      <w:r>
        <w:rPr>
          <w:rFonts w:ascii="Arial" w:cs="Arial" w:eastAsia="Arial" w:hAnsi="Arial"/>
          <w:sz w:val="18"/>
          <w:szCs w:val="18"/>
          <w:color w:val="auto"/>
        </w:rPr>
        <w:t>salary based on its review and the Compensation Committee’s recommendation. None of our executives received more than a 10% change in base salary from 2020 levels.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Annual Cash Bonuses</w:t>
      </w:r>
    </w:p>
    <w:p>
      <w:pPr>
        <w:spacing w:after="0" w:line="144" w:lineRule="exact"/>
        <w:rPr>
          <w:sz w:val="20"/>
          <w:szCs w:val="20"/>
          <w:color w:val="auto"/>
        </w:rPr>
      </w:pPr>
    </w:p>
    <w:p>
      <w:pPr>
        <w:ind w:left="400" w:right="439" w:firstLine="360"/>
        <w:spacing w:after="0"/>
        <w:rPr>
          <w:sz w:val="20"/>
          <w:szCs w:val="20"/>
          <w:color w:val="auto"/>
        </w:rPr>
      </w:pPr>
      <w:r>
        <w:rPr>
          <w:rFonts w:ascii="Arial" w:cs="Arial" w:eastAsia="Arial" w:hAnsi="Arial"/>
          <w:sz w:val="18"/>
          <w:szCs w:val="18"/>
          <w:color w:val="auto"/>
        </w:rPr>
        <w:t>Annual cash bonuses are intended to reward individual performance by providing executive officers with an opportunity to receive additional cash compensation based primarily on the Company’s performance, as measured by the achievement of Corporate Objectives approved by the Board of Directors, and the assessment of the Compensation Committee, based on recommendations from the CEO, of how well the executive officer performed his or her role in contributing to stockholder value during the applicable year.</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Target Setting.</w:t>
      </w:r>
    </w:p>
    <w:p>
      <w:pPr>
        <w:spacing w:after="0" w:line="158" w:lineRule="exact"/>
        <w:rPr>
          <w:sz w:val="20"/>
          <w:szCs w:val="20"/>
          <w:color w:val="auto"/>
        </w:rPr>
      </w:pPr>
    </w:p>
    <w:p>
      <w:pPr>
        <w:ind w:left="400" w:right="419" w:firstLine="360"/>
        <w:spacing w:after="0" w:line="269" w:lineRule="auto"/>
        <w:rPr>
          <w:sz w:val="20"/>
          <w:szCs w:val="20"/>
          <w:color w:val="auto"/>
        </w:rPr>
      </w:pPr>
      <w:r>
        <w:rPr>
          <w:rFonts w:ascii="Arial" w:cs="Arial" w:eastAsia="Arial" w:hAnsi="Arial"/>
          <w:sz w:val="17"/>
          <w:szCs w:val="17"/>
          <w:color w:val="auto"/>
        </w:rPr>
        <w:t>Cash bonus targets, expressed as a percentage of base salary, for the CEO, CFO, the other NEOs and all other members of 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 None of the NEOs cash bonus targets as a percentage of their respective base salaries increased in 2021 as compared to 2020, other than with respect to Dr. Rubin whose cash bonus target was increased to 35% of his base salary in 2021 from 30% in 2020.</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Elements of Cash Bonus.</w:t>
      </w:r>
    </w:p>
    <w:p>
      <w:pPr>
        <w:spacing w:after="0" w:line="158" w:lineRule="exact"/>
        <w:rPr>
          <w:sz w:val="20"/>
          <w:szCs w:val="20"/>
          <w:color w:val="auto"/>
        </w:rPr>
      </w:pPr>
    </w:p>
    <w:p>
      <w:pPr>
        <w:ind w:left="400" w:right="559" w:firstLine="360"/>
        <w:spacing w:after="0" w:line="259" w:lineRule="auto"/>
        <w:rPr>
          <w:sz w:val="20"/>
          <w:szCs w:val="20"/>
          <w:color w:val="auto"/>
        </w:rPr>
      </w:pPr>
      <w:r>
        <w:rPr>
          <w:rFonts w:ascii="Arial" w:cs="Arial" w:eastAsia="Arial" w:hAnsi="Arial"/>
          <w:sz w:val="18"/>
          <w:szCs w:val="18"/>
          <w:color w:val="auto"/>
        </w:rPr>
        <w:t>Each cash bonus target opportunity consists of two elements: a Company performance element and an individual performance element (other than for the CEO whose cash bonus solely of a Company performance element). The targets and the relative weighting of objectives for the NEOs in 2021 were as follows:</w:t>
      </w:r>
    </w:p>
    <w:p>
      <w:pPr>
        <w:spacing w:after="0" w:line="13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Target Bonus</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Weighting of</w:t>
            </w:r>
          </w:p>
        </w:tc>
        <w:tc>
          <w:tcPr>
            <w:tcW w:w="0" w:type="dxa"/>
            <w:vAlign w:val="bottom"/>
          </w:tcPr>
          <w:p>
            <w:pPr>
              <w:spacing w:after="0"/>
              <w:rPr>
                <w:sz w:val="1"/>
                <w:szCs w:val="1"/>
                <w:color w:val="auto"/>
              </w:rPr>
            </w:pPr>
          </w:p>
        </w:tc>
      </w:tr>
      <w:tr>
        <w:trPr>
          <w:trHeight w:val="81"/>
        </w:trPr>
        <w:tc>
          <w:tcPr>
            <w:tcW w:w="4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5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Objectives</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2"/>
              </w:rPr>
              <w:t>as a % of</w:t>
            </w:r>
          </w:p>
        </w:tc>
        <w:tc>
          <w:tcPr>
            <w:tcW w:w="1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Base Salary)</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Individual</w:t>
            </w:r>
          </w:p>
        </w:tc>
        <w:tc>
          <w:tcPr>
            <w:tcW w:w="0" w:type="dxa"/>
            <w:vAlign w:val="bottom"/>
          </w:tcPr>
          <w:p>
            <w:pPr>
              <w:spacing w:after="0"/>
              <w:rPr>
                <w:sz w:val="1"/>
                <w:szCs w:val="1"/>
                <w:color w:val="auto"/>
              </w:rPr>
            </w:pPr>
          </w:p>
        </w:tc>
      </w:tr>
      <w:tr>
        <w:trPr>
          <w:trHeight w:val="25"/>
        </w:trPr>
        <w:tc>
          <w:tcPr>
            <w:tcW w:w="4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spacing w:after="0"/>
              <w:rPr>
                <w:sz w:val="20"/>
                <w:szCs w:val="20"/>
                <w:color w:val="auto"/>
              </w:rPr>
            </w:pPr>
            <w:r>
              <w:rPr>
                <w:rFonts w:ascii="Arial" w:cs="Arial" w:eastAsia="Arial" w:hAnsi="Arial"/>
                <w:sz w:val="18"/>
                <w:szCs w:val="18"/>
                <w:color w:val="auto"/>
              </w:rPr>
              <w:t>Jack A. Khattar</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720" w:type="dxa"/>
            <w:vAlign w:val="bottom"/>
            <w:gridSpan w:val="2"/>
          </w:tcPr>
          <w:p>
            <w:pPr>
              <w:jc w:val="right"/>
              <w:spacing w:after="0" w:line="25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rPr>
                <w:sz w:val="20"/>
                <w:szCs w:val="20"/>
                <w:color w:val="auto"/>
              </w:rPr>
            </w:pPr>
            <w:r>
              <w:rPr>
                <w:rFonts w:ascii="Arial" w:cs="Arial" w:eastAsia="Arial" w:hAnsi="Arial"/>
                <w:sz w:val="18"/>
                <w:szCs w:val="18"/>
                <w:color w:val="auto"/>
              </w:rPr>
              <w:t>Timothy C. Dec</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P. Bhatt, Ph.D.</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gridSpan w:val="2"/>
          </w:tcPr>
          <w:p>
            <w:pPr>
              <w:spacing w:after="0"/>
              <w:rPr>
                <w:sz w:val="20"/>
                <w:szCs w:val="20"/>
                <w:color w:val="auto"/>
              </w:rPr>
            </w:pPr>
            <w:r>
              <w:rPr>
                <w:rFonts w:ascii="Arial" w:cs="Arial" w:eastAsia="Arial" w:hAnsi="Arial"/>
                <w:sz w:val="18"/>
                <w:szCs w:val="18"/>
                <w:color w:val="auto"/>
              </w:rPr>
              <w:t>Jonathan Rubin, M.D.,</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T. Martin, R.N., Esq.</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5000" w:type="dxa"/>
            <w:vAlign w:val="bottom"/>
            <w:gridSpan w:val="2"/>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3"/>
                <w:szCs w:val="23"/>
                <w:color w:val="auto"/>
                <w:vertAlign w:val="superscript"/>
              </w:rPr>
              <w:t>(2)</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-1020445</wp:posOffset>
            </wp:positionV>
            <wp:extent cx="47491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127635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9" w:lineRule="exact"/>
        <w:rPr>
          <w:sz w:val="20"/>
          <w:szCs w:val="20"/>
          <w:color w:val="auto"/>
        </w:rPr>
      </w:pPr>
    </w:p>
    <w:p>
      <w:pPr>
        <w:ind w:left="760" w:right="1159" w:hanging="360"/>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CEO’s performance is measured by reference to the overall performance of the Company, specifically the achievement of Corporate Objectives.</w:t>
      </w:r>
    </w:p>
    <w:p>
      <w:pPr>
        <w:spacing w:after="0" w:line="21" w:lineRule="exact"/>
        <w:rPr>
          <w:rFonts w:ascii="Arial" w:cs="Arial" w:eastAsia="Arial" w:hAnsi="Arial"/>
          <w:sz w:val="18"/>
          <w:szCs w:val="18"/>
          <w:color w:val="auto"/>
        </w:rPr>
      </w:pPr>
    </w:p>
    <w:p>
      <w:pPr>
        <w:ind w:left="760" w:hanging="360"/>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Kelly served as Executive Vice President and Chief Financial Officer until August 13, 2021.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Corporate Performance Goals</w:t>
      </w:r>
    </w:p>
    <w:p>
      <w:pPr>
        <w:spacing w:after="0" w:line="158" w:lineRule="exact"/>
        <w:rPr>
          <w:sz w:val="20"/>
          <w:szCs w:val="20"/>
          <w:color w:val="auto"/>
        </w:rPr>
      </w:pPr>
    </w:p>
    <w:p>
      <w:pPr>
        <w:ind w:left="400" w:right="419" w:firstLine="360"/>
        <w:spacing w:after="0" w:line="253" w:lineRule="auto"/>
        <w:rPr>
          <w:sz w:val="20"/>
          <w:szCs w:val="20"/>
          <w:color w:val="auto"/>
        </w:rPr>
      </w:pPr>
      <w:r>
        <w:rPr>
          <w:rFonts w:ascii="Arial" w:cs="Arial" w:eastAsia="Arial" w:hAnsi="Arial"/>
          <w:sz w:val="18"/>
          <w:szCs w:val="18"/>
          <w:color w:val="auto"/>
        </w:rPr>
        <w:t>Each year, we measure our annual corporate performance against our achievement of the key objectives and goals set forth in our annual business plan, which we refer to as our Corporate Objectives. The achievement of specified financial measures, such as annual operating income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7" w:name="page28"/>
    <w:bookmarkEnd w:id="27"/>
    <w:p>
      <w:pPr>
        <w:ind w:left="400" w:right="419"/>
        <w:spacing w:after="0" w:line="241" w:lineRule="auto"/>
        <w:rPr>
          <w:sz w:val="20"/>
          <w:szCs w:val="20"/>
          <w:color w:val="auto"/>
        </w:rPr>
      </w:pPr>
      <w:r>
        <w:rPr>
          <w:rFonts w:ascii="Arial" w:cs="Arial" w:eastAsia="Arial" w:hAnsi="Arial"/>
          <w:sz w:val="18"/>
          <w:szCs w:val="18"/>
          <w:color w:val="auto"/>
        </w:rPr>
        <w:t>and development pipeline, in-licensed technology and technology platforms which are designed to realize long-term growth for our company. The strategy is also based on appropriate acquisitions of corporate assets. At the beginning of 2021, the CEO recommended, and the Board of Directors approved and assigned weights to certain Corporate Objectives for 2021 covering various key projects and financial goals including the following:</w:t>
      </w:r>
    </w:p>
    <w:p>
      <w:pPr>
        <w:spacing w:after="0" w:line="81" w:lineRule="exact"/>
        <w:rPr>
          <w:sz w:val="20"/>
          <w:szCs w:val="20"/>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SPN-812</w:t>
      </w:r>
    </w:p>
    <w:p>
      <w:pPr>
        <w:spacing w:after="0" w:line="103"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Launch SPN-812 within a defined time period from the date of approval.</w:t>
      </w:r>
    </w:p>
    <w:p>
      <w:pPr>
        <w:spacing w:after="0" w:line="117" w:lineRule="exact"/>
        <w:rPr>
          <w:rFonts w:ascii="Arial" w:cs="Arial" w:eastAsia="Arial" w:hAnsi="Arial"/>
          <w:sz w:val="18"/>
          <w:szCs w:val="18"/>
          <w:color w:val="auto"/>
        </w:rPr>
      </w:pPr>
    </w:p>
    <w:p>
      <w:pPr>
        <w:ind w:left="1300" w:right="899" w:hanging="18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Submit sNDA for treatment of attention deficit hyperactivity disorder in adults in the third quarter.</w:t>
      </w:r>
    </w:p>
    <w:p>
      <w:pPr>
        <w:spacing w:after="0" w:line="62"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Achieve several defined goals related to clinical studies.</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SPN-817</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manufacturing of API in the third quarter.</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Initiate certain clinical studies during the second, third and fourth quarters.</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certain clinical studies during the fourth quarter.</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SPN-820</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Initiate dosing for certain clinical studies during the second and fourth quarters.</w:t>
      </w:r>
    </w:p>
    <w:p>
      <w:pPr>
        <w:spacing w:after="0" w:line="117" w:lineRule="exact"/>
        <w:rPr>
          <w:rFonts w:ascii="Arial" w:cs="Arial" w:eastAsia="Arial" w:hAnsi="Arial"/>
          <w:sz w:val="18"/>
          <w:szCs w:val="18"/>
          <w:color w:val="auto"/>
        </w:rPr>
      </w:pPr>
    </w:p>
    <w:p>
      <w:pPr>
        <w:ind w:left="1300" w:right="499" w:hanging="18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clinical trial materials and clinical study reports for certain clinical studies during the first and third quarters.</w:t>
      </w:r>
    </w:p>
    <w:p>
      <w:pPr>
        <w:spacing w:after="0" w:line="62" w:lineRule="exact"/>
        <w:rPr>
          <w:rFonts w:ascii="Arial" w:cs="Arial" w:eastAsia="Arial" w:hAnsi="Arial"/>
          <w:sz w:val="18"/>
          <w:szCs w:val="18"/>
          <w:color w:val="auto"/>
        </w:rPr>
      </w:pPr>
    </w:p>
    <w:p>
      <w:pPr>
        <w:ind w:left="1300" w:right="759" w:hanging="18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Provide toxicology study protocol for submission to the U.S. Food and Drug Administration (“FDA”) during the second quarter.</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SPN-830</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Resubmit New Drug Application.</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Financials</w:t>
      </w:r>
    </w:p>
    <w:p>
      <w:pPr>
        <w:spacing w:after="0" w:line="103" w:lineRule="exact"/>
        <w:rPr>
          <w:rFonts w:ascii="Arial" w:cs="Arial" w:eastAsia="Arial" w:hAnsi="Arial"/>
          <w:sz w:val="18"/>
          <w:szCs w:val="18"/>
          <w:color w:val="auto"/>
        </w:rPr>
      </w:pPr>
    </w:p>
    <w:p>
      <w:pPr>
        <w:ind w:left="1300" w:right="759" w:hanging="180"/>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Achieve 2021 gross product sales or net sales, and annual operating income, in each case, at levels set in the Company’s operating budget as approved by the Board of Directors.</w:t>
      </w:r>
    </w:p>
    <w:p>
      <w:pPr>
        <w:spacing w:after="0" w:line="38" w:lineRule="exact"/>
        <w:rPr>
          <w:rFonts w:ascii="Arial" w:cs="Arial" w:eastAsia="Arial" w:hAnsi="Arial"/>
          <w:sz w:val="17"/>
          <w:szCs w:val="17"/>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SPN-860</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Initiate specific development and manufacturing activities.</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Achieve several defined goals related to clinical studies.</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R&amp;D Discovery Program</w:t>
      </w:r>
    </w:p>
    <w:p>
      <w:pPr>
        <w:spacing w:after="0" w:line="117" w:lineRule="exact"/>
        <w:rPr>
          <w:rFonts w:ascii="Arial" w:cs="Arial" w:eastAsia="Arial" w:hAnsi="Arial"/>
          <w:sz w:val="18"/>
          <w:szCs w:val="18"/>
          <w:color w:val="auto"/>
        </w:rPr>
      </w:pPr>
    </w:p>
    <w:p>
      <w:pPr>
        <w:ind w:left="1300" w:right="719" w:hanging="18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Make go/no-go decision to advance drug candidate(s) to IND-enabling studies by the second and third quarters, respectively.</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Trokendi XR and Oxtellar XR</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clinical study report for a particular clinical study during the fourth quarter.</w:t>
      </w:r>
    </w:p>
    <w:p>
      <w:pPr>
        <w:spacing w:after="0" w:line="117" w:lineRule="exact"/>
        <w:rPr>
          <w:rFonts w:ascii="Arial" w:cs="Arial" w:eastAsia="Arial" w:hAnsi="Arial"/>
          <w:sz w:val="18"/>
          <w:szCs w:val="18"/>
          <w:color w:val="auto"/>
        </w:rPr>
      </w:pPr>
    </w:p>
    <w:p>
      <w:pPr>
        <w:ind w:left="1300" w:hanging="18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Achieve several defined goals related to clinical studies.</w:t>
      </w:r>
    </w:p>
    <w:p>
      <w:pPr>
        <w:spacing w:after="0" w:line="144" w:lineRule="exact"/>
        <w:rPr>
          <w:sz w:val="20"/>
          <w:szCs w:val="20"/>
          <w:color w:val="auto"/>
        </w:rPr>
      </w:pPr>
    </w:p>
    <w:p>
      <w:pPr>
        <w:ind w:left="400" w:right="439" w:firstLine="360"/>
        <w:spacing w:after="0" w:line="253" w:lineRule="auto"/>
        <w:rPr>
          <w:sz w:val="20"/>
          <w:szCs w:val="20"/>
          <w:color w:val="auto"/>
        </w:rPr>
      </w:pPr>
      <w:r>
        <w:rPr>
          <w:rFonts w:ascii="Arial" w:cs="Arial" w:eastAsia="Arial" w:hAnsi="Arial"/>
          <w:sz w:val="18"/>
          <w:szCs w:val="18"/>
          <w:color w:val="auto"/>
        </w:rPr>
        <w:t>The cash bonus program has various payout levels depending on the Company’s performance measured against the Corporate Objectives. The payout of cash bonuses is largely determined by the achievement of Corporate Objectives. For example, if 90% of our Corporate Objectives are achieved, 90% of the amount of each NEO’s cash bonus target attributable to the Corporate Objectives will be funded. The Board of Directors, based on the recommendation of the Compensation Committee and at its discretion, may adjust the payout levels. For 2021, the Corporate Objectives achievement level was determined by the Compensation Committee to be 96% of Corporate Objectives plus an additional 25% for completing and executing a significant corporate transaction important to the future growth of the Company and building stockholder value; namely, the acquisition of Adamas Pharmaceuticals, Inc. Certain officers, specifically Messrs.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8" w:name="page29"/>
    <w:bookmarkEnd w:id="28"/>
    <w:p>
      <w:pPr>
        <w:ind w:left="400" w:right="619"/>
        <w:spacing w:after="0" w:line="228" w:lineRule="auto"/>
        <w:rPr>
          <w:sz w:val="20"/>
          <w:szCs w:val="20"/>
          <w:color w:val="auto"/>
        </w:rPr>
      </w:pPr>
      <w:r>
        <w:rPr>
          <w:rFonts w:ascii="Arial" w:cs="Arial" w:eastAsia="Arial" w:hAnsi="Arial"/>
          <w:sz w:val="18"/>
          <w:szCs w:val="18"/>
          <w:color w:val="auto"/>
        </w:rPr>
        <w:t>Khattar and Dec, were also credited an additional 5% for their efforts in connection with the 2021 ransomware attack. Mr. Khattar was also credited an additional 10% related to the Company ownership position in Navitor LLC (“Navitor”), which yielded the Company a $12.9 million cash distribution during 2021 following Navitor’s sale of a subsidiary unrelated to our ongoing joint Phase II clinical program for NV-5138 (mTORC1 activator) (SPN-820) in treatment-resistant depression.</w:t>
      </w:r>
    </w:p>
    <w:p>
      <w:pPr>
        <w:spacing w:after="0" w:line="97" w:lineRule="exact"/>
        <w:rPr>
          <w:sz w:val="20"/>
          <w:szCs w:val="20"/>
          <w:color w:val="auto"/>
        </w:rPr>
      </w:pPr>
    </w:p>
    <w:p>
      <w:pPr>
        <w:ind w:left="400" w:right="459" w:firstLine="360"/>
        <w:spacing w:after="0" w:line="246" w:lineRule="auto"/>
        <w:rPr>
          <w:sz w:val="20"/>
          <w:szCs w:val="20"/>
          <w:color w:val="auto"/>
        </w:rPr>
      </w:pPr>
      <w:r>
        <w:rPr>
          <w:rFonts w:ascii="Arial" w:cs="Arial" w:eastAsia="Arial" w:hAnsi="Arial"/>
          <w:sz w:val="18"/>
          <w:szCs w:val="18"/>
          <w:color w:val="auto"/>
        </w:rPr>
        <w:t>Please refer to the “Summary Compensation Table” for information concerning the actual bonuses paid to each of our NEOs for the year ended December 31, 2021.</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Long Term Incentives — Equity Incentive Awards</w:t>
      </w:r>
    </w:p>
    <w:p>
      <w:pPr>
        <w:spacing w:after="0" w:line="144" w:lineRule="exact"/>
        <w:rPr>
          <w:sz w:val="20"/>
          <w:szCs w:val="20"/>
          <w:color w:val="auto"/>
        </w:rPr>
      </w:pPr>
    </w:p>
    <w:p>
      <w:pPr>
        <w:ind w:left="400" w:right="539" w:firstLine="360"/>
        <w:spacing w:after="0" w:line="227" w:lineRule="auto"/>
        <w:rPr>
          <w:sz w:val="20"/>
          <w:szCs w:val="20"/>
          <w:color w:val="auto"/>
        </w:rPr>
      </w:pPr>
      <w:r>
        <w:rPr>
          <w:rFonts w:ascii="Arial" w:cs="Arial" w:eastAsia="Arial" w:hAnsi="Arial"/>
          <w:sz w:val="18"/>
          <w:szCs w:val="18"/>
          <w:color w:val="auto"/>
        </w:rPr>
        <w:t>Equity incentive awards have the potential to be a significant component of each executive officer’s compensation package if the Company’s stock price appreciates. We emphasize equity incentive awards to motivate our executive officers to drive both the short-term and long-term performance of the Company. This emphasis aligns their interests with those of our stockholders. We believe this emphasis is appropriate as each executive officer has a significant role in developing and executing on the Company’s strategy and delivering financial performance year-over-year.</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Structure of Equity Award Compensation Program</w:t>
      </w:r>
    </w:p>
    <w:p>
      <w:pPr>
        <w:spacing w:after="0" w:line="144" w:lineRule="exact"/>
        <w:rPr>
          <w:sz w:val="20"/>
          <w:szCs w:val="20"/>
          <w:color w:val="auto"/>
        </w:rPr>
      </w:pPr>
    </w:p>
    <w:p>
      <w:pPr>
        <w:ind w:left="400" w:right="519" w:firstLine="360"/>
        <w:spacing w:after="0" w:line="228" w:lineRule="auto"/>
        <w:rPr>
          <w:sz w:val="20"/>
          <w:szCs w:val="20"/>
          <w:color w:val="auto"/>
        </w:rPr>
      </w:pPr>
      <w:r>
        <w:rPr>
          <w:rFonts w:ascii="Arial" w:cs="Arial" w:eastAsia="Arial" w:hAnsi="Arial"/>
          <w:sz w:val="18"/>
          <w:szCs w:val="18"/>
          <w:color w:val="auto"/>
        </w:rPr>
        <w:t>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comparable officers at companies in the Peer Group.</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Options</w:t>
      </w:r>
    </w:p>
    <w:p>
      <w:pPr>
        <w:spacing w:after="0" w:line="131" w:lineRule="exact"/>
        <w:rPr>
          <w:sz w:val="20"/>
          <w:szCs w:val="20"/>
          <w:color w:val="auto"/>
        </w:rPr>
      </w:pPr>
    </w:p>
    <w:p>
      <w:pPr>
        <w:ind w:left="400" w:right="419" w:firstLine="360"/>
        <w:spacing w:after="0" w:line="223" w:lineRule="auto"/>
        <w:rPr>
          <w:sz w:val="20"/>
          <w:szCs w:val="20"/>
          <w:color w:val="auto"/>
        </w:rPr>
      </w:pPr>
      <w:r>
        <w:rPr>
          <w:rFonts w:ascii="Arial" w:cs="Arial" w:eastAsia="Arial" w:hAnsi="Arial"/>
          <w:sz w:val="18"/>
          <w:szCs w:val="18"/>
          <w:color w:val="auto"/>
        </w:rPr>
        <w:t>The Compensation Committee approves grants of stock options to provide a certain amount of equity to officers that will vest as long as the officer continues to serve at Supernus. These grants align the interests of our executive officers with those of our stockholders because the grants will only have value to the extent the market value of Supernus’ equity increases from the date of grant. Stock option awards for our executive officers were set within a range that is competitive with option awards granted to comparable officers at companies in the Peer Group.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w:t>
      </w:r>
    </w:p>
    <w:p>
      <w:pPr>
        <w:spacing w:after="0" w:line="129"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color w:val="auto"/>
        </w:rPr>
        <w:t>On February 19, 2021, the Board of Directors approved, upon recommendation from the Compensation Committee, a grant of 200,000 stock options to Mr. Khattar. The Compensation Committee also approved grants of 25,000 stock options to Dr. Rubin, 17,000 stock options to each of Dr. Bhatt and Ms. Martin, and 15,000 stock options to Mr. Kelly. For additional information regarding the value of these awards, see “Executive Compensation — Grants of Plan-Based Awards.” In determining the actual amounts of each executive officer’s stock option award, the Compensation Committee and Board of Directors considered the recommendations of the CEO and each executive’s individual performance.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w:t>
      </w:r>
    </w:p>
    <w:p>
      <w:pPr>
        <w:spacing w:after="0" w:line="113" w:lineRule="exact"/>
        <w:rPr>
          <w:sz w:val="20"/>
          <w:szCs w:val="20"/>
          <w:color w:val="auto"/>
        </w:rPr>
      </w:pPr>
    </w:p>
    <w:p>
      <w:pPr>
        <w:ind w:left="400" w:right="439" w:firstLine="360"/>
        <w:spacing w:after="0" w:line="241" w:lineRule="auto"/>
        <w:rPr>
          <w:sz w:val="20"/>
          <w:szCs w:val="20"/>
          <w:color w:val="auto"/>
        </w:rPr>
      </w:pPr>
      <w:r>
        <w:rPr>
          <w:rFonts w:ascii="Arial" w:cs="Arial" w:eastAsia="Arial" w:hAnsi="Arial"/>
          <w:sz w:val="18"/>
          <w:szCs w:val="18"/>
          <w:color w:val="auto"/>
        </w:rPr>
        <w:t>On July 27, 2021, the Compensation Committee approved a grant of 85,000 stock options to Mr. Dec in connection with his hiring as our Senior Vice President, Chief Financial Officer. The grant was based on competitive market data, Mr. Dec’s level of experience prior to joining the Company and his specific job responsibilities. These stock options also vest over four years in four equal installments of 25% each on the first four anniversaries of the date of grant.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Performance Share Units</w:t>
      </w:r>
    </w:p>
    <w:p>
      <w:pPr>
        <w:spacing w:after="0" w:line="144" w:lineRule="exact"/>
        <w:rPr>
          <w:sz w:val="20"/>
          <w:szCs w:val="20"/>
          <w:color w:val="auto"/>
        </w:rPr>
      </w:pPr>
    </w:p>
    <w:p>
      <w:pPr>
        <w:ind w:left="400" w:right="679" w:firstLine="360"/>
        <w:spacing w:after="0" w:line="291" w:lineRule="auto"/>
        <w:rPr>
          <w:sz w:val="20"/>
          <w:szCs w:val="20"/>
          <w:color w:val="auto"/>
        </w:rPr>
      </w:pPr>
      <w:r>
        <w:rPr>
          <w:rFonts w:ascii="Arial" w:cs="Arial" w:eastAsia="Arial" w:hAnsi="Arial"/>
          <w:sz w:val="17"/>
          <w:szCs w:val="17"/>
          <w:color w:val="auto"/>
        </w:rPr>
        <w:t>For 2021, the Board of Directors approved a recommendation from the Compensation Committee to alter the mix of equity awards to the Company’s NEOs and other executive officers to continue our focus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29" w:name="page30"/>
    <w:bookmarkEnd w:id="29"/>
    <w:p>
      <w:pPr>
        <w:ind w:left="400" w:right="459"/>
        <w:spacing w:after="0" w:line="238" w:lineRule="auto"/>
        <w:rPr>
          <w:sz w:val="20"/>
          <w:szCs w:val="20"/>
          <w:color w:val="auto"/>
        </w:rPr>
      </w:pPr>
      <w:r>
        <w:rPr>
          <w:rFonts w:ascii="Arial" w:cs="Arial" w:eastAsia="Arial" w:hAnsi="Arial"/>
          <w:sz w:val="18"/>
          <w:szCs w:val="18"/>
          <w:color w:val="auto"/>
        </w:rPr>
        <w:t>on performance- based compensation and to tie a more significant portion of total executive officer compensation to the achievement of performance goals that we believe drive the fundamentals of our business. In addition, all NEOs and other executive officers, in addition to receiving a grant of stock options, received a portion of their equity award in the form of performance share units. Consistent with our emphasis on aligning pay for performance, each executive’s awarded performance share units vest upon the achievement of specific individual performance objectives, which are designed to support the long-term performance of the Company. The performance share units have defined performance periods and expire after ten years.</w:t>
      </w:r>
    </w:p>
    <w:p>
      <w:pPr>
        <w:spacing w:after="0" w:line="113" w:lineRule="exact"/>
        <w:rPr>
          <w:sz w:val="20"/>
          <w:szCs w:val="20"/>
          <w:color w:val="auto"/>
        </w:rPr>
      </w:pPr>
    </w:p>
    <w:p>
      <w:pPr>
        <w:ind w:left="400" w:right="839" w:firstLine="360"/>
        <w:spacing w:after="0" w:line="248" w:lineRule="auto"/>
        <w:rPr>
          <w:sz w:val="20"/>
          <w:szCs w:val="20"/>
          <w:color w:val="auto"/>
        </w:rPr>
      </w:pPr>
      <w:r>
        <w:rPr>
          <w:rFonts w:ascii="Arial" w:cs="Arial" w:eastAsia="Arial" w:hAnsi="Arial"/>
          <w:sz w:val="18"/>
          <w:szCs w:val="18"/>
          <w:color w:val="auto"/>
        </w:rPr>
        <w:t>In connection with the foregoing, on February 19, 2021, Mr. Khattar, received a grant of 100,000 performance share units and each of Mr. Kelly, Ms. Martin, Dr. Rubin, and Dr. Bhatt received grants of 1,500 performance share units.</w:t>
      </w:r>
    </w:p>
    <w:p>
      <w:pPr>
        <w:spacing w:after="0" w:line="114" w:lineRule="exact"/>
        <w:rPr>
          <w:sz w:val="20"/>
          <w:szCs w:val="20"/>
          <w:color w:val="auto"/>
        </w:rPr>
      </w:pPr>
    </w:p>
    <w:p>
      <w:pPr>
        <w:ind w:left="400" w:right="759" w:firstLine="360"/>
        <w:spacing w:after="0" w:line="248" w:lineRule="auto"/>
        <w:rPr>
          <w:sz w:val="20"/>
          <w:szCs w:val="20"/>
          <w:color w:val="auto"/>
        </w:rPr>
      </w:pPr>
      <w:r>
        <w:rPr>
          <w:rFonts w:ascii="Arial" w:cs="Arial" w:eastAsia="Arial" w:hAnsi="Arial"/>
          <w:sz w:val="18"/>
          <w:szCs w:val="18"/>
          <w:color w:val="auto"/>
        </w:rPr>
        <w:t>The Compensation Committee, based on a recommendation from our CEO, established individual performance objectives for each executive and determined that the achievement of each objective would result in the vesting of a specified portion of the performance share units.</w:t>
      </w:r>
    </w:p>
    <w:p>
      <w:pPr>
        <w:spacing w:after="0" w:line="74" w:lineRule="exact"/>
        <w:rPr>
          <w:sz w:val="20"/>
          <w:szCs w:val="20"/>
          <w:color w:val="auto"/>
        </w:rPr>
      </w:pPr>
    </w:p>
    <w:p>
      <w:pPr>
        <w:ind w:left="940" w:hanging="180"/>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Mr. Khattar:</w:t>
      </w:r>
    </w:p>
    <w:p>
      <w:pPr>
        <w:spacing w:after="0" w:line="90" w:lineRule="exact"/>
        <w:rPr>
          <w:rFonts w:ascii="Arial" w:cs="Arial" w:eastAsia="Arial" w:hAnsi="Arial"/>
          <w:sz w:val="18"/>
          <w:szCs w:val="18"/>
          <w:color w:val="auto"/>
        </w:rPr>
      </w:pPr>
    </w:p>
    <w:p>
      <w:pPr>
        <w:ind w:left="1300" w:hanging="18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Execution of a financing transaction providing the Company with financial flexibility;</w:t>
      </w:r>
    </w:p>
    <w:p>
      <w:pPr>
        <w:spacing w:after="0" w:line="103" w:lineRule="exact"/>
        <w:rPr>
          <w:rFonts w:ascii="Arial" w:cs="Arial" w:eastAsia="Arial" w:hAnsi="Arial"/>
          <w:sz w:val="18"/>
          <w:szCs w:val="18"/>
          <w:color w:val="auto"/>
        </w:rPr>
      </w:pPr>
    </w:p>
    <w:p>
      <w:pPr>
        <w:ind w:left="1300" w:right="519" w:hanging="180"/>
        <w:spacing w:after="0" w:line="286"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Nomination of the first new chemical entity from the Company’s R&amp;D Discovery Program as a clinical candidate to be advanced to Investigational New Drug enabling studies (the Compensation Committee determined on July 30, 2021 that this objective had been achieved);</w:t>
      </w:r>
    </w:p>
    <w:p>
      <w:pPr>
        <w:spacing w:after="0" w:line="43" w:lineRule="exact"/>
        <w:rPr>
          <w:rFonts w:ascii="Arial" w:cs="Arial" w:eastAsia="Arial" w:hAnsi="Arial"/>
          <w:sz w:val="17"/>
          <w:szCs w:val="17"/>
          <w:color w:val="auto"/>
        </w:rPr>
      </w:pPr>
    </w:p>
    <w:p>
      <w:pPr>
        <w:ind w:left="1300" w:right="439" w:hanging="18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Resubmission of the New Drug Application for SPN-830 before the second quarter of 2022 (this objective was achieved in December 2021);</w:t>
      </w:r>
    </w:p>
    <w:p>
      <w:pPr>
        <w:spacing w:after="0" w:line="35" w:lineRule="exact"/>
        <w:rPr>
          <w:rFonts w:ascii="Arial" w:cs="Arial" w:eastAsia="Arial" w:hAnsi="Arial"/>
          <w:sz w:val="18"/>
          <w:szCs w:val="18"/>
          <w:color w:val="auto"/>
        </w:rPr>
      </w:pPr>
    </w:p>
    <w:p>
      <w:pPr>
        <w:ind w:left="1300" w:right="439" w:hanging="180"/>
        <w:spacing w:after="0" w:line="259"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Submission of a Supplemental New Drug Application for an adult indication of SPN-812 by the third quarter of 2021, assuming the New Drug Application for a pediatric indication of SPN-812 is approved (the Compensation Committee determined on July 30, 2021 that this objective had been achieved); and</w:t>
      </w:r>
    </w:p>
    <w:p>
      <w:pPr>
        <w:spacing w:after="0" w:line="65" w:lineRule="exact"/>
        <w:rPr>
          <w:rFonts w:ascii="Arial" w:cs="Arial" w:eastAsia="Arial" w:hAnsi="Arial"/>
          <w:sz w:val="18"/>
          <w:szCs w:val="18"/>
          <w:color w:val="auto"/>
        </w:rPr>
      </w:pPr>
    </w:p>
    <w:p>
      <w:pPr>
        <w:ind w:left="1300" w:hanging="18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Attainment of an equity market capitalization of $2.5 billion for the Company;</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each of Dr. Rubin and Ms. Martin:</w:t>
      </w:r>
    </w:p>
    <w:p>
      <w:pPr>
        <w:spacing w:after="0" w:line="90" w:lineRule="exact"/>
        <w:rPr>
          <w:rFonts w:ascii="Arial" w:cs="Arial" w:eastAsia="Arial" w:hAnsi="Arial"/>
          <w:sz w:val="18"/>
          <w:szCs w:val="18"/>
          <w:color w:val="auto"/>
        </w:rPr>
      </w:pPr>
    </w:p>
    <w:p>
      <w:pPr>
        <w:ind w:left="1300" w:right="479" w:hanging="18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Issuance of FDA approval by May 1, 2023 for the commercial production of Qelbree for the US market by a particular manufacturer.</w:t>
      </w:r>
    </w:p>
    <w:p>
      <w:pPr>
        <w:spacing w:after="0" w:line="48" w:lineRule="exact"/>
        <w:rPr>
          <w:rFonts w:ascii="Arial" w:cs="Arial" w:eastAsia="Arial" w:hAnsi="Arial"/>
          <w:sz w:val="18"/>
          <w:szCs w:val="18"/>
          <w:color w:val="auto"/>
        </w:rPr>
      </w:pPr>
    </w:p>
    <w:p>
      <w:pPr>
        <w:ind w:left="940" w:hanging="180"/>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Dr. Bhatt:</w:t>
      </w:r>
    </w:p>
    <w:p>
      <w:pPr>
        <w:spacing w:after="0" w:line="103" w:lineRule="exact"/>
        <w:rPr>
          <w:rFonts w:ascii="Arial" w:cs="Arial" w:eastAsia="Arial" w:hAnsi="Arial"/>
          <w:sz w:val="18"/>
          <w:szCs w:val="18"/>
          <w:color w:val="auto"/>
        </w:rPr>
      </w:pPr>
    </w:p>
    <w:p>
      <w:pPr>
        <w:ind w:left="1300" w:hanging="18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Issuance of a new patent for a new chemical entity before 2025; and</w:t>
      </w:r>
    </w:p>
    <w:p>
      <w:pPr>
        <w:spacing w:after="0" w:line="90" w:lineRule="exact"/>
        <w:rPr>
          <w:rFonts w:ascii="Arial" w:cs="Arial" w:eastAsia="Arial" w:hAnsi="Arial"/>
          <w:sz w:val="18"/>
          <w:szCs w:val="18"/>
          <w:color w:val="auto"/>
        </w:rPr>
      </w:pPr>
    </w:p>
    <w:p>
      <w:pPr>
        <w:ind w:left="1300" w:hanging="18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Issuance of an additional patent on Qelbree before 2024;</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Mr. Kelly:</w:t>
      </w:r>
    </w:p>
    <w:p>
      <w:pPr>
        <w:spacing w:after="0" w:line="103" w:lineRule="exact"/>
        <w:rPr>
          <w:rFonts w:ascii="Arial" w:cs="Arial" w:eastAsia="Arial" w:hAnsi="Arial"/>
          <w:sz w:val="18"/>
          <w:szCs w:val="18"/>
          <w:color w:val="auto"/>
        </w:rPr>
      </w:pPr>
    </w:p>
    <w:p>
      <w:pPr>
        <w:ind w:left="1300" w:hanging="18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Execution of a specified financing transaction.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ind w:left="400" w:right="579" w:firstLine="360"/>
        <w:spacing w:after="0" w:line="254" w:lineRule="auto"/>
        <w:rPr>
          <w:sz w:val="20"/>
          <w:szCs w:val="20"/>
          <w:color w:val="auto"/>
        </w:rPr>
      </w:pPr>
      <w:r>
        <w:rPr>
          <w:rFonts w:ascii="Arial" w:cs="Arial" w:eastAsia="Arial" w:hAnsi="Arial"/>
          <w:sz w:val="17"/>
          <w:szCs w:val="17"/>
          <w:color w:val="auto"/>
        </w:rPr>
        <w:t>For 2022, the Board of Directors approved a recommendation from the Compensation Committee to alter the mix of equity awards to its NEOs (other than the CEO) and other executive officers by granting such officers a portion of their equity award in the form of a grant of restricted stock units (“RSUs”). The RSU awards vest in four equal installments of 25% each on the first four anniversaries of the date of grant provided the NEO continues to serve at Supernus on each such date. The Board of Directors believes that providing NEOs (other than the CEO) a mix of time-vesting and performance- vesting equity awards based on pre-established goals achieves a balance in our equity- based compensation program and further aligns the interests of such officer and our stockholders through the RSU award’s retention value.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benefits</w:t>
      </w:r>
    </w:p>
    <w:p>
      <w:pPr>
        <w:spacing w:after="0" w:line="158" w:lineRule="exact"/>
        <w:rPr>
          <w:sz w:val="20"/>
          <w:szCs w:val="20"/>
          <w:color w:val="auto"/>
        </w:rPr>
      </w:pPr>
    </w:p>
    <w:p>
      <w:pPr>
        <w:ind w:left="400" w:right="559" w:firstLine="360"/>
        <w:spacing w:after="0" w:line="291" w:lineRule="auto"/>
        <w:rPr>
          <w:sz w:val="20"/>
          <w:szCs w:val="20"/>
          <w:color w:val="auto"/>
        </w:rPr>
      </w:pPr>
      <w:r>
        <w:rPr>
          <w:rFonts w:ascii="Arial" w:cs="Arial" w:eastAsia="Arial" w:hAnsi="Arial"/>
          <w:sz w:val="17"/>
          <w:szCs w:val="17"/>
          <w:color w:val="auto"/>
        </w:rPr>
        <w:t>Our executive officers are eligible to participate in all of our employee benefit plans, such as medical, dental, vision, group life insurance, disability insurance, ESPP and our 401(k) plan, in each case on the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0" w:name="page31"/>
    <w:bookmarkEnd w:id="30"/>
    <w:p>
      <w:pPr>
        <w:ind w:left="400" w:right="559"/>
        <w:spacing w:after="0" w:line="254" w:lineRule="auto"/>
        <w:rPr>
          <w:sz w:val="20"/>
          <w:szCs w:val="20"/>
          <w:color w:val="auto"/>
        </w:rPr>
      </w:pPr>
      <w:r>
        <w:rPr>
          <w:rFonts w:ascii="Arial" w:cs="Arial" w:eastAsia="Arial" w:hAnsi="Arial"/>
          <w:sz w:val="18"/>
          <w:szCs w:val="18"/>
          <w:color w:val="auto"/>
        </w:rPr>
        <w:t>same basis as our other employees. The Company makes a safe harbor match to the 401(k) Plan for all participants. There were no special benefits or perquisites provided to any executive officer in 2021.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Policies Covering Executive Compensation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Clawback Policy</w:t>
      </w:r>
    </w:p>
    <w:p>
      <w:pPr>
        <w:spacing w:after="0" w:line="144" w:lineRule="exact"/>
        <w:rPr>
          <w:sz w:val="20"/>
          <w:szCs w:val="20"/>
          <w:color w:val="auto"/>
        </w:rPr>
      </w:pPr>
    </w:p>
    <w:p>
      <w:pPr>
        <w:ind w:left="400" w:right="439" w:firstLine="360"/>
        <w:spacing w:after="0" w:line="270" w:lineRule="auto"/>
        <w:rPr>
          <w:sz w:val="20"/>
          <w:szCs w:val="20"/>
          <w:color w:val="auto"/>
        </w:rPr>
      </w:pPr>
      <w:r>
        <w:rPr>
          <w:rFonts w:ascii="Arial" w:cs="Arial" w:eastAsia="Arial" w:hAnsi="Arial"/>
          <w:sz w:val="17"/>
          <w:szCs w:val="17"/>
          <w:color w:val="auto"/>
        </w:rPr>
        <w:t>Our Board has adopted a clawback policy which applies to all of the Company’s current and former executive officers and vice presidents. Any cash bonus and/or equity compensation granted by the Company after the date of adoption is subject to this clawback policy. The policy provides that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of Directors may take appropriate action to recover from such covered executive any incentive compensation resulting from such incorrect determination paid to such covered executive during the three- year period preceding the filing of such accounting restatement.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Share Ownership and Retention Guidelines</w:t>
      </w:r>
    </w:p>
    <w:p>
      <w:pPr>
        <w:spacing w:after="0" w:line="158" w:lineRule="exact"/>
        <w:rPr>
          <w:sz w:val="20"/>
          <w:szCs w:val="20"/>
          <w:color w:val="auto"/>
        </w:rPr>
      </w:pPr>
    </w:p>
    <w:p>
      <w:pPr>
        <w:ind w:left="400" w:right="419" w:firstLine="360"/>
        <w:spacing w:after="0" w:line="255" w:lineRule="auto"/>
        <w:rPr>
          <w:sz w:val="20"/>
          <w:szCs w:val="20"/>
          <w:color w:val="auto"/>
        </w:rPr>
      </w:pPr>
      <w:r>
        <w:rPr>
          <w:rFonts w:ascii="Arial" w:cs="Arial" w:eastAsia="Arial" w:hAnsi="Arial"/>
          <w:sz w:val="18"/>
          <w:szCs w:val="18"/>
          <w:color w:val="auto"/>
        </w:rPr>
        <w:t>The Compensation Committee considers annually the Company’s Share Ownership and Retention Guidelines (the “Guidelines”). Under 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 The Guidelines do not currently have share ownership or retention requirements applicable to other employees or NEOs.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Incentive Grant Mechanics and Timing</w:t>
      </w:r>
    </w:p>
    <w:p>
      <w:pPr>
        <w:spacing w:after="0" w:line="158" w:lineRule="exact"/>
        <w:rPr>
          <w:sz w:val="20"/>
          <w:szCs w:val="20"/>
          <w:color w:val="auto"/>
        </w:rPr>
      </w:pPr>
    </w:p>
    <w:p>
      <w:pPr>
        <w:ind w:left="400" w:right="419" w:firstLine="360"/>
        <w:spacing w:after="0" w:line="259" w:lineRule="auto"/>
        <w:rPr>
          <w:sz w:val="20"/>
          <w:szCs w:val="20"/>
          <w:color w:val="auto"/>
        </w:rPr>
      </w:pPr>
      <w:r>
        <w:rPr>
          <w:rFonts w:ascii="Arial" w:cs="Arial" w:eastAsia="Arial" w:hAnsi="Arial"/>
          <w:sz w:val="18"/>
          <w:szCs w:val="18"/>
          <w:color w:val="auto"/>
        </w:rPr>
        <w:t>The Compensation Committee approves all grants for equity incentives to NEOs (other than the CEO) and other employees. Awards granted to the CEO must be recommended by the Compensation Committee to the Board of Directors for approval. At least 75% of the independent directors of the Board of Directors must approve grants for equity incentives to the CEO.</w:t>
      </w:r>
    </w:p>
    <w:p>
      <w:pPr>
        <w:spacing w:after="0" w:line="106" w:lineRule="exact"/>
        <w:rPr>
          <w:sz w:val="20"/>
          <w:szCs w:val="20"/>
          <w:color w:val="auto"/>
        </w:rPr>
      </w:pPr>
    </w:p>
    <w:p>
      <w:pPr>
        <w:ind w:left="400" w:right="519" w:firstLine="360"/>
        <w:spacing w:after="0" w:line="271" w:lineRule="auto"/>
        <w:rPr>
          <w:sz w:val="20"/>
          <w:szCs w:val="20"/>
          <w:color w:val="auto"/>
        </w:rPr>
      </w:pPr>
      <w:r>
        <w:rPr>
          <w:rFonts w:ascii="Arial" w:cs="Arial" w:eastAsia="Arial" w:hAnsi="Arial"/>
          <w:sz w:val="17"/>
          <w:szCs w:val="17"/>
          <w:color w:val="auto"/>
        </w:rPr>
        <w:t>For annual awards, the grant date is the date during the first calendar quarter when the Compensation Committee and the full Board of Directors meet. The Compensation Committee’s procedure for timing of equity grants assures that grant timing is not being manipulated for the benefit of employees.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The Company believes this timing increases the impact of the awards by strengthening the link between pay and performance.</w:t>
      </w:r>
    </w:p>
    <w:p>
      <w:pPr>
        <w:spacing w:after="0" w:line="111" w:lineRule="exact"/>
        <w:rPr>
          <w:sz w:val="20"/>
          <w:szCs w:val="20"/>
          <w:color w:val="auto"/>
        </w:rPr>
      </w:pPr>
    </w:p>
    <w:p>
      <w:pPr>
        <w:ind w:left="400" w:right="599" w:firstLine="360"/>
        <w:spacing w:after="0" w:line="259" w:lineRule="auto"/>
        <w:rPr>
          <w:sz w:val="20"/>
          <w:szCs w:val="20"/>
          <w:color w:val="auto"/>
        </w:rPr>
      </w:pPr>
      <w:r>
        <w:rPr>
          <w:rFonts w:ascii="Arial" w:cs="Arial" w:eastAsia="Arial" w:hAnsi="Arial"/>
          <w:sz w:val="18"/>
          <w:szCs w:val="18"/>
          <w:color w:val="auto"/>
        </w:rPr>
        <w:t>The exercise price for all stock option awards to the CEO, the Board, and the executive officers is the fair market value of the Company’s Common Stock on the date the grant is approved by the Board of Directors. The fair market value of the Company’s Common Stock as of a particular date is defined as the closing price of the Company’s Common Stock on such date.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Tax Considerations</w:t>
      </w:r>
    </w:p>
    <w:p>
      <w:pPr>
        <w:spacing w:after="0" w:line="158" w:lineRule="exact"/>
        <w:rPr>
          <w:sz w:val="20"/>
          <w:szCs w:val="20"/>
          <w:color w:val="auto"/>
        </w:rPr>
      </w:pPr>
    </w:p>
    <w:p>
      <w:pPr>
        <w:ind w:left="400" w:right="479" w:firstLine="360"/>
        <w:spacing w:after="0" w:line="263" w:lineRule="auto"/>
        <w:rPr>
          <w:sz w:val="20"/>
          <w:szCs w:val="20"/>
          <w:color w:val="auto"/>
        </w:rPr>
      </w:pPr>
      <w:r>
        <w:rPr>
          <w:rFonts w:ascii="Arial" w:cs="Arial" w:eastAsia="Arial" w:hAnsi="Arial"/>
          <w:sz w:val="18"/>
          <w:szCs w:val="18"/>
          <w:color w:val="auto"/>
        </w:rPr>
        <w:t>Section 162(m) of the Internal Revenue Code (“Section 162(m)”) imposes an annual deduction limit of $1 million on the amount of compensation paid to the Company’s executive officers. Prior to the effectiveness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1" w:name="page32"/>
    <w:bookmarkEnd w:id="31"/>
    <w:p>
      <w:pPr>
        <w:ind w:left="400" w:right="419"/>
        <w:spacing w:after="0" w:line="270" w:lineRule="auto"/>
        <w:rPr>
          <w:sz w:val="20"/>
          <w:szCs w:val="20"/>
          <w:color w:val="auto"/>
        </w:rPr>
      </w:pPr>
      <w:r>
        <w:rPr>
          <w:rFonts w:ascii="Arial" w:cs="Arial" w:eastAsia="Arial" w:hAnsi="Arial"/>
          <w:sz w:val="17"/>
          <w:szCs w:val="17"/>
          <w:color w:val="auto"/>
        </w:rPr>
        <w:t>of the Tax Cuts and Jobs Act of 2017 (the “Tax Act”), the deduction limit did not apply to performance-based compensation satisfying the requirements of Section 162(m). Cash and equity awards to our NEOs under our equity incentive plan were subject to one or more performance goals intended to satisfy the requirements of Section 162(m).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NEOs in a manner consistent with the goals of our executive compensation program and the best interests of Supernus and its shareholders, which may include providing for compensation that is not deductible by Supernus due to the deduction limit under Section 162(m).</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Anti-Hedging and Anti-Pledging Policies</w:t>
      </w:r>
    </w:p>
    <w:p>
      <w:pPr>
        <w:spacing w:after="0" w:line="144" w:lineRule="exact"/>
        <w:rPr>
          <w:sz w:val="20"/>
          <w:szCs w:val="20"/>
          <w:color w:val="auto"/>
        </w:rPr>
      </w:pPr>
    </w:p>
    <w:p>
      <w:pPr>
        <w:ind w:left="400" w:right="519" w:firstLine="360"/>
        <w:spacing w:after="0" w:line="254" w:lineRule="auto"/>
        <w:rPr>
          <w:sz w:val="20"/>
          <w:szCs w:val="20"/>
          <w:color w:val="auto"/>
        </w:rPr>
      </w:pPr>
      <w:r>
        <w:rPr>
          <w:rFonts w:ascii="Arial" w:cs="Arial" w:eastAsia="Arial" w:hAnsi="Arial"/>
          <w:sz w:val="18"/>
          <w:szCs w:val="18"/>
          <w:color w:val="auto"/>
        </w:rPr>
        <w:t>Our insider trading compliance policy generally prohibits our directors, NEOs and all other employees from entering into hedging or monetization transactions that transfer, with respect to equity compensation received by such individual, all or a portion of the risk of a decline in the market price of shares of our common stock. The policy does not, however, prohibit the entry into a trading plan that includes such transactions, provided the plan is pre-approved by our CEO or CFO. Our insider trading compliance policy also prohibits directors, NEOs and all other employees from pledging our securities or holding such securities in a margin account.</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Policy Against Repricing Stock Options</w:t>
      </w:r>
    </w:p>
    <w:p>
      <w:pPr>
        <w:spacing w:after="0" w:line="158" w:lineRule="exact"/>
        <w:rPr>
          <w:sz w:val="20"/>
          <w:szCs w:val="20"/>
          <w:color w:val="auto"/>
        </w:rPr>
      </w:pPr>
    </w:p>
    <w:p>
      <w:pPr>
        <w:ind w:left="400" w:right="1039" w:firstLine="360"/>
        <w:spacing w:after="0" w:line="277" w:lineRule="auto"/>
        <w:rPr>
          <w:sz w:val="20"/>
          <w:szCs w:val="20"/>
          <w:color w:val="auto"/>
        </w:rPr>
      </w:pPr>
      <w:r>
        <w:rPr>
          <w:rFonts w:ascii="Arial" w:cs="Arial" w:eastAsia="Arial" w:hAnsi="Arial"/>
          <w:sz w:val="18"/>
          <w:szCs w:val="18"/>
          <w:color w:val="auto"/>
        </w:rPr>
        <w:t>The Company has a consistent policy against the repricing of stock options without stockholder approval.</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Award Forfeiture Upon Termination for Cause</w:t>
      </w:r>
    </w:p>
    <w:p>
      <w:pPr>
        <w:spacing w:after="0" w:line="158" w:lineRule="exact"/>
        <w:rPr>
          <w:sz w:val="20"/>
          <w:szCs w:val="20"/>
          <w:color w:val="auto"/>
        </w:rPr>
      </w:pPr>
    </w:p>
    <w:p>
      <w:pPr>
        <w:ind w:left="400" w:right="539" w:firstLine="360"/>
        <w:spacing w:after="0" w:line="263" w:lineRule="auto"/>
        <w:rPr>
          <w:sz w:val="20"/>
          <w:szCs w:val="20"/>
          <w:color w:val="auto"/>
        </w:rPr>
      </w:pPr>
      <w:r>
        <w:rPr>
          <w:rFonts w:ascii="Arial" w:cs="Arial" w:eastAsia="Arial" w:hAnsi="Arial"/>
          <w:sz w:val="18"/>
          <w:szCs w:val="18"/>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Benefits in Connection with Termination of Employment</w:t>
      </w:r>
    </w:p>
    <w:p>
      <w:pPr>
        <w:spacing w:after="0" w:line="144" w:lineRule="exact"/>
        <w:rPr>
          <w:sz w:val="20"/>
          <w:szCs w:val="20"/>
          <w:color w:val="auto"/>
        </w:rPr>
      </w:pPr>
    </w:p>
    <w:p>
      <w:pPr>
        <w:ind w:left="400" w:right="1119" w:firstLine="360"/>
        <w:spacing w:after="0" w:line="286" w:lineRule="auto"/>
        <w:rPr>
          <w:sz w:val="20"/>
          <w:szCs w:val="20"/>
          <w:color w:val="auto"/>
        </w:rPr>
      </w:pPr>
      <w:r>
        <w:rPr>
          <w:rFonts w:ascii="Arial" w:cs="Arial" w:eastAsia="Arial" w:hAnsi="Arial"/>
          <w:sz w:val="17"/>
          <w:szCs w:val="17"/>
          <w:color w:val="auto"/>
        </w:rPr>
        <w:t>Certain of our executives have agreements related to payments upon a change of control of the Company, which agreements are discussed below under the heading “Executive Compensation — Employment Agreement, Offer Letter and Severance Benefits”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48" w:lineRule="exact"/>
        <w:rPr>
          <w:sz w:val="20"/>
          <w:szCs w:val="20"/>
          <w:color w:val="auto"/>
        </w:rPr>
      </w:pPr>
    </w:p>
    <w:p>
      <w:pPr>
        <w:ind w:left="400" w:right="579" w:firstLine="360"/>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119" w:lineRule="exact"/>
        <w:rPr>
          <w:sz w:val="20"/>
          <w:szCs w:val="20"/>
          <w:color w:val="auto"/>
        </w:rPr>
      </w:pPr>
    </w:p>
    <w:p>
      <w:pPr>
        <w:ind w:left="400" w:right="479" w:firstLine="360"/>
        <w:spacing w:after="0" w:line="257"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2021.</w:t>
      </w:r>
    </w:p>
    <w:p>
      <w:pPr>
        <w:spacing w:after="0" w:line="12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M. Siebert, Ph.D. (Chair),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Frederick M. Hudson,</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Charles W. Newhall,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760" w:right="1420" w:firstLine="360"/>
        <w:spacing w:after="0" w:line="277" w:lineRule="auto"/>
        <w:rPr>
          <w:sz w:val="20"/>
          <w:szCs w:val="20"/>
          <w:color w:val="auto"/>
        </w:rPr>
      </w:pPr>
      <w:r>
        <w:rPr>
          <w:rFonts w:ascii="Arial" w:cs="Arial" w:eastAsia="Arial" w:hAnsi="Arial"/>
          <w:sz w:val="18"/>
          <w:szCs w:val="18"/>
          <w:color w:val="auto"/>
        </w:rPr>
        <w:t>The following table shows the compensation earned by our NEOs during the fiscal years ended December 31, 2021, December 31, 2020 and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Incentive Plan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740" w:type="dxa"/>
            <w:vAlign w:val="bottom"/>
          </w:tcPr>
          <w:p>
            <w:pPr>
              <w:spacing w:after="0"/>
              <w:rPr>
                <w:sz w:val="14"/>
                <w:szCs w:val="14"/>
                <w:color w:val="auto"/>
              </w:rPr>
            </w:pPr>
          </w:p>
        </w:tc>
      </w:tr>
      <w:tr>
        <w:trPr>
          <w:trHeight w:val="198"/>
        </w:trPr>
        <w:tc>
          <w:tcPr>
            <w:tcW w:w="328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Salary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(3)</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(4)</w:t>
            </w:r>
          </w:p>
        </w:tc>
        <w:tc>
          <w:tcPr>
            <w:tcW w:w="220" w:type="dxa"/>
            <w:vAlign w:val="bottom"/>
          </w:tcPr>
          <w:p>
            <w:pPr>
              <w:spacing w:after="0"/>
              <w:rPr>
                <w:sz w:val="17"/>
                <w:szCs w:val="17"/>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rPr>
              <w:t>Total ($)</w:t>
            </w:r>
          </w:p>
        </w:tc>
      </w:tr>
      <w:tr>
        <w:trPr>
          <w:trHeight w:val="25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2021</w:t>
            </w:r>
          </w:p>
        </w:tc>
        <w:tc>
          <w:tcPr>
            <w:tcW w:w="1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870,000</w:t>
            </w:r>
          </w:p>
        </w:tc>
        <w:tc>
          <w:tcPr>
            <w:tcW w:w="20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2,941,400</w:t>
            </w: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3,399,779</w:t>
            </w:r>
          </w:p>
        </w:tc>
        <w:tc>
          <w:tcPr>
            <w:tcW w:w="2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887,400</w:t>
            </w:r>
          </w:p>
        </w:tc>
        <w:tc>
          <w:tcPr>
            <w:tcW w:w="2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18,142</w:t>
            </w:r>
          </w:p>
        </w:tc>
        <w:tc>
          <w:tcPr>
            <w:tcW w:w="2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8,116,721</w:t>
            </w:r>
          </w:p>
        </w:tc>
      </w:tr>
      <w:tr>
        <w:trPr>
          <w:trHeight w:val="202"/>
        </w:trPr>
        <w:tc>
          <w:tcPr>
            <w:tcW w:w="3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Chief Executive Officer,</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836,400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89"/>
              </w:rPr>
              <w:t>1,032,813</w:t>
            </w:r>
          </w:p>
        </w:tc>
        <w:tc>
          <w:tcPr>
            <w:tcW w:w="9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2"/>
              </w:rPr>
              <w:t>3,955,883</w:t>
            </w:r>
          </w:p>
        </w:tc>
        <w:tc>
          <w:tcPr>
            <w:tcW w:w="900" w:type="dxa"/>
            <w:vAlign w:val="bottom"/>
            <w:shd w:val="clear" w:color="auto" w:fill="CCEEFF"/>
          </w:tcPr>
          <w:p>
            <w:pPr>
              <w:jc w:val="right"/>
              <w:ind w:right="54"/>
              <w:spacing w:after="0" w:line="201" w:lineRule="exact"/>
              <w:rPr>
                <w:sz w:val="20"/>
                <w:szCs w:val="20"/>
                <w:color w:val="auto"/>
              </w:rPr>
            </w:pPr>
            <w:r>
              <w:rPr>
                <w:rFonts w:ascii="Arial" w:cs="Arial" w:eastAsia="Arial" w:hAnsi="Arial"/>
                <w:sz w:val="18"/>
                <w:szCs w:val="18"/>
                <w:color w:val="auto"/>
              </w:rPr>
              <w:t>815,500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3"/>
              <w:spacing w:after="0" w:line="201" w:lineRule="exact"/>
              <w:rPr>
                <w:sz w:val="20"/>
                <w:szCs w:val="20"/>
                <w:color w:val="auto"/>
              </w:rPr>
            </w:pPr>
            <w:r>
              <w:rPr>
                <w:rFonts w:ascii="Arial" w:cs="Arial" w:eastAsia="Arial" w:hAnsi="Arial"/>
                <w:sz w:val="18"/>
                <w:szCs w:val="18"/>
                <w:color w:val="auto"/>
              </w:rPr>
              <w:t>28,451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6,669,046</w:t>
            </w:r>
          </w:p>
        </w:tc>
      </w:tr>
      <w:tr>
        <w:trPr>
          <w:trHeight w:val="257"/>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&amp; Secretary</w:t>
            </w: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812,000</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6,637,646</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593,800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79,686</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8,123,132</w:t>
            </w:r>
          </w:p>
        </w:tc>
      </w:tr>
      <w:tr>
        <w:trPr>
          <w:trHeight w:val="337"/>
        </w:trPr>
        <w:tc>
          <w:tcPr>
            <w:tcW w:w="3380" w:type="dxa"/>
            <w:vAlign w:val="bottom"/>
            <w:gridSpan w:val="2"/>
          </w:tcPr>
          <w:p>
            <w:pPr>
              <w:spacing w:after="0"/>
              <w:rPr>
                <w:sz w:val="20"/>
                <w:szCs w:val="20"/>
                <w:color w:val="auto"/>
              </w:rPr>
            </w:pPr>
            <w:r>
              <w:rPr>
                <w:rFonts w:ascii="Arial" w:cs="Arial" w:eastAsia="Arial" w:hAnsi="Arial"/>
                <w:sz w:val="18"/>
                <w:szCs w:val="18"/>
                <w:color w:val="auto"/>
              </w:rPr>
              <w:t>Timothy C. Dec</w:t>
            </w:r>
            <w:r>
              <w:rPr>
                <w:rFonts w:ascii="Arial" w:cs="Arial" w:eastAsia="Arial" w:hAnsi="Arial"/>
                <w:sz w:val="23"/>
                <w:szCs w:val="23"/>
                <w:color w:val="auto"/>
                <w:vertAlign w:val="superscript"/>
              </w:rPr>
              <w:t>(5)</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135,096</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1,238,685</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72,300</w:t>
            </w:r>
          </w:p>
        </w:tc>
        <w:tc>
          <w:tcPr>
            <w:tcW w:w="22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7,454</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1,453,535</w:t>
            </w: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7"/>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Rubin, MD</w:t>
            </w:r>
            <w:r>
              <w:rPr>
                <w:rFonts w:ascii="Arial" w:cs="Arial" w:eastAsia="Arial" w:hAnsi="Arial"/>
                <w:sz w:val="23"/>
                <w:szCs w:val="23"/>
                <w:color w:val="auto"/>
                <w:vertAlign w:val="superscript"/>
              </w:rPr>
              <w:t>(6)</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385,000</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45,675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424,972</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143,700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29,002</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1,028,349</w:t>
            </w: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Research and Development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350"/>
        </w:trPr>
        <w:tc>
          <w:tcPr>
            <w:tcW w:w="338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403,100</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45,675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288,981</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158,900</w:t>
            </w:r>
          </w:p>
        </w:tc>
        <w:tc>
          <w:tcPr>
            <w:tcW w:w="22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36,608</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933,265</w:t>
            </w: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Intellectual</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2020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391,401</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492,288</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161,600</w:t>
            </w:r>
          </w:p>
        </w:tc>
        <w:tc>
          <w:tcPr>
            <w:tcW w:w="22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29,201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1,074,490</w:t>
            </w:r>
          </w:p>
        </w:tc>
      </w:tr>
      <w:tr>
        <w:trPr>
          <w:trHeight w:val="257"/>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Property, Chief Scientific Officer</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2019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380,018</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774,392</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131,000</w:t>
            </w:r>
          </w:p>
        </w:tc>
        <w:tc>
          <w:tcPr>
            <w:tcW w:w="22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26,177</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1,311,587</w:t>
            </w:r>
          </w:p>
        </w:tc>
      </w:tr>
      <w:tr>
        <w:trPr>
          <w:trHeight w:val="364"/>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336,200</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45,675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288,981</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129,700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42,601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843,157</w:t>
            </w:r>
          </w:p>
        </w:tc>
      </w:tr>
      <w:tr>
        <w:trPr>
          <w:trHeight w:val="202"/>
        </w:trPr>
        <w:tc>
          <w:tcPr>
            <w:tcW w:w="3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Senior Vice President, Regulatory</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326,401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309,438</w:t>
            </w:r>
          </w:p>
        </w:tc>
        <w:tc>
          <w:tcPr>
            <w:tcW w:w="900" w:type="dxa"/>
            <w:vAlign w:val="bottom"/>
            <w:shd w:val="clear" w:color="auto" w:fill="CCEEFF"/>
          </w:tcPr>
          <w:p>
            <w:pPr>
              <w:jc w:val="right"/>
              <w:ind w:right="54"/>
              <w:spacing w:after="0" w:line="201" w:lineRule="exact"/>
              <w:rPr>
                <w:sz w:val="20"/>
                <w:szCs w:val="20"/>
                <w:color w:val="auto"/>
              </w:rPr>
            </w:pPr>
            <w:r>
              <w:rPr>
                <w:rFonts w:ascii="Arial" w:cs="Arial" w:eastAsia="Arial" w:hAnsi="Arial"/>
                <w:sz w:val="18"/>
                <w:szCs w:val="18"/>
                <w:color w:val="auto"/>
              </w:rPr>
              <w:t>131,200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3"/>
              <w:spacing w:after="0" w:line="201" w:lineRule="exact"/>
              <w:rPr>
                <w:sz w:val="20"/>
                <w:szCs w:val="20"/>
                <w:color w:val="auto"/>
              </w:rPr>
            </w:pPr>
            <w:r>
              <w:rPr>
                <w:rFonts w:ascii="Arial" w:cs="Arial" w:eastAsia="Arial" w:hAnsi="Arial"/>
                <w:sz w:val="18"/>
                <w:szCs w:val="18"/>
                <w:color w:val="auto"/>
              </w:rPr>
              <w:t>37,598</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804,637</w:t>
            </w:r>
          </w:p>
        </w:tc>
      </w:tr>
      <w:tr>
        <w:trPr>
          <w:trHeight w:val="257"/>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Affairs</w:t>
            </w: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316,891</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424,540</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91,400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41,988</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874,819</w:t>
            </w:r>
          </w:p>
        </w:tc>
      </w:tr>
      <w:tr>
        <w:trPr>
          <w:trHeight w:val="350"/>
        </w:trPr>
        <w:tc>
          <w:tcPr>
            <w:tcW w:w="3380" w:type="dxa"/>
            <w:vAlign w:val="bottom"/>
            <w:gridSpan w:val="2"/>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3"/>
                <w:szCs w:val="23"/>
                <w:color w:val="auto"/>
                <w:vertAlign w:val="superscript"/>
              </w:rPr>
              <w:t>(7)</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292,188</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43,874</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636,720</w:t>
            </w: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Executive Vice President,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2020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102,910</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1,641,727</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50,900</w:t>
            </w:r>
          </w:p>
        </w:tc>
        <w:tc>
          <w:tcPr>
            <w:tcW w:w="22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6,099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1,801,636</w:t>
            </w: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5565775</wp:posOffset>
            </wp:positionH>
            <wp:positionV relativeFrom="paragraph">
              <wp:posOffset>-3154045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-3154045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-3154045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-3154045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-3154045</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-3154045</wp:posOffset>
            </wp:positionV>
            <wp:extent cx="120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-3154045</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205740</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120" w:right="800" w:hanging="360"/>
        <w:spacing w:after="0" w:line="255"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CEO will only realize compensation to the extent performance share units vest depending upon the level of achievement of specified performance goals. Each of our other NEOs will only realize compensation to the extent performance share units vest depending upon the level of achievement of specified performance goals. For information regarding assumptions underlying the valuation of equity awards, see Note 9 to our consolidated financial statements included in our Annual Report to Stockholders.</w:t>
      </w:r>
    </w:p>
    <w:p>
      <w:pPr>
        <w:spacing w:after="0" w:line="57" w:lineRule="exact"/>
        <w:rPr>
          <w:rFonts w:ascii="Arial" w:cs="Arial" w:eastAsia="Arial" w:hAnsi="Arial"/>
          <w:sz w:val="18"/>
          <w:szCs w:val="18"/>
          <w:color w:val="auto"/>
        </w:rPr>
      </w:pPr>
    </w:p>
    <w:p>
      <w:pPr>
        <w:jc w:val="both"/>
        <w:ind w:left="1120" w:right="780" w:hanging="360"/>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9 to our consolidated financial statements included in our Annual Report to Stockholders.</w:t>
      </w:r>
    </w:p>
    <w:p>
      <w:pPr>
        <w:spacing w:after="0" w:line="38" w:lineRule="exact"/>
        <w:rPr>
          <w:rFonts w:ascii="Arial" w:cs="Arial" w:eastAsia="Arial" w:hAnsi="Arial"/>
          <w:sz w:val="18"/>
          <w:szCs w:val="18"/>
          <w:color w:val="auto"/>
        </w:rPr>
      </w:pPr>
    </w:p>
    <w:p>
      <w:pPr>
        <w:ind w:left="1120" w:right="780" w:hanging="360"/>
        <w:spacing w:after="0" w:line="286"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Amounts represent annual performance bonus compensation earned for the years ended December 31, 2021, 2020 and 2019 based on pre-established performance objectives. Annual performance bonus compensation for 2021, 2020 and 2019 was paid in early 2022, early 2021 and early 2020, respectively.</w:t>
      </w:r>
    </w:p>
    <w:p>
      <w:pPr>
        <w:spacing w:after="0" w:line="16" w:lineRule="exact"/>
        <w:rPr>
          <w:rFonts w:ascii="Arial" w:cs="Arial" w:eastAsia="Arial" w:hAnsi="Arial"/>
          <w:sz w:val="17"/>
          <w:szCs w:val="17"/>
          <w:color w:val="auto"/>
        </w:rPr>
      </w:pPr>
    </w:p>
    <w:p>
      <w:pPr>
        <w:ind w:left="1120" w:right="840" w:hanging="360"/>
        <w:spacing w:after="0" w:line="272"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Amounts include (i) the premium amounts paid by us for life insurance and short-term and long-term disability coverage for each NEO, (ii) the employer matching contributions made on behalf of each NEO to our 401(k) plan and (iii) the compensation expense related to participation in the Company’s ESPP for Mr. Bhatt and Ms. Martin. Mr. Khattar’s other compensation also includes a President’s Club award valued at $37,698 for the fiscal year 2019. Dr. Bhatt’s other compensation also includes a reimbursement for certain gym membership fees of $75, $224 and $299 for the fiscal years 2021, 2020 and 2019, respectively, and a grossed-up tenure award of $1,894 received in fiscal year 2020.</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259080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20"/>
          </w:cols>
          <w:pgMar w:left="1080" w:top="1107" w:right="1099" w:bottom="1440" w:gutter="0" w:footer="0" w:header="0"/>
        </w:sectPr>
      </w:pPr>
    </w:p>
    <w:bookmarkStart w:id="34" w:name="page35"/>
    <w:bookmarkEnd w:id="34"/>
    <w:p>
      <w:pPr>
        <w:ind w:left="760" w:right="1119" w:hanging="360"/>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Dec joined the Company as Senior Vice President and Chief Financial Officer effective on August 23, 2021.</w:t>
      </w:r>
    </w:p>
    <w:p>
      <w:pPr>
        <w:spacing w:after="0" w:line="21" w:lineRule="exact"/>
        <w:rPr>
          <w:rFonts w:ascii="Arial" w:cs="Arial" w:eastAsia="Arial" w:hAnsi="Arial"/>
          <w:sz w:val="18"/>
          <w:szCs w:val="18"/>
          <w:color w:val="auto"/>
        </w:rPr>
      </w:pPr>
    </w:p>
    <w:p>
      <w:pPr>
        <w:ind w:left="760" w:right="479" w:hanging="360"/>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 Rubin began serving as the Company’s Senior Vice President, Chief Medical Officer, Research and Development effective on January 1, 2021 and previously served as the Company’s Senior Vice President, Clinical Research and Medical Affairs since February 2020.</w:t>
      </w:r>
    </w:p>
    <w:p>
      <w:pPr>
        <w:spacing w:after="0" w:line="35" w:lineRule="exact"/>
        <w:rPr>
          <w:rFonts w:ascii="Arial" w:cs="Arial" w:eastAsia="Arial" w:hAnsi="Arial"/>
          <w:sz w:val="18"/>
          <w:szCs w:val="18"/>
          <w:color w:val="auto"/>
        </w:rPr>
      </w:pPr>
    </w:p>
    <w:p>
      <w:pPr>
        <w:ind w:left="760" w:right="739" w:hanging="360"/>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Kelly joined the Company as Executive Vice President and Chief Financial Officer effective on October 12, 2020 and resigned from the Company effective on August 13, 2021.</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Employment Agreement, Offer Letter and Severance Benefits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Jack A. Khattar</w:t>
      </w:r>
    </w:p>
    <w:p>
      <w:pPr>
        <w:spacing w:after="0" w:line="144" w:lineRule="exact"/>
        <w:rPr>
          <w:sz w:val="20"/>
          <w:szCs w:val="20"/>
          <w:color w:val="auto"/>
        </w:rPr>
      </w:pPr>
    </w:p>
    <w:p>
      <w:pPr>
        <w:ind w:left="400" w:right="479" w:firstLine="360"/>
        <w:spacing w:after="0" w:line="255" w:lineRule="auto"/>
        <w:rPr>
          <w:sz w:val="20"/>
          <w:szCs w:val="20"/>
          <w:color w:val="auto"/>
        </w:rPr>
      </w:pPr>
      <w:r>
        <w:rPr>
          <w:rFonts w:ascii="Arial" w:cs="Arial" w:eastAsia="Arial" w:hAnsi="Arial"/>
          <w:sz w:val="17"/>
          <w:szCs w:val="17"/>
          <w:color w:val="auto"/>
        </w:rPr>
        <w:t>On December 22, 2005, we entered into an Employment Agreement with Mr. Khattar, our President and CEO, providing for his continued employment, effective as of the signing date. This employment agreement provides that Mr. Khattar’s employment is at -will and may be terminated by either us or him at any time for any or no reason. Mr. Khattar’s base salary is subject to review from time to time by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February 29, 2012, we entered into an amended and restated employment agreement with</w:t>
      </w:r>
    </w:p>
    <w:p>
      <w:pPr>
        <w:spacing w:after="0" w:line="12" w:lineRule="exact"/>
        <w:rPr>
          <w:sz w:val="20"/>
          <w:szCs w:val="20"/>
          <w:color w:val="auto"/>
        </w:rPr>
      </w:pPr>
    </w:p>
    <w:p>
      <w:pPr>
        <w:ind w:left="400" w:right="499"/>
        <w:spacing w:after="0" w:line="250" w:lineRule="auto"/>
        <w:rPr>
          <w:sz w:val="20"/>
          <w:szCs w:val="20"/>
          <w:color w:val="auto"/>
        </w:rPr>
      </w:pPr>
      <w:r>
        <w:rPr>
          <w:rFonts w:ascii="Arial" w:cs="Arial" w:eastAsia="Arial" w:hAnsi="Arial"/>
          <w:sz w:val="17"/>
          <w:szCs w:val="17"/>
          <w:color w:val="auto"/>
        </w:rPr>
        <w:t>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 -based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Finally, on May 8, 2018, we entered into the third amendment to the amended and restated employment agreement with Mr. Khattar, which amendment added a provision that all amounts payable to Mr. Khattar under the employment agreement are subject to the Company’s clawback policy, which policy is described above in this Proxy Statement.</w:t>
      </w:r>
    </w:p>
    <w:p>
      <w:pPr>
        <w:spacing w:after="0" w:line="104" w:lineRule="exact"/>
        <w:rPr>
          <w:sz w:val="20"/>
          <w:szCs w:val="20"/>
          <w:color w:val="auto"/>
        </w:rPr>
      </w:pPr>
    </w:p>
    <w:p>
      <w:pPr>
        <w:ind w:left="400" w:right="459" w:firstLine="360"/>
        <w:spacing w:after="0" w:line="268" w:lineRule="auto"/>
        <w:rPr>
          <w:sz w:val="20"/>
          <w:szCs w:val="20"/>
          <w:color w:val="auto"/>
        </w:rPr>
      </w:pPr>
      <w:r>
        <w:rPr>
          <w:rFonts w:ascii="Arial" w:cs="Arial" w:eastAsia="Arial" w:hAnsi="Arial"/>
          <w:sz w:val="16"/>
          <w:szCs w:val="16"/>
          <w:color w:val="auto"/>
        </w:rPr>
        <w:t>In the event Mr. Khattar is terminated by us without cause, as defined in the employment agreement, or he resigns with good reason, as defined in the employment agreement, as amended,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w:t>
      </w:r>
    </w:p>
    <w:p>
      <w:pPr>
        <w:spacing w:after="0" w:line="1" w:lineRule="exact"/>
        <w:rPr>
          <w:sz w:val="20"/>
          <w:szCs w:val="20"/>
          <w:color w:val="auto"/>
        </w:rPr>
      </w:pPr>
    </w:p>
    <w:p>
      <w:pPr>
        <w:ind w:left="400" w:right="479"/>
        <w:spacing w:after="0" w:line="237" w:lineRule="auto"/>
        <w:rPr>
          <w:sz w:val="20"/>
          <w:szCs w:val="20"/>
          <w:color w:val="auto"/>
        </w:rPr>
      </w:pPr>
      <w:r>
        <w:rPr>
          <w:rFonts w:ascii="Arial" w:cs="Arial" w:eastAsia="Arial" w:hAnsi="Arial"/>
          <w:sz w:val="18"/>
          <w:szCs w:val="18"/>
          <w:color w:val="auto"/>
        </w:rPr>
        <w:t>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as amended, also includes a non-solicitation covenant and a non-compete covenant for at least one year following the termination of Mr. Khattar’s employment.</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Officers</w:t>
      </w:r>
    </w:p>
    <w:p>
      <w:pPr>
        <w:spacing w:after="0" w:line="158" w:lineRule="exact"/>
        <w:rPr>
          <w:sz w:val="20"/>
          <w:szCs w:val="20"/>
          <w:color w:val="auto"/>
        </w:rPr>
      </w:pPr>
    </w:p>
    <w:p>
      <w:pPr>
        <w:ind w:left="400" w:right="439" w:firstLine="360"/>
        <w:spacing w:after="0" w:line="238" w:lineRule="auto"/>
        <w:rPr>
          <w:sz w:val="20"/>
          <w:szCs w:val="20"/>
          <w:color w:val="auto"/>
        </w:rPr>
      </w:pPr>
      <w:r>
        <w:rPr>
          <w:rFonts w:ascii="Arial" w:cs="Arial" w:eastAsia="Arial" w:hAnsi="Arial"/>
          <w:sz w:val="18"/>
          <w:szCs w:val="18"/>
          <w:color w:val="auto"/>
        </w:rPr>
        <w:t>Each of Mr. Dec, Dr. Rubin and Ms. Martin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may be uncertain, we provide our executive officers with severance benefits if the executive’s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5" w:name="page36"/>
    <w:bookmarkEnd w:id="35"/>
    <w:p>
      <w:pPr>
        <w:ind w:left="400" w:right="439"/>
        <w:spacing w:after="0" w:line="308" w:lineRule="auto"/>
        <w:rPr>
          <w:sz w:val="20"/>
          <w:szCs w:val="20"/>
          <w:color w:val="auto"/>
        </w:rPr>
      </w:pPr>
      <w:r>
        <w:rPr>
          <w:rFonts w:ascii="Arial" w:cs="Arial" w:eastAsia="Arial" w:hAnsi="Arial"/>
          <w:sz w:val="17"/>
          <w:szCs w:val="17"/>
          <w:color w:val="auto"/>
        </w:rPr>
        <w:t>employment terminates in connection with a change of control. The payment of change of control protection benefits (other than vesting of equity awards) is only triggered by a termination of employment.</w:t>
      </w:r>
    </w:p>
    <w:p>
      <w:pPr>
        <w:spacing w:after="0" w:line="65" w:lineRule="exact"/>
        <w:rPr>
          <w:sz w:val="20"/>
          <w:szCs w:val="20"/>
          <w:color w:val="auto"/>
        </w:rPr>
      </w:pPr>
    </w:p>
    <w:p>
      <w:pPr>
        <w:ind w:left="400" w:right="419" w:firstLine="360"/>
        <w:spacing w:after="0" w:line="268" w:lineRule="auto"/>
        <w:rPr>
          <w:sz w:val="20"/>
          <w:szCs w:val="20"/>
          <w:color w:val="auto"/>
        </w:rPr>
      </w:pPr>
      <w:r>
        <w:rPr>
          <w:rFonts w:ascii="Arial" w:cs="Arial" w:eastAsia="Arial" w:hAnsi="Arial"/>
          <w:sz w:val="17"/>
          <w:szCs w:val="17"/>
          <w:color w:val="auto"/>
        </w:rPr>
        <w:t>Under the standard form of Executive Retention Agreement, which was amended on May 8, 2018, to provide that all amounts payable under the Executive Retention Agreement are subject to the Company’s clawback policy, which is described in the “Corporate Policies Covering Executive Compensation” section of this Proxy Statement,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119" w:lineRule="exact"/>
        <w:rPr>
          <w:sz w:val="20"/>
          <w:szCs w:val="20"/>
          <w:color w:val="auto"/>
        </w:rPr>
      </w:pPr>
    </w:p>
    <w:p>
      <w:pPr>
        <w:ind w:left="400" w:right="419" w:firstLine="360"/>
        <w:spacing w:after="0" w:line="257" w:lineRule="auto"/>
        <w:rPr>
          <w:sz w:val="20"/>
          <w:szCs w:val="20"/>
          <w:color w:val="auto"/>
        </w:rPr>
      </w:pPr>
      <w:r>
        <w:rPr>
          <w:rFonts w:ascii="Arial" w:cs="Arial" w:eastAsia="Arial" w:hAnsi="Arial"/>
          <w:sz w:val="18"/>
          <w:szCs w:val="18"/>
          <w:color w:val="auto"/>
        </w:rPr>
        <w:t>The specific terms of the Executive Retention Agreement were approved by our Compensation Committee and ratified by our Board of Directors after consideration of a recommendation by Aon that the adoption of certain termination and change of control practices are consistent with the Company’s Peer Group. The specific severance benefits payable to our executive officers are set forth below under “Potential Payments upon Termination or Change of Control.”</w:t>
      </w:r>
    </w:p>
    <w:p>
      <w:pPr>
        <w:spacing w:after="0" w:line="120" w:lineRule="exact"/>
        <w:rPr>
          <w:sz w:val="20"/>
          <w:szCs w:val="20"/>
          <w:color w:val="auto"/>
        </w:rPr>
      </w:pPr>
    </w:p>
    <w:p>
      <w:pPr>
        <w:ind w:left="400" w:right="479" w:firstLine="360"/>
        <w:spacing w:after="0" w:line="308" w:lineRule="auto"/>
        <w:rPr>
          <w:sz w:val="20"/>
          <w:szCs w:val="20"/>
          <w:color w:val="auto"/>
        </w:rPr>
      </w:pPr>
      <w:r>
        <w:rPr>
          <w:rFonts w:ascii="Arial" w:cs="Arial" w:eastAsia="Arial" w:hAnsi="Arial"/>
          <w:sz w:val="17"/>
          <w:szCs w:val="17"/>
          <w:color w:val="auto"/>
        </w:rPr>
        <w:t>Pursuant to the terms of the offer letter with Dr. Bhatt, he is entitled to receive six months of severance pay in connection with a restructuring of the Company that results in the elimination of his position.</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44" w:lineRule="exact"/>
        <w:rPr>
          <w:sz w:val="20"/>
          <w:szCs w:val="20"/>
          <w:color w:val="auto"/>
        </w:rPr>
      </w:pPr>
    </w:p>
    <w:p>
      <w:pPr>
        <w:jc w:val="both"/>
        <w:ind w:left="400" w:right="859" w:firstLine="360"/>
        <w:spacing w:after="0" w:line="286" w:lineRule="auto"/>
        <w:rPr>
          <w:sz w:val="20"/>
          <w:szCs w:val="20"/>
          <w:color w:val="auto"/>
        </w:rPr>
      </w:pPr>
      <w:r>
        <w:rPr>
          <w:rFonts w:ascii="Arial" w:cs="Arial" w:eastAsia="Arial" w:hAnsi="Arial"/>
          <w:sz w:val="17"/>
          <w:szCs w:val="17"/>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58" w:lineRule="exact"/>
        <w:rPr>
          <w:sz w:val="20"/>
          <w:szCs w:val="20"/>
          <w:color w:val="auto"/>
        </w:rPr>
      </w:pPr>
    </w:p>
    <w:p>
      <w:pPr>
        <w:ind w:left="400" w:right="499" w:firstLine="360"/>
        <w:spacing w:after="0" w:line="259" w:lineRule="auto"/>
        <w:rPr>
          <w:sz w:val="20"/>
          <w:szCs w:val="20"/>
          <w:color w:val="auto"/>
        </w:rPr>
      </w:pPr>
      <w:r>
        <w:rPr>
          <w:rFonts w:ascii="Arial" w:cs="Arial" w:eastAsia="Arial" w:hAnsi="Arial"/>
          <w:sz w:val="18"/>
          <w:szCs w:val="18"/>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58" w:lineRule="exact"/>
        <w:rPr>
          <w:sz w:val="20"/>
          <w:szCs w:val="20"/>
          <w:color w:val="auto"/>
        </w:rPr>
      </w:pPr>
    </w:p>
    <w:p>
      <w:pPr>
        <w:ind w:left="400" w:right="439" w:firstLine="360"/>
        <w:spacing w:after="0" w:line="259" w:lineRule="auto"/>
        <w:rPr>
          <w:sz w:val="20"/>
          <w:szCs w:val="20"/>
          <w:color w:val="auto"/>
        </w:rPr>
      </w:pPr>
      <w:r>
        <w:rPr>
          <w:rFonts w:ascii="Arial" w:cs="Arial" w:eastAsia="Arial" w:hAnsi="Arial"/>
          <w:sz w:val="18"/>
          <w:szCs w:val="18"/>
          <w:color w:val="auto"/>
        </w:rPr>
        <w:t>During fiscal year ended December 31, 2021, each of our NEOs participated in our performance-based cash incentive plan and our equity award program in which each officer was eligible for the awards set forth in the following table. The following table also sets forth information regarding cash and equity awards granted to our NEOs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b w:val="1"/>
          <w:bCs w:val="1"/>
          <w:color w:val="auto"/>
        </w:rPr>
        <w:t>Grants of Plan-Based Awards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Estimated Future</w:t>
            </w:r>
          </w:p>
        </w:tc>
        <w:tc>
          <w:tcPr>
            <w:tcW w:w="2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Estimated Future</w:t>
            </w:r>
          </w:p>
        </w:tc>
        <w:tc>
          <w:tcPr>
            <w:tcW w:w="120" w:type="dxa"/>
            <w:vAlign w:val="bottom"/>
          </w:tcPr>
          <w:p>
            <w:pPr>
              <w:spacing w:after="0"/>
              <w:rPr>
                <w:sz w:val="14"/>
                <w:szCs w:val="14"/>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Exercise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Payouts Under</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Payouts Under</w:t>
            </w: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or Base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0"/>
              </w:rPr>
              <w:t>Non-Equity Incentive</w:t>
            </w:r>
          </w:p>
        </w:tc>
        <w:tc>
          <w:tcPr>
            <w:tcW w:w="22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1"/>
              </w:rPr>
              <w:t>Equity Incentive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gridSpan w:val="6"/>
            <w:vMerge w:val="continue"/>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Price of</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Plan Awards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Plan Awards</w:t>
            </w: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88"/>
              </w:rPr>
              <w:t>Threshold</w:t>
            </w:r>
          </w:p>
        </w:tc>
        <w:tc>
          <w:tcPr>
            <w:tcW w:w="140" w:type="dxa"/>
            <w:vAlign w:val="bottom"/>
          </w:tcPr>
          <w:p>
            <w:pPr>
              <w:spacing w:after="0"/>
              <w:rPr>
                <w:sz w:val="13"/>
                <w:szCs w:val="13"/>
                <w:color w:val="auto"/>
              </w:rPr>
            </w:pPr>
          </w:p>
        </w:tc>
        <w:tc>
          <w:tcPr>
            <w:tcW w:w="7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88"/>
              </w:rPr>
              <w:t>Threshold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3"/>
              </w:rPr>
              <w:t>Target</w:t>
            </w:r>
          </w:p>
        </w:tc>
        <w:tc>
          <w:tcPr>
            <w:tcW w:w="6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3"/>
                <w:szCs w:val="13"/>
                <w:color w:val="auto"/>
              </w:rPr>
            </w:pPr>
          </w:p>
        </w:tc>
        <w:tc>
          <w:tcPr>
            <w:tcW w:w="68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22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($/Sh)</w:t>
            </w:r>
            <w:r>
              <w:rPr>
                <w:rFonts w:ascii="Arial" w:cs="Arial" w:eastAsia="Arial" w:hAnsi="Arial"/>
                <w:sz w:val="17"/>
                <w:szCs w:val="17"/>
                <w:b w:val="1"/>
                <w:bCs w:val="1"/>
                <w:color w:val="auto"/>
                <w:w w:val="83"/>
                <w:vertAlign w:val="superscript"/>
              </w:rPr>
              <w:t>(2)</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Awards ($)</w:t>
            </w:r>
            <w:r>
              <w:rPr>
                <w:rFonts w:ascii="Arial" w:cs="Arial" w:eastAsia="Arial" w:hAnsi="Arial"/>
                <w:sz w:val="17"/>
                <w:szCs w:val="17"/>
                <w:b w:val="1"/>
                <w:bCs w:val="1"/>
                <w:color w:val="auto"/>
                <w:w w:val="88"/>
                <w:vertAlign w:val="superscript"/>
              </w:rPr>
              <w:t>(3)</w:t>
            </w:r>
          </w:p>
        </w:tc>
        <w:tc>
          <w:tcPr>
            <w:tcW w:w="0" w:type="dxa"/>
            <w:vAlign w:val="bottom"/>
          </w:tcPr>
          <w:p>
            <w:pPr>
              <w:spacing w:after="0"/>
              <w:rPr>
                <w:sz w:val="1"/>
                <w:szCs w:val="1"/>
                <w:color w:val="auto"/>
              </w:rPr>
            </w:pPr>
          </w:p>
        </w:tc>
      </w:tr>
      <w:tr>
        <w:trPr>
          <w:trHeight w:val="263"/>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2/19/2021</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652,500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652,500</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17.00</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3,399,779</w:t>
            </w:r>
          </w:p>
        </w:tc>
        <w:tc>
          <w:tcPr>
            <w:tcW w:w="0" w:type="dxa"/>
            <w:vAlign w:val="bottom"/>
          </w:tcPr>
          <w:p>
            <w:pPr>
              <w:spacing w:after="0"/>
              <w:rPr>
                <w:sz w:val="1"/>
                <w:szCs w:val="1"/>
                <w:color w:val="auto"/>
              </w:rPr>
            </w:pPr>
          </w:p>
        </w:tc>
      </w:tr>
      <w:tr>
        <w:trPr>
          <w:trHeight w:val="257"/>
        </w:trPr>
        <w:tc>
          <w:tcPr>
            <w:tcW w:w="25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2/19/2021</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572,600</w:t>
            </w:r>
          </w:p>
        </w:tc>
        <w:tc>
          <w:tcPr>
            <w:tcW w:w="0" w:type="dxa"/>
            <w:vAlign w:val="bottom"/>
          </w:tcPr>
          <w:p>
            <w:pPr>
              <w:spacing w:after="0"/>
              <w:rPr>
                <w:sz w:val="1"/>
                <w:szCs w:val="1"/>
                <w:color w:val="auto"/>
              </w:rPr>
            </w:pPr>
          </w:p>
        </w:tc>
      </w:tr>
      <w:tr>
        <w:trPr>
          <w:trHeight w:val="283"/>
        </w:trPr>
        <w:tc>
          <w:tcPr>
            <w:tcW w:w="2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2/19/2021</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2,368,800</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Timothy C. Dec</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8/23/2021</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150,000</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150,000</w:t>
            </w:r>
          </w:p>
        </w:tc>
        <w:tc>
          <w:tcPr>
            <w:tcW w:w="140" w:type="dxa"/>
            <w:vAlign w:val="bottom"/>
          </w:tcPr>
          <w:p>
            <w:pPr>
              <w:spacing w:after="0"/>
              <w:rPr>
                <w:sz w:val="19"/>
                <w:szCs w:val="19"/>
                <w:color w:val="auto"/>
              </w:rPr>
            </w:pP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85,000</w:t>
            </w:r>
          </w:p>
        </w:tc>
        <w:tc>
          <w:tcPr>
            <w:tcW w:w="680" w:type="dxa"/>
            <w:vAlign w:val="bottom"/>
          </w:tcPr>
          <w:p>
            <w:pPr>
              <w:jc w:val="right"/>
              <w:spacing w:after="0"/>
              <w:rPr>
                <w:sz w:val="20"/>
                <w:szCs w:val="20"/>
                <w:color w:val="auto"/>
              </w:rPr>
            </w:pPr>
            <w:r>
              <w:rPr>
                <w:rFonts w:ascii="Arial" w:cs="Arial" w:eastAsia="Arial" w:hAnsi="Arial"/>
                <w:sz w:val="18"/>
                <w:szCs w:val="18"/>
                <w:color w:val="auto"/>
              </w:rPr>
              <w:t>85,000</w:t>
            </w:r>
          </w:p>
        </w:tc>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14.57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1,238,685</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Rubin, MD</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2/19/2021</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134,750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134,750</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17.00</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4/30/2021</w:t>
            </w:r>
            <w:r>
              <w:rPr>
                <w:rFonts w:ascii="Arial" w:cs="Arial" w:eastAsia="Arial" w:hAnsi="Arial"/>
                <w:sz w:val="23"/>
                <w:szCs w:val="23"/>
                <w:color w:val="auto"/>
                <w:w w:val="91"/>
                <w:vertAlign w:val="superscript"/>
              </w:rPr>
              <w:t>(4)</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0" w:type="dxa"/>
            <w:vAlign w:val="bottom"/>
          </w:tcPr>
          <w:p>
            <w:pPr>
              <w:spacing w:after="0"/>
              <w:rPr>
                <w:sz w:val="1"/>
                <w:szCs w:val="1"/>
                <w:color w:val="auto"/>
              </w:rPr>
            </w:pPr>
          </w:p>
        </w:tc>
      </w:tr>
      <w:tr>
        <w:trPr>
          <w:trHeight w:val="264"/>
        </w:trPr>
        <w:tc>
          <w:tcPr>
            <w:tcW w:w="262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2/19/2021</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141,085</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141,085</w:t>
            </w:r>
          </w:p>
        </w:tc>
        <w:tc>
          <w:tcPr>
            <w:tcW w:w="140" w:type="dxa"/>
            <w:vAlign w:val="bottom"/>
          </w:tcPr>
          <w:p>
            <w:pPr>
              <w:spacing w:after="0"/>
              <w:rPr>
                <w:sz w:val="22"/>
                <w:szCs w:val="22"/>
                <w:color w:val="auto"/>
              </w:rPr>
            </w:pP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17,000</w:t>
            </w:r>
          </w:p>
        </w:tc>
        <w:tc>
          <w:tcPr>
            <w:tcW w:w="680" w:type="dxa"/>
            <w:vAlign w:val="bottom"/>
          </w:tcPr>
          <w:p>
            <w:pPr>
              <w:jc w:val="right"/>
              <w:spacing w:after="0"/>
              <w:rPr>
                <w:sz w:val="20"/>
                <w:szCs w:val="20"/>
                <w:color w:val="auto"/>
              </w:rPr>
            </w:pPr>
            <w:r>
              <w:rPr>
                <w:rFonts w:ascii="Arial" w:cs="Arial" w:eastAsia="Arial" w:hAnsi="Arial"/>
                <w:sz w:val="18"/>
                <w:szCs w:val="18"/>
                <w:color w:val="auto"/>
              </w:rPr>
              <w:t>17,000</w:t>
            </w:r>
          </w:p>
        </w:tc>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17.00</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288,981</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w w:val="91"/>
              </w:rPr>
              <w:t>4/30/2021</w:t>
            </w:r>
            <w:r>
              <w:rPr>
                <w:rFonts w:ascii="Arial" w:cs="Arial" w:eastAsia="Arial" w:hAnsi="Arial"/>
                <w:sz w:val="23"/>
                <w:szCs w:val="23"/>
                <w:color w:val="auto"/>
                <w:w w:val="91"/>
                <w:vertAlign w:val="superscript"/>
              </w:rPr>
              <w:t>(4)</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22,838</w:t>
            </w:r>
          </w:p>
        </w:tc>
        <w:tc>
          <w:tcPr>
            <w:tcW w:w="0" w:type="dxa"/>
            <w:vAlign w:val="bottom"/>
          </w:tcPr>
          <w:p>
            <w:pPr>
              <w:spacing w:after="0"/>
              <w:rPr>
                <w:sz w:val="1"/>
                <w:szCs w:val="1"/>
                <w:color w:val="auto"/>
              </w:rPr>
            </w:pPr>
          </w:p>
        </w:tc>
      </w:tr>
      <w:tr>
        <w:trPr>
          <w:trHeight w:val="276"/>
        </w:trPr>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w w:val="91"/>
              </w:rPr>
              <w:t>4/30/2021</w:t>
            </w:r>
            <w:r>
              <w:rPr>
                <w:rFonts w:ascii="Arial" w:cs="Arial" w:eastAsia="Arial" w:hAnsi="Arial"/>
                <w:sz w:val="23"/>
                <w:szCs w:val="23"/>
                <w:color w:val="auto"/>
                <w:w w:val="91"/>
                <w:vertAlign w:val="superscript"/>
              </w:rPr>
              <w:t>(4)</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22,838</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Martini, R.N., Esq.</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2/19/2021</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117,670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117,670</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17.00</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288,981</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4/30/2021</w:t>
            </w:r>
            <w:r>
              <w:rPr>
                <w:rFonts w:ascii="Arial" w:cs="Arial" w:eastAsia="Arial" w:hAnsi="Arial"/>
                <w:sz w:val="23"/>
                <w:szCs w:val="23"/>
                <w:color w:val="auto"/>
                <w:w w:val="91"/>
                <w:vertAlign w:val="superscript"/>
              </w:rPr>
              <w:t>(4)</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0" w:type="dxa"/>
            <w:vAlign w:val="bottom"/>
          </w:tcPr>
          <w:p>
            <w:pPr>
              <w:spacing w:after="0"/>
              <w:rPr>
                <w:sz w:val="1"/>
                <w:szCs w:val="1"/>
                <w:color w:val="auto"/>
              </w:rPr>
            </w:pPr>
          </w:p>
        </w:tc>
      </w:tr>
      <w:tr>
        <w:trPr>
          <w:trHeight w:val="264"/>
        </w:trPr>
        <w:tc>
          <w:tcPr>
            <w:tcW w:w="2620" w:type="dxa"/>
            <w:vAlign w:val="bottom"/>
            <w:gridSpan w:val="2"/>
          </w:tcPr>
          <w:p>
            <w:pPr>
              <w:spacing w:after="0"/>
              <w:rPr>
                <w:sz w:val="20"/>
                <w:szCs w:val="20"/>
                <w:color w:val="auto"/>
              </w:rPr>
            </w:pPr>
            <w:r>
              <w:rPr>
                <w:rFonts w:ascii="Arial" w:cs="Arial" w:eastAsia="Arial" w:hAnsi="Arial"/>
                <w:sz w:val="18"/>
                <w:szCs w:val="18"/>
                <w:color w:val="auto"/>
              </w:rPr>
              <w:t>James P. Kelly</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2/19/2021</w:t>
            </w:r>
          </w:p>
        </w:tc>
        <w:tc>
          <w:tcPr>
            <w:tcW w:w="64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210,375</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210,375</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17.00</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254,983</w:t>
            </w:r>
          </w:p>
        </w:tc>
        <w:tc>
          <w:tcPr>
            <w:tcW w:w="0" w:type="dxa"/>
            <w:vAlign w:val="bottom"/>
          </w:tcPr>
          <w:p>
            <w:pPr>
              <w:spacing w:after="0"/>
              <w:rPr>
                <w:sz w:val="1"/>
                <w:szCs w:val="1"/>
                <w:color w:val="auto"/>
              </w:rPr>
            </w:pPr>
          </w:p>
        </w:tc>
      </w:tr>
      <w:tr>
        <w:trPr>
          <w:trHeight w:val="304"/>
        </w:trPr>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w w:val="91"/>
              </w:rPr>
              <w:t>4/30/2021</w:t>
            </w:r>
            <w:r>
              <w:rPr>
                <w:rFonts w:ascii="Arial" w:cs="Arial" w:eastAsia="Arial" w:hAnsi="Arial"/>
                <w:sz w:val="23"/>
                <w:szCs w:val="23"/>
                <w:color w:val="auto"/>
                <w:w w:val="91"/>
                <w:vertAlign w:val="superscript"/>
              </w:rPr>
              <w:t>(4)</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1,500</w:t>
            </w: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4657090</wp:posOffset>
            </wp:positionH>
            <wp:positionV relativeFrom="paragraph">
              <wp:posOffset>-2228850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-2228850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-2228850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-2228850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-2228850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-2228850</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-2228850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-2228850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-2228850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161925</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3" w:lineRule="exact"/>
        <w:rPr>
          <w:sz w:val="20"/>
          <w:szCs w:val="20"/>
          <w:color w:val="auto"/>
        </w:rPr>
      </w:pPr>
    </w:p>
    <w:p>
      <w:pPr>
        <w:ind w:left="1120" w:right="1000" w:hanging="36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payout amounts are based on the target bonus percentage recommended by the Compensation Committee and approved by the Board of Directors on February 19, 2021.</w:t>
      </w:r>
    </w:p>
    <w:p>
      <w:pPr>
        <w:spacing w:after="0" w:line="21" w:lineRule="exact"/>
        <w:rPr>
          <w:rFonts w:ascii="Arial" w:cs="Arial" w:eastAsia="Arial" w:hAnsi="Arial"/>
          <w:sz w:val="18"/>
          <w:szCs w:val="18"/>
          <w:color w:val="auto"/>
        </w:rPr>
      </w:pPr>
    </w:p>
    <w:p>
      <w:pPr>
        <w:ind w:left="1120" w:hanging="360"/>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the closing market price of our common stock on the date of the grant.</w:t>
      </w:r>
    </w:p>
    <w:p>
      <w:pPr>
        <w:spacing w:after="0" w:line="76" w:lineRule="exact"/>
        <w:rPr>
          <w:rFonts w:ascii="Arial" w:cs="Arial" w:eastAsia="Arial" w:hAnsi="Arial"/>
          <w:sz w:val="18"/>
          <w:szCs w:val="18"/>
          <w:color w:val="auto"/>
        </w:rPr>
      </w:pPr>
    </w:p>
    <w:p>
      <w:pPr>
        <w:ind w:left="1120" w:right="1400" w:hanging="36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the awards calculated in accordance with ASC 718.</w:t>
      </w:r>
    </w:p>
    <w:p>
      <w:pPr>
        <w:spacing w:after="0" w:line="35" w:lineRule="exact"/>
        <w:rPr>
          <w:rFonts w:ascii="Arial" w:cs="Arial" w:eastAsia="Arial" w:hAnsi="Arial"/>
          <w:sz w:val="18"/>
          <w:szCs w:val="18"/>
          <w:color w:val="auto"/>
        </w:rPr>
      </w:pPr>
    </w:p>
    <w:p>
      <w:pPr>
        <w:ind w:left="1120" w:right="1280" w:hanging="36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metric for this tranche of the performance share unit grant was approved by the Compensation Committee on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20"/>
          </w:cols>
          <w:pgMar w:left="1080" w:top="1107" w:right="109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400" w:right="819" w:firstLine="360"/>
        <w:spacing w:after="0" w:line="277" w:lineRule="auto"/>
        <w:rPr>
          <w:sz w:val="20"/>
          <w:szCs w:val="20"/>
          <w:color w:val="auto"/>
        </w:rPr>
      </w:pPr>
      <w:r>
        <w:rPr>
          <w:rFonts w:ascii="Arial" w:cs="Arial" w:eastAsia="Arial" w:hAnsi="Arial"/>
          <w:sz w:val="18"/>
          <w:szCs w:val="18"/>
          <w:color w:val="auto"/>
        </w:rPr>
        <w:t>The table below sets forth certain information regarding the outstanding equity awards held by our NEOs as of December 31, 2021.</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Options Awards</w:t>
            </w:r>
            <w:r>
              <w:rPr>
                <w:rFonts w:ascii="Arial" w:cs="Arial" w:eastAsia="Arial" w:hAnsi="Arial"/>
                <w:sz w:val="17"/>
                <w:szCs w:val="17"/>
                <w:b w:val="1"/>
                <w:bCs w:val="1"/>
                <w:color w:val="auto"/>
                <w:w w:val="85"/>
                <w:vertAlign w:val="superscript"/>
              </w:rPr>
              <w:t>(1)</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(2)</w:t>
            </w:r>
          </w:p>
        </w:tc>
      </w:tr>
      <w:tr>
        <w:trPr>
          <w:trHeight w:val="160"/>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Market</w:t>
            </w: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Shares 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or</w:t>
            </w: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Units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Units of</w:t>
            </w: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Unexercised</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 That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Stock That</w:t>
            </w:r>
          </w:p>
        </w:tc>
      </w:tr>
      <w:tr>
        <w:trPr>
          <w:trHeight w:val="149"/>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Options (#)</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r>
      <w:tr>
        <w:trPr>
          <w:trHeight w:val="212"/>
        </w:trPr>
        <w:tc>
          <w:tcPr>
            <w:tcW w:w="2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Pr>
          <w:p>
            <w:pPr>
              <w:spacing w:after="0"/>
              <w:rPr>
                <w:sz w:val="18"/>
                <w:szCs w:val="18"/>
                <w:color w:val="auto"/>
              </w:rPr>
            </w:pPr>
          </w:p>
        </w:tc>
        <w:tc>
          <w:tcPr>
            <w:tcW w:w="1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Unexercisable   Price ($)</w:t>
            </w:r>
            <w:r>
              <w:rPr>
                <w:rFonts w:ascii="Arial" w:cs="Arial" w:eastAsia="Arial" w:hAnsi="Arial"/>
                <w:sz w:val="17"/>
                <w:szCs w:val="17"/>
                <w:b w:val="1"/>
                <w:bCs w:val="1"/>
                <w:color w:val="auto"/>
                <w:w w:val="93"/>
                <w:vertAlign w:val="superscript"/>
              </w:rPr>
              <w:t>(3)</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Vested ($)</w:t>
            </w:r>
            <w:r>
              <w:rPr>
                <w:rFonts w:ascii="Arial" w:cs="Arial" w:eastAsia="Arial" w:hAnsi="Arial"/>
                <w:sz w:val="17"/>
                <w:szCs w:val="17"/>
                <w:b w:val="1"/>
                <w:bCs w:val="1"/>
                <w:color w:val="auto"/>
                <w:w w:val="84"/>
                <w:vertAlign w:val="superscript"/>
              </w:rPr>
              <w:t>(4)</w:t>
            </w:r>
          </w:p>
        </w:tc>
      </w:tr>
      <w:tr>
        <w:trPr>
          <w:trHeight w:val="25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200,000</w:t>
            </w:r>
          </w:p>
        </w:tc>
        <w:tc>
          <w:tcPr>
            <w:tcW w:w="16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29.61</w:t>
            </w:r>
          </w:p>
        </w:tc>
        <w:tc>
          <w:tcPr>
            <w:tcW w:w="16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2/19/2031</w:t>
            </w:r>
          </w:p>
        </w:tc>
        <w:tc>
          <w:tcPr>
            <w:tcW w:w="1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75,625</w:t>
            </w:r>
          </w:p>
        </w:tc>
        <w:tc>
          <w:tcPr>
            <w:tcW w:w="1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2,205,225</w:t>
            </w: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70,313</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210,937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2/21/2030</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2/22/2029</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62,500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2/14/2028</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2/24/2027</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3/1/2026</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3/3/2025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1/23/2024</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2/5/2023</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Timothy C. Dec</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85,000</w:t>
            </w:r>
          </w:p>
        </w:tc>
        <w:tc>
          <w:tcPr>
            <w:tcW w:w="16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8/23/2031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Rubin, MD</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29.61</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2/19/2031</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43,740</w:t>
            </w: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2/21/2030</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2/19/2031</w:t>
            </w: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43,740</w:t>
            </w:r>
          </w:p>
        </w:tc>
      </w:tr>
      <w:tr>
        <w:trPr>
          <w:trHeight w:val="242"/>
        </w:trPr>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8,750</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2/21/2030</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2/22/2029</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2/14/2028</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2/24/2027</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3/1/2026</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3/3/2025</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7"/>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1/21/2024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17,000</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29.61</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2/19/2031</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43,740</w:t>
            </w: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2/21/2030</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2/22/2029</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2/14/2028</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2/24/2027</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3/1/2026</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3/3/2025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1/24/2024</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2/5/2023</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304"/>
        </w:trPr>
        <w:tc>
          <w:tcPr>
            <w:tcW w:w="2860" w:type="dxa"/>
            <w:vAlign w:val="bottom"/>
            <w:gridSpan w:val="2"/>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3"/>
                <w:szCs w:val="23"/>
                <w:color w:val="auto"/>
                <w:vertAlign w:val="superscript"/>
              </w:rPr>
              <w:t>(5)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-4487545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-4487545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-4487545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-4487545</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-4487545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-4487545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115570</wp:posOffset>
            </wp:positionV>
            <wp:extent cx="123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3" w:lineRule="exact"/>
        <w:rPr>
          <w:sz w:val="20"/>
          <w:szCs w:val="20"/>
          <w:color w:val="auto"/>
        </w:rPr>
      </w:pPr>
    </w:p>
    <w:p>
      <w:pPr>
        <w:ind w:left="760" w:right="1239" w:hanging="360"/>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stock options vest over four years in four equal installments of 25% each on the first four anniversaries of the date of grant.</w:t>
      </w:r>
    </w:p>
    <w:p>
      <w:pPr>
        <w:spacing w:after="0" w:line="48" w:lineRule="exact"/>
        <w:rPr>
          <w:rFonts w:ascii="Arial" w:cs="Arial" w:eastAsia="Arial" w:hAnsi="Arial"/>
          <w:sz w:val="18"/>
          <w:szCs w:val="18"/>
          <w:color w:val="auto"/>
        </w:rPr>
      </w:pPr>
    </w:p>
    <w:p>
      <w:pPr>
        <w:ind w:left="760" w:right="759" w:hanging="360"/>
        <w:spacing w:after="0" w:line="308"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performance share units vest, if at all, upon the achievement of specific individual performance objectives, which are designed to support the long-term performance of the Company.</w:t>
      </w:r>
    </w:p>
    <w:p>
      <w:pPr>
        <w:spacing w:after="0" w:line="24" w:lineRule="exact"/>
        <w:rPr>
          <w:rFonts w:ascii="Arial" w:cs="Arial" w:eastAsia="Arial" w:hAnsi="Arial"/>
          <w:sz w:val="17"/>
          <w:szCs w:val="17"/>
          <w:color w:val="auto"/>
        </w:rPr>
      </w:pPr>
    </w:p>
    <w:p>
      <w:pPr>
        <w:ind w:left="760" w:hanging="36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Equals the closing market price of our common stock on the date of grant.</w:t>
      </w:r>
    </w:p>
    <w:p>
      <w:pPr>
        <w:spacing w:after="0" w:line="103" w:lineRule="exact"/>
        <w:rPr>
          <w:rFonts w:ascii="Arial" w:cs="Arial" w:eastAsia="Arial" w:hAnsi="Arial"/>
          <w:sz w:val="18"/>
          <w:szCs w:val="18"/>
          <w:color w:val="auto"/>
        </w:rPr>
      </w:pPr>
    </w:p>
    <w:p>
      <w:pPr>
        <w:ind w:left="760" w:hanging="36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the closing market price of our common stock on December 31, 2021.</w:t>
      </w:r>
    </w:p>
    <w:p>
      <w:pPr>
        <w:spacing w:after="0" w:line="103" w:lineRule="exact"/>
        <w:rPr>
          <w:rFonts w:ascii="Arial" w:cs="Arial" w:eastAsia="Arial" w:hAnsi="Arial"/>
          <w:sz w:val="18"/>
          <w:szCs w:val="18"/>
          <w:color w:val="auto"/>
        </w:rPr>
      </w:pPr>
    </w:p>
    <w:p>
      <w:pPr>
        <w:ind w:left="760" w:right="1259" w:hanging="360"/>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effectiveness of Mr. Kelly’s resignation from the Company on August 13, 2021, all outstanding equity awards were forfeited pursuant to the terms of each award.</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8" w:name="page39"/>
    <w:bookmarkEnd w:id="38"/>
    <w:p>
      <w:pPr>
        <w:ind w:left="400"/>
        <w:spacing w:after="0"/>
        <w:rPr>
          <w:sz w:val="20"/>
          <w:szCs w:val="20"/>
          <w:color w:val="auto"/>
        </w:rPr>
      </w:pPr>
      <w:r>
        <w:rPr>
          <w:rFonts w:ascii="Arial" w:cs="Arial" w:eastAsia="Arial" w:hAnsi="Arial"/>
          <w:sz w:val="18"/>
          <w:szCs w:val="18"/>
          <w:b w:val="1"/>
          <w:bCs w:val="1"/>
          <w:color w:val="auto"/>
        </w:rPr>
        <w:t>Option Exercises and Stock Vested</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600"/>
              <w:spacing w:after="0"/>
              <w:rPr>
                <w:sz w:val="20"/>
                <w:szCs w:val="20"/>
                <w:color w:val="auto"/>
              </w:rPr>
            </w:pPr>
            <w:r>
              <w:rPr>
                <w:rFonts w:ascii="Arial" w:cs="Arial" w:eastAsia="Arial" w:hAnsi="Arial"/>
                <w:sz w:val="14"/>
                <w:szCs w:val="14"/>
                <w:b w:val="1"/>
                <w:bCs w:val="1"/>
                <w:color w:val="auto"/>
              </w:rPr>
              <w:t>Option Awards</w:t>
            </w:r>
          </w:p>
        </w:tc>
        <w:tc>
          <w:tcPr>
            <w:tcW w:w="208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Number of 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Acquired On</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Realized On</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Acquired 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Realized On</w:t>
            </w:r>
          </w:p>
        </w:tc>
      </w:tr>
      <w:tr>
        <w:trPr>
          <w:trHeight w:val="186"/>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Exercise ($)</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Vesting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Vesting ($)</w:t>
            </w:r>
          </w:p>
        </w:tc>
      </w:tr>
      <w:tr>
        <w:trPr>
          <w:trHeight w:val="26"/>
        </w:trPr>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1,053,200</w:t>
            </w:r>
          </w:p>
        </w:tc>
      </w:tr>
      <w:tr>
        <w:trPr>
          <w:trHeight w:val="257"/>
        </w:trPr>
        <w:tc>
          <w:tcPr>
            <w:tcW w:w="3800" w:type="dxa"/>
            <w:vAlign w:val="bottom"/>
            <w:gridSpan w:val="2"/>
          </w:tcPr>
          <w:p>
            <w:pPr>
              <w:spacing w:after="0"/>
              <w:rPr>
                <w:sz w:val="20"/>
                <w:szCs w:val="20"/>
                <w:color w:val="auto"/>
              </w:rPr>
            </w:pPr>
            <w:r>
              <w:rPr>
                <w:rFonts w:ascii="Arial" w:cs="Arial" w:eastAsia="Arial" w:hAnsi="Arial"/>
                <w:sz w:val="18"/>
                <w:szCs w:val="18"/>
                <w:color w:val="auto"/>
              </w:rPr>
              <w:t>Timothy C. Dec</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Rubin, MD</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Padmanabh P. Bhatt, Ph.D.</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6,250</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112,515</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James P. Kelly</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-1010920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-1010920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-1010920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-1010920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400" w:right="459" w:firstLine="360"/>
        <w:spacing w:after="0" w:line="270" w:lineRule="auto"/>
        <w:rPr>
          <w:sz w:val="20"/>
          <w:szCs w:val="20"/>
          <w:color w:val="auto"/>
        </w:rPr>
      </w:pPr>
      <w:r>
        <w:rPr>
          <w:rFonts w:ascii="Arial" w:cs="Arial" w:eastAsia="Arial" w:hAnsi="Arial"/>
          <w:sz w:val="17"/>
          <w:szCs w:val="17"/>
          <w:color w:val="auto"/>
        </w:rPr>
        <w:t>Assuming Mr. Khattar’s employment is terminated without cause or he resigns for good reason, or he resigns for good reason after a change of control, each such term as defined in Mr. Khattar’s employment agreement, on December 31, 2021, the estimated values of payments and benefits to Mr. Khattar are set forth in the following table. Assuming Mr. Dec’s, Dr. Rubin’s or Dr. Martin’s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2021, are set forth in the following table. In addition, the following table also sets forth the amount payable upon a restructuring of Supernus that results in the elimination of Dr. Bhatt’s position assuming the restructuring occurred on December 31, 2021.</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Termination</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Resignation</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Without Cause</w:t>
            </w:r>
          </w:p>
        </w:tc>
        <w:tc>
          <w:tcPr>
            <w:tcW w:w="100" w:type="dxa"/>
            <w:vAlign w:val="bottom"/>
          </w:tcPr>
          <w:p>
            <w:pPr>
              <w:spacing w:after="0"/>
              <w:rPr>
                <w:sz w:val="14"/>
                <w:szCs w:val="14"/>
                <w:color w:val="auto"/>
              </w:rPr>
            </w:pPr>
          </w:p>
        </w:tc>
        <w:tc>
          <w:tcPr>
            <w:tcW w:w="7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for Good</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Termination</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or Resignation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Reason After</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Upon a</w:t>
            </w: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Good</w:t>
            </w:r>
          </w:p>
        </w:tc>
        <w:tc>
          <w:tcPr>
            <w:tcW w:w="100" w:type="dxa"/>
            <w:vAlign w:val="bottom"/>
          </w:tcPr>
          <w:p>
            <w:pPr>
              <w:spacing w:after="0"/>
              <w:rPr>
                <w:sz w:val="14"/>
                <w:szCs w:val="14"/>
                <w:color w:val="auto"/>
              </w:rPr>
            </w:pPr>
          </w:p>
        </w:tc>
        <w:tc>
          <w:tcPr>
            <w:tcW w:w="720" w:type="dxa"/>
            <w:vAlign w:val="bottom"/>
          </w:tcPr>
          <w:p>
            <w:pPr>
              <w:jc w:val="center"/>
              <w:ind w:right="33"/>
              <w:spacing w:after="0"/>
              <w:rPr>
                <w:sz w:val="20"/>
                <w:szCs w:val="20"/>
                <w:color w:val="auto"/>
              </w:rPr>
            </w:pPr>
            <w:r>
              <w:rPr>
                <w:rFonts w:ascii="Arial" w:cs="Arial" w:eastAsia="Arial" w:hAnsi="Arial"/>
                <w:sz w:val="14"/>
                <w:szCs w:val="14"/>
                <w:b w:val="1"/>
                <w:bCs w:val="1"/>
                <w:color w:val="auto"/>
                <w:w w:val="88"/>
              </w:rPr>
              <w:t>a Change</w:t>
            </w:r>
          </w:p>
        </w:tc>
        <w:tc>
          <w:tcPr>
            <w:tcW w:w="0" w:type="dxa"/>
            <w:vAlign w:val="bottom"/>
          </w:tcPr>
          <w:p>
            <w:pPr>
              <w:spacing w:after="0"/>
              <w:rPr>
                <w:sz w:val="1"/>
                <w:szCs w:val="1"/>
                <w:color w:val="auto"/>
              </w:rPr>
            </w:pPr>
          </w:p>
        </w:tc>
      </w:tr>
      <w:tr>
        <w:trPr>
          <w:trHeight w:val="18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6"/>
                <w:szCs w:val="16"/>
                <w:color w:val="auto"/>
              </w:rPr>
            </w:pPr>
          </w:p>
        </w:tc>
        <w:tc>
          <w:tcPr>
            <w:tcW w:w="2160" w:type="dxa"/>
            <w:vAlign w:val="bottom"/>
          </w:tcPr>
          <w:p>
            <w:pPr>
              <w:ind w:left="86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Reason</w:t>
            </w: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of Control</w:t>
            </w:r>
          </w:p>
        </w:tc>
        <w:tc>
          <w:tcPr>
            <w:tcW w:w="0" w:type="dxa"/>
            <w:vAlign w:val="bottom"/>
          </w:tcPr>
          <w:p>
            <w:pPr>
              <w:spacing w:after="0"/>
              <w:rPr>
                <w:sz w:val="1"/>
                <w:szCs w:val="1"/>
                <w:color w:val="auto"/>
              </w:rPr>
            </w:pPr>
          </w:p>
        </w:tc>
      </w:tr>
      <w:tr>
        <w:trPr>
          <w:trHeight w:val="25"/>
        </w:trPr>
        <w:tc>
          <w:tcPr>
            <w:tcW w:w="3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Khattar</w:t>
            </w:r>
          </w:p>
        </w:tc>
        <w:tc>
          <w:tcPr>
            <w:tcW w:w="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Base salary continuation</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1,305,000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1,305,000</w:t>
            </w:r>
          </w:p>
        </w:tc>
        <w:tc>
          <w:tcPr>
            <w:tcW w:w="18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1,305,000</w:t>
            </w:r>
          </w:p>
        </w:tc>
        <w:tc>
          <w:tcPr>
            <w:tcW w:w="0" w:type="dxa"/>
            <w:vAlign w:val="bottom"/>
          </w:tcPr>
          <w:p>
            <w:pPr>
              <w:spacing w:after="0"/>
              <w:rPr>
                <w:sz w:val="1"/>
                <w:szCs w:val="1"/>
                <w:color w:val="auto"/>
              </w:rPr>
            </w:pPr>
          </w:p>
        </w:tc>
      </w:tr>
      <w:tr>
        <w:trPr>
          <w:trHeight w:val="310"/>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3"/>
                <w:szCs w:val="23"/>
                <w:color w:val="auto"/>
                <w:vertAlign w:val="superscript"/>
              </w:rPr>
              <w:t>(1)</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815,500</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815,500</w:t>
            </w:r>
          </w:p>
        </w:tc>
        <w:tc>
          <w:tcPr>
            <w:tcW w:w="0" w:type="dxa"/>
            <w:vAlign w:val="bottom"/>
          </w:tcPr>
          <w:p>
            <w:pPr>
              <w:spacing w:after="0"/>
              <w:rPr>
                <w:sz w:val="1"/>
                <w:szCs w:val="1"/>
                <w:color w:val="auto"/>
              </w:rPr>
            </w:pPr>
          </w:p>
        </w:tc>
      </w:tr>
      <w:tr>
        <w:trPr>
          <w:trHeight w:val="29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Continuation of benefits</w:t>
            </w:r>
            <w:r>
              <w:rPr>
                <w:rFonts w:ascii="Arial" w:cs="Arial" w:eastAsia="Arial" w:hAnsi="Arial"/>
                <w:sz w:val="23"/>
                <w:szCs w:val="23"/>
                <w:color w:val="auto"/>
                <w:vertAlign w:val="superscript"/>
              </w:rPr>
              <w:t>(2)</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29,302</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29,302</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2,149,802</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2,149,802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Timothy C. Dec</w:t>
            </w:r>
          </w:p>
        </w:tc>
        <w:tc>
          <w:tcPr>
            <w:tcW w:w="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Base salary continuation</w:t>
            </w:r>
          </w:p>
        </w:tc>
        <w:tc>
          <w:tcPr>
            <w:tcW w:w="22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8"/>
                <w:szCs w:val="18"/>
                <w:color w:val="auto"/>
              </w:rPr>
              <w:t>375,000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vMerge w:val="continue"/>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331"/>
        </w:trPr>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3"/>
                <w:szCs w:val="23"/>
                <w:color w:val="auto"/>
                <w:vertAlign w:val="superscript"/>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of benefits</w:t>
            </w:r>
            <w:r>
              <w:rPr>
                <w:rFonts w:ascii="Arial" w:cs="Arial" w:eastAsia="Arial" w:hAnsi="Arial"/>
                <w:sz w:val="23"/>
                <w:szCs w:val="23"/>
                <w:color w:val="auto"/>
                <w:vertAlign w:val="superscript"/>
              </w:rPr>
              <w:t>(4)</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23,659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23,659</w:t>
            </w:r>
          </w:p>
        </w:tc>
        <w:tc>
          <w:tcPr>
            <w:tcW w:w="1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398,659</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398,659</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Rubin, MD</w:t>
            </w:r>
          </w:p>
        </w:tc>
        <w:tc>
          <w:tcPr>
            <w:tcW w:w="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Base salary continuation</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8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310"/>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3"/>
                <w:szCs w:val="23"/>
                <w:color w:val="auto"/>
                <w:vertAlign w:val="superscript"/>
              </w:rPr>
              <w:t>(3)</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w:t>
            </w:r>
          </w:p>
        </w:tc>
        <w:tc>
          <w:tcPr>
            <w:tcW w:w="0" w:type="dxa"/>
            <w:vAlign w:val="bottom"/>
          </w:tcPr>
          <w:p>
            <w:pPr>
              <w:spacing w:after="0"/>
              <w:rPr>
                <w:sz w:val="1"/>
                <w:szCs w:val="1"/>
                <w:color w:val="auto"/>
              </w:rPr>
            </w:pPr>
          </w:p>
        </w:tc>
      </w:tr>
      <w:tr>
        <w:trPr>
          <w:trHeight w:val="29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Continuation of benefits</w:t>
            </w:r>
            <w:r>
              <w:rPr>
                <w:rFonts w:ascii="Arial" w:cs="Arial" w:eastAsia="Arial" w:hAnsi="Arial"/>
                <w:sz w:val="23"/>
                <w:szCs w:val="23"/>
                <w:color w:val="auto"/>
                <w:vertAlign w:val="superscript"/>
              </w:rPr>
              <w:t>(4)</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515,035</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515,035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Padmanabh P. Bhatt, Ph.D.</w:t>
            </w:r>
          </w:p>
        </w:tc>
        <w:tc>
          <w:tcPr>
            <w:tcW w:w="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Severance</w:t>
            </w:r>
          </w:p>
        </w:tc>
        <w:tc>
          <w:tcPr>
            <w:tcW w:w="22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8"/>
                <w:szCs w:val="18"/>
                <w:color w:val="auto"/>
              </w:rPr>
              <w:t>201,550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Martin, R.N., Esq</w:t>
            </w:r>
          </w:p>
        </w:tc>
        <w:tc>
          <w:tcPr>
            <w:tcW w:w="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Base salary continuation</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336,200</w:t>
            </w:r>
          </w:p>
        </w:tc>
        <w:tc>
          <w:tcPr>
            <w:tcW w:w="18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336,200</w:t>
            </w:r>
          </w:p>
        </w:tc>
        <w:tc>
          <w:tcPr>
            <w:tcW w:w="0" w:type="dxa"/>
            <w:vAlign w:val="bottom"/>
          </w:tcPr>
          <w:p>
            <w:pPr>
              <w:spacing w:after="0"/>
              <w:rPr>
                <w:sz w:val="1"/>
                <w:szCs w:val="1"/>
                <w:color w:val="auto"/>
              </w:rPr>
            </w:pPr>
          </w:p>
        </w:tc>
      </w:tr>
      <w:tr>
        <w:trPr>
          <w:trHeight w:val="310"/>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Bonus</w:t>
            </w:r>
            <w:r>
              <w:rPr>
                <w:rFonts w:ascii="Arial" w:cs="Arial" w:eastAsia="Arial" w:hAnsi="Arial"/>
                <w:sz w:val="23"/>
                <w:szCs w:val="23"/>
                <w:color w:val="auto"/>
                <w:vertAlign w:val="superscript"/>
              </w:rPr>
              <w:t>(3)</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131,200</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131,200</w:t>
            </w:r>
          </w:p>
        </w:tc>
        <w:tc>
          <w:tcPr>
            <w:tcW w:w="0" w:type="dxa"/>
            <w:vAlign w:val="bottom"/>
          </w:tcPr>
          <w:p>
            <w:pPr>
              <w:spacing w:after="0"/>
              <w:rPr>
                <w:sz w:val="1"/>
                <w:szCs w:val="1"/>
                <w:color w:val="auto"/>
              </w:rPr>
            </w:pPr>
          </w:p>
        </w:tc>
      </w:tr>
      <w:tr>
        <w:trPr>
          <w:trHeight w:val="29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Continuation of benefits</w:t>
            </w:r>
            <w:r>
              <w:rPr>
                <w:rFonts w:ascii="Arial" w:cs="Arial" w:eastAsia="Arial" w:hAnsi="Arial"/>
                <w:sz w:val="23"/>
                <w:szCs w:val="23"/>
                <w:color w:val="auto"/>
                <w:vertAlign w:val="superscript"/>
              </w:rPr>
              <w:t>(4)</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486,935</w:t>
            </w:r>
          </w:p>
        </w:tc>
        <w:tc>
          <w:tcPr>
            <w:tcW w:w="18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James P. Kelly</w:t>
            </w:r>
            <w:r>
              <w:rPr>
                <w:rFonts w:ascii="Arial" w:cs="Arial" w:eastAsia="Arial" w:hAnsi="Arial"/>
                <w:sz w:val="23"/>
                <w:szCs w:val="23"/>
                <w:color w:val="auto"/>
                <w:vertAlign w:val="superscript"/>
              </w:rPr>
              <w:t>(5)</w:t>
            </w:r>
          </w:p>
        </w:tc>
        <w:tc>
          <w:tcPr>
            <w:tcW w:w="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08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-3429000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-3429000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-3429000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-3429000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136525</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2" w:lineRule="exact"/>
        <w:rPr>
          <w:sz w:val="20"/>
          <w:szCs w:val="20"/>
          <w:color w:val="auto"/>
        </w:rPr>
      </w:pPr>
    </w:p>
    <w:p>
      <w:pPr>
        <w:jc w:val="center"/>
        <w:ind w:left="4380" w:right="1119" w:hanging="3980"/>
        <w:spacing w:after="0" w:line="731" w:lineRule="auto"/>
        <w:tabs>
          <w:tab w:leader="none" w:pos="7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shown for bonus in connection with a change in control represents the bonus payment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-32385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9" w:name="page40"/>
    <w:bookmarkEnd w:id="39"/>
    <w:p>
      <w:pPr>
        <w:ind w:left="760" w:right="519"/>
        <w:spacing w:after="0" w:line="259" w:lineRule="auto"/>
        <w:rPr>
          <w:sz w:val="20"/>
          <w:szCs w:val="20"/>
          <w:color w:val="auto"/>
        </w:rPr>
      </w:pPr>
      <w:r>
        <w:rPr>
          <w:rFonts w:ascii="Arial" w:cs="Arial" w:eastAsia="Arial" w:hAnsi="Arial"/>
          <w:sz w:val="18"/>
          <w:szCs w:val="18"/>
          <w:color w:val="auto"/>
        </w:rPr>
        <w:t>Mr. Khattar would have earned under his employment agreement based on the assumption that his employment terminated as of the last day of fiscal year 2020. The amount set forth in the table reflects the most recent bonus paid to Mr. Khattar under our annual cash incentive plan as of December 31, 2020.</w:t>
      </w:r>
    </w:p>
    <w:p>
      <w:pPr>
        <w:spacing w:after="0" w:line="38" w:lineRule="exact"/>
        <w:rPr>
          <w:sz w:val="20"/>
          <w:szCs w:val="20"/>
          <w:color w:val="auto"/>
        </w:rPr>
      </w:pPr>
    </w:p>
    <w:p>
      <w:pPr>
        <w:ind w:left="760" w:right="999" w:hanging="360"/>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Mr. Khattar and eligible family members in accordance with his employment agreement.</w:t>
      </w:r>
    </w:p>
    <w:p>
      <w:pPr>
        <w:spacing w:after="0" w:line="35" w:lineRule="exact"/>
        <w:rPr>
          <w:rFonts w:ascii="Arial" w:cs="Arial" w:eastAsia="Arial" w:hAnsi="Arial"/>
          <w:sz w:val="18"/>
          <w:szCs w:val="18"/>
          <w:color w:val="auto"/>
        </w:rPr>
      </w:pPr>
    </w:p>
    <w:p>
      <w:pPr>
        <w:ind w:left="760" w:right="439" w:hanging="360"/>
        <w:spacing w:after="0" w:line="255"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most recent bonus paid to the executive under our annual cash incentive plan as of December 31, 2020. As Mr. Dec joined the Company as Senior Vice President and Chief Financial Officer on August 23, 2021, he therefore did not receive a cash bonus payment during the 2021 fiscal year.</w:t>
      </w:r>
    </w:p>
    <w:p>
      <w:pPr>
        <w:spacing w:after="0" w:line="57" w:lineRule="exact"/>
        <w:rPr>
          <w:rFonts w:ascii="Arial" w:cs="Arial" w:eastAsia="Arial" w:hAnsi="Arial"/>
          <w:sz w:val="18"/>
          <w:szCs w:val="18"/>
          <w:color w:val="auto"/>
        </w:rPr>
      </w:pPr>
    </w:p>
    <w:p>
      <w:pPr>
        <w:ind w:left="760" w:right="459" w:hanging="360"/>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for continuation of benefits represent estimates for the continuation of COBRA insurance benefits afforded to the executive officer and eligible family members in accordance with the Executive Retention Agreement.</w:t>
      </w:r>
    </w:p>
    <w:p>
      <w:pPr>
        <w:spacing w:after="0" w:line="35" w:lineRule="exact"/>
        <w:rPr>
          <w:rFonts w:ascii="Arial" w:cs="Arial" w:eastAsia="Arial" w:hAnsi="Arial"/>
          <w:sz w:val="18"/>
          <w:szCs w:val="18"/>
          <w:color w:val="auto"/>
        </w:rPr>
      </w:pPr>
    </w:p>
    <w:p>
      <w:pPr>
        <w:ind w:left="760" w:right="559" w:hanging="360"/>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Kelly’s resignation from the Company became effective on August 13, 2021 and, as a result, he is no longer a party to an Executive Retention Agreement.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CEO Pay Ratio</w:t>
      </w:r>
    </w:p>
    <w:p>
      <w:pPr>
        <w:spacing w:after="0" w:line="162" w:lineRule="exact"/>
        <w:rPr>
          <w:sz w:val="20"/>
          <w:szCs w:val="20"/>
          <w:color w:val="auto"/>
        </w:rPr>
      </w:pPr>
    </w:p>
    <w:p>
      <w:pPr>
        <w:ind w:left="400" w:right="479" w:firstLine="360"/>
        <w:spacing w:after="0" w:line="273" w:lineRule="auto"/>
        <w:rPr>
          <w:sz w:val="20"/>
          <w:szCs w:val="20"/>
          <w:color w:val="auto"/>
        </w:rPr>
      </w:pPr>
      <w:r>
        <w:rPr>
          <w:rFonts w:ascii="Arial" w:cs="Arial" w:eastAsia="Arial" w:hAnsi="Arial"/>
          <w:sz w:val="17"/>
          <w:szCs w:val="17"/>
          <w:color w:val="auto"/>
        </w:rPr>
        <w:t>Pursuant to Section 953(b) of the Dodd-Frank Wall Street Reform and Consumer Protection Act and Item 402(u) of Regulation S-K, we are required to disclose the ratio of our principal executive officer to the annual total compensation of our median employee. During fiscal year 2021, the principal executive officer of Supernus was our President and Chief Executive Officer, Jack Khattar. For 2021, the annual total compensation of Mr. Khattar, as disclosed in the Summary Compensation Table, was $8,125,666, and for our median employee was $128,385, resulting in a pay ratio of approximately 63:1.</w:t>
      </w:r>
    </w:p>
    <w:p>
      <w:pPr>
        <w:spacing w:after="0" w:line="97" w:lineRule="exact"/>
        <w:rPr>
          <w:sz w:val="20"/>
          <w:szCs w:val="20"/>
          <w:color w:val="auto"/>
        </w:rPr>
      </w:pPr>
    </w:p>
    <w:p>
      <w:pPr>
        <w:ind w:left="400" w:right="439" w:firstLine="360"/>
        <w:spacing w:after="0" w:line="274" w:lineRule="auto"/>
        <w:rPr>
          <w:sz w:val="20"/>
          <w:szCs w:val="20"/>
          <w:color w:val="auto"/>
        </w:rPr>
      </w:pPr>
      <w:r>
        <w:rPr>
          <w:rFonts w:ascii="Arial" w:cs="Arial" w:eastAsia="Arial" w:hAnsi="Arial"/>
          <w:sz w:val="17"/>
          <w:szCs w:val="17"/>
          <w:color w:val="auto"/>
        </w:rPr>
        <w:t>In accordance with Item 402(u) of Regulation S-K, with the assistance of Aon we identified the median employee as of December 31, 2021 by (i) aggregating for each applicable employee (A) annual base salary,</w:t>
      </w:r>
    </w:p>
    <w:p>
      <w:pPr>
        <w:ind w:left="400" w:right="539"/>
        <w:spacing w:after="0" w:line="268" w:lineRule="auto"/>
        <w:tabs>
          <w:tab w:leader="none" w:pos="69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target bonus and commissions and (C) the estimated grant date fair value of equity granted in 2021, and (ii) ranking this compensation measure for our employees from lowest to highest. This calculation was performed for all employees of Supernus, excluding Mr. Khattar. After applying our methodology we preliminarily identified three median employees. However, each of these preliminarily identified median employees were newly hired employees with anomalous compensation characteristics as compared to our broader employee population. Accordingly, in selecting our median employee we substituted an employee whose compensation was near that of the preliminarily identified median employees but whose compensation was more representative of our employee population because it was not impacted in 2021 by the aforementioned anomalous compensation characteristics.</w:t>
      </w:r>
    </w:p>
    <w:p>
      <w:pPr>
        <w:spacing w:after="0" w:line="114" w:lineRule="exact"/>
        <w:rPr>
          <w:sz w:val="20"/>
          <w:szCs w:val="20"/>
          <w:color w:val="auto"/>
        </w:rPr>
      </w:pPr>
    </w:p>
    <w:p>
      <w:pPr>
        <w:ind w:left="400" w:right="499" w:firstLine="360"/>
        <w:spacing w:after="0" w:line="253"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400" w:right="519" w:firstLine="360"/>
        <w:spacing w:after="0" w:line="239" w:lineRule="auto"/>
        <w:rPr>
          <w:sz w:val="20"/>
          <w:szCs w:val="20"/>
          <w:color w:val="auto"/>
        </w:rPr>
      </w:pPr>
      <w:r>
        <w:rPr>
          <w:rFonts w:ascii="Arial" w:cs="Arial" w:eastAsia="Arial" w:hAnsi="Arial"/>
          <w:sz w:val="18"/>
          <w:szCs w:val="18"/>
          <w:color w:val="auto"/>
        </w:rPr>
        <w:t>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non-employee directors to help us achieve our business objectives by tying incentives to the appreciation of our common stock over the long term.</w:t>
      </w:r>
    </w:p>
    <w:p>
      <w:pPr>
        <w:spacing w:after="0" w:line="123" w:lineRule="exact"/>
        <w:rPr>
          <w:sz w:val="20"/>
          <w:szCs w:val="20"/>
          <w:color w:val="auto"/>
        </w:rPr>
      </w:pPr>
    </w:p>
    <w:p>
      <w:pPr>
        <w:ind w:left="400" w:right="539" w:firstLine="360"/>
        <w:spacing w:after="0" w:line="243" w:lineRule="auto"/>
        <w:rPr>
          <w:sz w:val="20"/>
          <w:szCs w:val="20"/>
          <w:color w:val="auto"/>
        </w:rPr>
      </w:pPr>
      <w:r>
        <w:rPr>
          <w:rFonts w:ascii="Arial" w:cs="Arial" w:eastAsia="Arial" w:hAnsi="Arial"/>
          <w:sz w:val="18"/>
          <w:szCs w:val="18"/>
          <w:color w:val="auto"/>
        </w:rPr>
        <w:t>Our Compensation Committee regularly assesses our non-employee director compensation program in consultation with Aon, its independent compensation consultant, who provides analysis and input on prevailing market practices and recommends any changes to the program to our Board of Directors, which ultimately approves non-employee director compensation.</w:t>
      </w:r>
    </w:p>
    <w:p>
      <w:pPr>
        <w:spacing w:after="0" w:line="120" w:lineRule="exact"/>
        <w:rPr>
          <w:sz w:val="20"/>
          <w:szCs w:val="20"/>
          <w:color w:val="auto"/>
        </w:rPr>
      </w:pPr>
    </w:p>
    <w:p>
      <w:pPr>
        <w:ind w:left="400" w:right="659" w:firstLine="360"/>
        <w:spacing w:after="0" w:line="239" w:lineRule="auto"/>
        <w:rPr>
          <w:sz w:val="20"/>
          <w:szCs w:val="20"/>
          <w:color w:val="auto"/>
        </w:rPr>
      </w:pPr>
      <w:r>
        <w:rPr>
          <w:rFonts w:ascii="Arial" w:cs="Arial" w:eastAsia="Arial" w:hAnsi="Arial"/>
          <w:sz w:val="18"/>
          <w:szCs w:val="18"/>
          <w:color w:val="auto"/>
        </w:rPr>
        <w:t>The 2021 director compensation structure was recommended by the Compensation Committee and approved by the Board of Directors following the review of peer practices from Aon. The 2021 director compensation structure did not change from the 2020 director compensation structure. Under our director compensation structure for 2021, non-chairman members of the Board of Directors received an annual retainer of $50,000 and the Chairman of the Board received an additional $30,000, paid annually. The chairman and members of the Company’s standing committees received the following retainers for their committee service:</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w w:val="99"/>
              </w:rPr>
              <w:t>Chairman</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Member</w:t>
            </w:r>
          </w:p>
        </w:tc>
      </w:tr>
      <w:tr>
        <w:trPr>
          <w:trHeight w:val="186"/>
        </w:trPr>
        <w:tc>
          <w:tcPr>
            <w:tcW w:w="5840" w:type="dxa"/>
            <w:vAlign w:val="bottom"/>
          </w:tcPr>
          <w:p>
            <w:pPr>
              <w:spacing w:after="0"/>
              <w:rPr>
                <w:sz w:val="20"/>
                <w:szCs w:val="20"/>
                <w:color w:val="auto"/>
              </w:rPr>
            </w:pPr>
            <w:r>
              <w:rPr>
                <w:rFonts w:ascii="Arial" w:cs="Arial" w:eastAsia="Arial" w:hAnsi="Arial"/>
                <w:sz w:val="14"/>
                <w:szCs w:val="14"/>
                <w:b w:val="1"/>
                <w:bCs w:val="1"/>
                <w:color w:val="auto"/>
              </w:rPr>
              <w:t>Committee</w:t>
            </w:r>
          </w:p>
        </w:tc>
        <w:tc>
          <w:tcPr>
            <w:tcW w:w="88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r>
      <w:tr>
        <w:trPr>
          <w:trHeight w:val="26"/>
        </w:trPr>
        <w:tc>
          <w:tcPr>
            <w:tcW w:w="5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88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90"/>
              </w:rPr>
              <w:t>25,000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Compensation Committee</w:t>
            </w:r>
          </w:p>
        </w:tc>
        <w:tc>
          <w:tcPr>
            <w:tcW w:w="880" w:type="dxa"/>
            <w:vAlign w:val="bottom"/>
            <w:gridSpan w:val="2"/>
          </w:tcPr>
          <w:p>
            <w:pPr>
              <w:jc w:val="center"/>
              <w:ind w:left="137"/>
              <w:spacing w:after="0"/>
              <w:rPr>
                <w:sz w:val="20"/>
                <w:szCs w:val="20"/>
                <w:color w:val="auto"/>
              </w:rPr>
            </w:pPr>
            <w:r>
              <w:rPr>
                <w:rFonts w:ascii="Arial" w:cs="Arial" w:eastAsia="Arial" w:hAnsi="Arial"/>
                <w:sz w:val="18"/>
                <w:szCs w:val="18"/>
                <w:color w:val="auto"/>
                <w:w w:val="90"/>
              </w:rPr>
              <w:t>20,000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5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Governance and Nominating Committee</w:t>
            </w:r>
          </w:p>
        </w:tc>
        <w:tc>
          <w:tcPr>
            <w:tcW w:w="880" w:type="dxa"/>
            <w:vAlign w:val="bottom"/>
            <w:gridSpan w:val="2"/>
            <w:shd w:val="clear" w:color="auto" w:fill="CCEEFF"/>
          </w:tcPr>
          <w:p>
            <w:pPr>
              <w:jc w:val="center"/>
              <w:ind w:left="157"/>
              <w:spacing w:after="0"/>
              <w:rPr>
                <w:sz w:val="20"/>
                <w:szCs w:val="20"/>
                <w:color w:val="auto"/>
              </w:rPr>
            </w:pPr>
            <w:r>
              <w:rPr>
                <w:rFonts w:ascii="Arial" w:cs="Arial" w:eastAsia="Arial" w:hAnsi="Arial"/>
                <w:sz w:val="18"/>
                <w:szCs w:val="18"/>
                <w:color w:val="auto"/>
                <w:w w:val="87"/>
              </w:rPr>
              <w:t>11,000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-496570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-496570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employee director receives no compensation for serving as a director.</w:t>
      </w:r>
    </w:p>
    <w:p>
      <w:pPr>
        <w:spacing w:after="0" w:line="158" w:lineRule="exact"/>
        <w:rPr>
          <w:sz w:val="20"/>
          <w:szCs w:val="20"/>
          <w:color w:val="auto"/>
        </w:rPr>
      </w:pPr>
    </w:p>
    <w:p>
      <w:pPr>
        <w:ind w:left="400" w:right="599" w:firstLine="360"/>
        <w:spacing w:after="0" w:line="261" w:lineRule="auto"/>
        <w:rPr>
          <w:sz w:val="20"/>
          <w:szCs w:val="20"/>
          <w:color w:val="auto"/>
        </w:rPr>
      </w:pPr>
      <w:r>
        <w:rPr>
          <w:rFonts w:ascii="Arial" w:cs="Arial" w:eastAsia="Arial" w:hAnsi="Arial"/>
          <w:sz w:val="18"/>
          <w:szCs w:val="18"/>
          <w:color w:val="auto"/>
        </w:rPr>
        <w:t>The following table sets forth a summary of the compensation we paid to each non-employee director in 2021.</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Fees Earned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or Paid</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w:t>
            </w:r>
          </w:p>
        </w:tc>
        <w:tc>
          <w:tcPr>
            <w:tcW w:w="60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Cash</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Awards</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8"/>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8"/>
                <w:szCs w:val="8"/>
                <w:b w:val="1"/>
                <w:bCs w:val="1"/>
                <w:color w:val="auto"/>
                <w:w w:val="93"/>
              </w:rPr>
              <w:t>(1)</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8"/>
                <w:szCs w:val="8"/>
                <w:b w:val="1"/>
                <w:bCs w:val="1"/>
                <w:color w:val="auto"/>
                <w:w w:val="93"/>
              </w:rPr>
              <w:t>(1)</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Georges Gemayel</w:t>
            </w:r>
          </w:p>
        </w:tc>
        <w:tc>
          <w:tcPr>
            <w:tcW w:w="1000" w:type="dxa"/>
            <w:vAlign w:val="bottom"/>
            <w:gridSpan w:val="2"/>
            <w:shd w:val="clear" w:color="auto" w:fill="CCEEFF"/>
          </w:tcPr>
          <w:p>
            <w:pPr>
              <w:jc w:val="right"/>
              <w:ind w:right="180"/>
              <w:spacing w:after="0" w:line="210" w:lineRule="exact"/>
              <w:rPr>
                <w:sz w:val="20"/>
                <w:szCs w:val="20"/>
                <w:color w:val="auto"/>
              </w:rPr>
            </w:pPr>
            <w:r>
              <w:rPr>
                <w:rFonts w:ascii="Arial" w:cs="Arial" w:eastAsia="Arial" w:hAnsi="Arial"/>
                <w:sz w:val="18"/>
                <w:szCs w:val="18"/>
                <w:color w:val="auto"/>
              </w:rPr>
              <w:t>67,500</w:t>
            </w:r>
            <w:r>
              <w:rPr>
                <w:rFonts w:ascii="Arial" w:cs="Arial" w:eastAsia="Arial" w:hAnsi="Arial"/>
                <w:sz w:val="23"/>
                <w:szCs w:val="23"/>
                <w:color w:val="auto"/>
                <w:vertAlign w:val="superscript"/>
              </w:rPr>
              <w:t>(2)</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125,013</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125,197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317,710</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Frederick M. Hudson</w:t>
            </w:r>
          </w:p>
        </w:tc>
        <w:tc>
          <w:tcPr>
            <w:tcW w:w="1000" w:type="dxa"/>
            <w:vAlign w:val="bottom"/>
            <w:gridSpan w:val="2"/>
          </w:tcPr>
          <w:p>
            <w:pPr>
              <w:jc w:val="right"/>
              <w:ind w:right="180"/>
              <w:spacing w:after="0" w:line="230" w:lineRule="exact"/>
              <w:rPr>
                <w:sz w:val="20"/>
                <w:szCs w:val="20"/>
                <w:color w:val="auto"/>
              </w:rPr>
            </w:pPr>
            <w:r>
              <w:rPr>
                <w:rFonts w:ascii="Arial" w:cs="Arial" w:eastAsia="Arial" w:hAnsi="Arial"/>
                <w:sz w:val="18"/>
                <w:szCs w:val="18"/>
                <w:color w:val="auto"/>
              </w:rPr>
              <w:t>85,000</w:t>
            </w:r>
            <w:r>
              <w:rPr>
                <w:rFonts w:ascii="Arial" w:cs="Arial" w:eastAsia="Arial" w:hAnsi="Arial"/>
                <w:sz w:val="23"/>
                <w:szCs w:val="23"/>
                <w:color w:val="auto"/>
                <w:vertAlign w:val="superscript"/>
              </w:rPr>
              <w:t>(3)</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125,013</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125,197</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335,210</w:t>
            </w:r>
          </w:p>
        </w:tc>
      </w:tr>
      <w:tr>
        <w:trPr>
          <w:trHeight w:val="229"/>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Newhall, III</w:t>
            </w:r>
          </w:p>
        </w:tc>
        <w:tc>
          <w:tcPr>
            <w:tcW w:w="1000" w:type="dxa"/>
            <w:vAlign w:val="bottom"/>
            <w:gridSpan w:val="2"/>
            <w:shd w:val="clear" w:color="auto" w:fill="CCEEFF"/>
          </w:tcPr>
          <w:p>
            <w:pPr>
              <w:jc w:val="right"/>
              <w:ind w:right="180"/>
              <w:spacing w:after="0" w:line="230" w:lineRule="exact"/>
              <w:rPr>
                <w:sz w:val="20"/>
                <w:szCs w:val="20"/>
                <w:color w:val="auto"/>
              </w:rPr>
            </w:pPr>
            <w:r>
              <w:rPr>
                <w:rFonts w:ascii="Arial" w:cs="Arial" w:eastAsia="Arial" w:hAnsi="Arial"/>
                <w:sz w:val="18"/>
                <w:szCs w:val="18"/>
                <w:color w:val="auto"/>
                <w:w w:val="95"/>
              </w:rPr>
              <w:t>101,000</w:t>
            </w:r>
            <w:r>
              <w:rPr>
                <w:rFonts w:ascii="Arial" w:cs="Arial" w:eastAsia="Arial" w:hAnsi="Arial"/>
                <w:sz w:val="23"/>
                <w:szCs w:val="23"/>
                <w:color w:val="auto"/>
                <w:w w:val="95"/>
                <w:vertAlign w:val="superscript"/>
              </w:rPr>
              <w:t>(4)</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125,013</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125,197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351,210</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John M. Siebert, Ph.D.</w:t>
            </w:r>
          </w:p>
        </w:tc>
        <w:tc>
          <w:tcPr>
            <w:tcW w:w="1000" w:type="dxa"/>
            <w:vAlign w:val="bottom"/>
            <w:gridSpan w:val="2"/>
          </w:tcPr>
          <w:p>
            <w:pPr>
              <w:jc w:val="right"/>
              <w:ind w:right="180"/>
              <w:spacing w:after="0" w:line="230" w:lineRule="exact"/>
              <w:rPr>
                <w:sz w:val="20"/>
                <w:szCs w:val="20"/>
                <w:color w:val="auto"/>
              </w:rPr>
            </w:pPr>
            <w:r>
              <w:rPr>
                <w:rFonts w:ascii="Arial" w:cs="Arial" w:eastAsia="Arial" w:hAnsi="Arial"/>
                <w:sz w:val="18"/>
                <w:szCs w:val="18"/>
                <w:color w:val="auto"/>
              </w:rPr>
              <w:t>82,500</w:t>
            </w:r>
            <w:r>
              <w:rPr>
                <w:rFonts w:ascii="Arial" w:cs="Arial" w:eastAsia="Arial" w:hAnsi="Arial"/>
                <w:sz w:val="23"/>
                <w:szCs w:val="23"/>
                <w:color w:val="auto"/>
                <w:vertAlign w:val="superscript"/>
              </w:rPr>
              <w:t>(5)</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125,013</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125,197</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332,710</w:t>
            </w:r>
          </w:p>
        </w:tc>
      </w:tr>
      <w:tr>
        <w:trPr>
          <w:trHeight w:val="23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Carrolee Barlow, M.D., Ph.D.</w:t>
            </w:r>
          </w:p>
        </w:tc>
        <w:tc>
          <w:tcPr>
            <w:tcW w:w="1000" w:type="dxa"/>
            <w:vAlign w:val="bottom"/>
            <w:gridSpan w:val="2"/>
            <w:shd w:val="clear" w:color="auto" w:fill="CCEEFF"/>
          </w:tcPr>
          <w:p>
            <w:pPr>
              <w:jc w:val="right"/>
              <w:ind w:right="180"/>
              <w:spacing w:after="0" w:line="230" w:lineRule="exact"/>
              <w:rPr>
                <w:sz w:val="20"/>
                <w:szCs w:val="20"/>
                <w:color w:val="auto"/>
              </w:rPr>
            </w:pPr>
            <w:r>
              <w:rPr>
                <w:rFonts w:ascii="Arial" w:cs="Arial" w:eastAsia="Arial" w:hAnsi="Arial"/>
                <w:sz w:val="18"/>
                <w:szCs w:val="18"/>
                <w:color w:val="auto"/>
              </w:rPr>
              <w:t>50,000</w:t>
            </w:r>
            <w:r>
              <w:rPr>
                <w:rFonts w:ascii="Arial" w:cs="Arial" w:eastAsia="Arial" w:hAnsi="Arial"/>
                <w:sz w:val="23"/>
                <w:szCs w:val="23"/>
                <w:color w:val="auto"/>
                <w:vertAlign w:val="superscript"/>
              </w:rPr>
              <w:t>(6)</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125,013</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125,197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-728345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-728345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-728345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-728345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146050</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760" w:right="1059" w:hanging="360"/>
        <w:spacing w:after="0" w:line="308"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represent the grant date fair value of our common stock calculated in accordance with ASC 718. The grant date of each stock and option award was February 19, 2021.</w:t>
      </w:r>
    </w:p>
    <w:p>
      <w:pPr>
        <w:spacing w:after="0" w:line="11" w:lineRule="exact"/>
        <w:rPr>
          <w:rFonts w:ascii="Arial" w:cs="Arial" w:eastAsia="Arial" w:hAnsi="Arial"/>
          <w:sz w:val="17"/>
          <w:szCs w:val="17"/>
          <w:color w:val="auto"/>
        </w:rPr>
      </w:pPr>
    </w:p>
    <w:p>
      <w:pPr>
        <w:ind w:left="760" w:right="559" w:hanging="360"/>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Gemayel received a $50,000 annual Board retainer and $17,500 for his service as a member of the Audit Committee and the Governance and Nominating Committee.</w:t>
      </w:r>
    </w:p>
    <w:p>
      <w:pPr>
        <w:spacing w:after="0" w:line="21" w:lineRule="exact"/>
        <w:rPr>
          <w:rFonts w:ascii="Arial" w:cs="Arial" w:eastAsia="Arial" w:hAnsi="Arial"/>
          <w:sz w:val="18"/>
          <w:szCs w:val="18"/>
          <w:color w:val="auto"/>
        </w:rPr>
      </w:pPr>
    </w:p>
    <w:p>
      <w:pPr>
        <w:ind w:left="760" w:right="699" w:hanging="360"/>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Hudson received a $50,000 annual Board retainer, $25,000 for service as Chairman of the Audit Committee, and $10,000 for his service as a member of the Compensation Committee.</w:t>
      </w:r>
    </w:p>
    <w:p>
      <w:pPr>
        <w:spacing w:after="0" w:line="21" w:lineRule="exact"/>
        <w:rPr>
          <w:rFonts w:ascii="Arial" w:cs="Arial" w:eastAsia="Arial" w:hAnsi="Arial"/>
          <w:sz w:val="18"/>
          <w:szCs w:val="18"/>
          <w:color w:val="auto"/>
        </w:rPr>
      </w:pPr>
    </w:p>
    <w:p>
      <w:pPr>
        <w:jc w:val="both"/>
        <w:ind w:left="760" w:right="559" w:hanging="360"/>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Newhall received a $50,000 annual Board retainer, a $30,000 retainer for his service as Chairman of the Board, $11,000 for his service as Chairman of the Governance and Nominating Committee, and $10,000 for his service as a member of the Compensation Committee.</w:t>
      </w:r>
    </w:p>
    <w:p>
      <w:pPr>
        <w:spacing w:after="0" w:line="35" w:lineRule="exact"/>
        <w:rPr>
          <w:rFonts w:ascii="Arial" w:cs="Arial" w:eastAsia="Arial" w:hAnsi="Arial"/>
          <w:sz w:val="18"/>
          <w:szCs w:val="18"/>
          <w:color w:val="auto"/>
        </w:rPr>
      </w:pPr>
    </w:p>
    <w:p>
      <w:pPr>
        <w:ind w:left="760" w:right="979" w:hanging="360"/>
        <w:spacing w:after="0" w:line="306"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Dr. Siebert received a $50,000 annual Board retainer, $20,000 for his service as Chairman of the Compensation Committee, and $12,500 for his service as a member of the Audit Committee.</w:t>
      </w:r>
    </w:p>
    <w:p>
      <w:pPr>
        <w:spacing w:after="0" w:line="1" w:lineRule="exact"/>
        <w:rPr>
          <w:rFonts w:ascii="Arial" w:cs="Arial" w:eastAsia="Arial" w:hAnsi="Arial"/>
          <w:sz w:val="17"/>
          <w:szCs w:val="17"/>
          <w:color w:val="auto"/>
        </w:rPr>
      </w:pPr>
    </w:p>
    <w:p>
      <w:pPr>
        <w:ind w:left="760" w:hanging="360"/>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Barlow received a $50,000 annual Board retainer.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1" w:name="page42"/>
    <w:bookmarkEnd w:id="41"/>
    <w:p>
      <w:pPr>
        <w:ind w:left="400"/>
        <w:spacing w:after="0"/>
        <w:rPr>
          <w:sz w:val="20"/>
          <w:szCs w:val="20"/>
          <w:color w:val="auto"/>
        </w:rPr>
      </w:pPr>
      <w:r>
        <w:rPr>
          <w:rFonts w:ascii="Arial" w:cs="Arial" w:eastAsia="Arial" w:hAnsi="Arial"/>
          <w:sz w:val="18"/>
          <w:szCs w:val="18"/>
          <w:b w:val="1"/>
          <w:bCs w:val="1"/>
          <w:i w:val="1"/>
          <w:iCs w:val="1"/>
          <w:color w:val="auto"/>
        </w:rPr>
        <w:t>Equity Awards</w:t>
      </w:r>
    </w:p>
    <w:p>
      <w:pPr>
        <w:spacing w:after="0" w:line="144" w:lineRule="exact"/>
        <w:rPr>
          <w:sz w:val="20"/>
          <w:szCs w:val="20"/>
          <w:color w:val="auto"/>
        </w:rPr>
      </w:pPr>
    </w:p>
    <w:p>
      <w:pPr>
        <w:ind w:left="400" w:right="519" w:firstLine="360"/>
        <w:spacing w:after="0" w:line="308" w:lineRule="auto"/>
        <w:rPr>
          <w:sz w:val="20"/>
          <w:szCs w:val="20"/>
          <w:color w:val="auto"/>
        </w:rPr>
      </w:pPr>
      <w:r>
        <w:rPr>
          <w:rFonts w:ascii="Arial" w:cs="Arial" w:eastAsia="Arial" w:hAnsi="Arial"/>
          <w:sz w:val="17"/>
          <w:szCs w:val="17"/>
          <w:color w:val="auto"/>
        </w:rPr>
        <w:t>In addition to the cash retainers set forth above, for 2021, the Compensation Committee recommended and the Board of Directors approved the following equity awards to our non-employee directors.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Stock Option Awards</w:t>
      </w:r>
    </w:p>
    <w:p>
      <w:pPr>
        <w:spacing w:after="0" w:line="158" w:lineRule="exact"/>
        <w:rPr>
          <w:sz w:val="20"/>
          <w:szCs w:val="20"/>
          <w:color w:val="auto"/>
        </w:rPr>
      </w:pPr>
    </w:p>
    <w:p>
      <w:pPr>
        <w:ind w:left="400" w:right="419" w:firstLine="360"/>
        <w:spacing w:after="0" w:line="257" w:lineRule="auto"/>
        <w:rPr>
          <w:sz w:val="20"/>
          <w:szCs w:val="20"/>
          <w:color w:val="auto"/>
        </w:rPr>
      </w:pPr>
      <w:r>
        <w:rPr>
          <w:rFonts w:ascii="Arial" w:cs="Arial" w:eastAsia="Arial" w:hAnsi="Arial"/>
          <w:sz w:val="18"/>
          <w:szCs w:val="18"/>
          <w:color w:val="auto"/>
        </w:rPr>
        <w:t>Each non-employee director received 50% of the grantee’s equity award as non-statutory stock options to purchase shares of the Company’s Common Stock. The options granted to non-employee directors have an exercise price of $29.61, which is equal to the closing price of the Company’s Common Stock on the date of the grant, and are subject to a ten-year term and vest at the end of the one-year period following the date of grant.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Restricted Stock Unit Awards</w:t>
      </w:r>
    </w:p>
    <w:p>
      <w:pPr>
        <w:spacing w:after="0" w:line="158" w:lineRule="exact"/>
        <w:rPr>
          <w:sz w:val="20"/>
          <w:szCs w:val="20"/>
          <w:color w:val="auto"/>
        </w:rPr>
      </w:pPr>
    </w:p>
    <w:p>
      <w:pPr>
        <w:ind w:left="400" w:right="439" w:firstLine="360"/>
        <w:spacing w:after="0" w:line="257" w:lineRule="auto"/>
        <w:rPr>
          <w:sz w:val="20"/>
          <w:szCs w:val="20"/>
          <w:color w:val="auto"/>
        </w:rPr>
      </w:pPr>
      <w:r>
        <w:rPr>
          <w:rFonts w:ascii="Arial" w:cs="Arial" w:eastAsia="Arial" w:hAnsi="Arial"/>
          <w:sz w:val="18"/>
          <w:szCs w:val="18"/>
          <w:color w:val="auto"/>
        </w:rPr>
        <w:t>Each non-employee director received 50% of the grantee’s equity award in restricted stock units equal to $125,000 of the Company’s Common Stock, which resulted in a grant date fair value of $125,013. These restricted stock unit awards vest at the end of the one-year period following the date of grant and are subject to forfeiture if the grantee ceases to be a member of the Board of Directors for any reason prior to the award’s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400" w:right="639" w:firstLine="360"/>
        <w:spacing w:after="0" w:line="279" w:lineRule="auto"/>
        <w:rPr>
          <w:sz w:val="20"/>
          <w:szCs w:val="20"/>
          <w:color w:val="auto"/>
        </w:rPr>
      </w:pPr>
      <w:r>
        <w:rPr>
          <w:rFonts w:ascii="Arial" w:cs="Arial" w:eastAsia="Arial" w:hAnsi="Arial"/>
          <w:sz w:val="17"/>
          <w:szCs w:val="17"/>
          <w:color w:val="auto"/>
        </w:rPr>
        <w:t>The Audit Committee has reviewed and discussed our audited consolidated financial statements with management. The Audit Committee has discussed the matters required to be discussed by Auditing Standards No. 1301 “Communication with Audit Committees,” as adopted by the Public Company Accounting Oversight Board with KPMG LLP, our independent registered public accounting firm.</w:t>
      </w:r>
    </w:p>
    <w:p>
      <w:pPr>
        <w:spacing w:after="0" w:line="104" w:lineRule="exact"/>
        <w:rPr>
          <w:sz w:val="20"/>
          <w:szCs w:val="20"/>
          <w:color w:val="auto"/>
        </w:rPr>
      </w:pPr>
    </w:p>
    <w:p>
      <w:pPr>
        <w:ind w:left="400" w:right="439" w:firstLine="360"/>
        <w:spacing w:after="0" w:line="257" w:lineRule="auto"/>
        <w:rPr>
          <w:sz w:val="20"/>
          <w:szCs w:val="20"/>
          <w:color w:val="auto"/>
        </w:rPr>
      </w:pPr>
      <w:r>
        <w:rPr>
          <w:rFonts w:ascii="Arial" w:cs="Arial" w:eastAsia="Arial" w:hAnsi="Arial"/>
          <w:sz w:val="18"/>
          <w:szCs w:val="18"/>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20" w:lineRule="exact"/>
        <w:rPr>
          <w:sz w:val="20"/>
          <w:szCs w:val="20"/>
          <w:color w:val="auto"/>
        </w:rPr>
      </w:pPr>
    </w:p>
    <w:p>
      <w:pPr>
        <w:ind w:left="400" w:right="599" w:firstLine="360"/>
        <w:spacing w:after="0" w:line="263" w:lineRule="auto"/>
        <w:rPr>
          <w:sz w:val="20"/>
          <w:szCs w:val="20"/>
          <w:color w:val="auto"/>
        </w:rPr>
      </w:pPr>
      <w:r>
        <w:rPr>
          <w:rFonts w:ascii="Arial" w:cs="Arial" w:eastAsia="Arial" w:hAnsi="Arial"/>
          <w:sz w:val="18"/>
          <w:szCs w:val="18"/>
          <w:color w:val="auto"/>
        </w:rPr>
        <w:t>Based on the review and discussions referenced above, the Audit Committee recommended to our Board of Directors that our audited consolidated financial statements be included in our Annual Report on Form 10-K for the year ended December 31, 2021.</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Frederick M. Hudson (Chair),</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Chair Georges Gemayel, Ph.D.,</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John M. Siebert,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61" w:lineRule="exact"/>
        <w:rPr>
          <w:sz w:val="20"/>
          <w:szCs w:val="20"/>
          <w:color w:val="auto"/>
        </w:rPr>
      </w:pPr>
    </w:p>
    <w:p>
      <w:pPr>
        <w:ind w:left="400" w:right="479" w:firstLine="360"/>
        <w:spacing w:after="0" w:line="243" w:lineRule="auto"/>
        <w:rPr>
          <w:sz w:val="20"/>
          <w:szCs w:val="20"/>
          <w:color w:val="auto"/>
        </w:rPr>
      </w:pPr>
      <w:r>
        <w:rPr>
          <w:rFonts w:ascii="Arial" w:cs="Arial" w:eastAsia="Arial" w:hAnsi="Arial"/>
          <w:sz w:val="18"/>
          <w:szCs w:val="18"/>
          <w:color w:val="auto"/>
        </w:rPr>
        <w:t>The Audit Committee of the Board of Directors has selected KPMG LLP as our independent registered public accounting firm (IRPA Firm) for the fiscal year ending December 31, 2022. The IRPA Firm has served as our independent auditors since October 2015. The IRPA Firm is considered by management to be well qualified.</w:t>
      </w:r>
    </w:p>
    <w:p>
      <w:pPr>
        <w:spacing w:after="0" w:line="66" w:lineRule="exact"/>
        <w:rPr>
          <w:sz w:val="20"/>
          <w:szCs w:val="20"/>
          <w:color w:val="auto"/>
        </w:rPr>
      </w:pPr>
    </w:p>
    <w:p>
      <w:pPr>
        <w:ind w:left="400" w:right="679" w:firstLine="360"/>
        <w:spacing w:after="0" w:line="238" w:lineRule="auto"/>
        <w:rPr>
          <w:sz w:val="20"/>
          <w:szCs w:val="20"/>
          <w:color w:val="auto"/>
        </w:rPr>
      </w:pPr>
      <w:r>
        <w:rPr>
          <w:rFonts w:ascii="Arial" w:cs="Arial" w:eastAsia="Arial" w:hAnsi="Arial"/>
          <w:sz w:val="18"/>
          <w:szCs w:val="18"/>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the Company’s best interests and the best interests of the stockholders.</w:t>
      </w:r>
    </w:p>
    <w:p>
      <w:pPr>
        <w:spacing w:after="0" w:line="72" w:lineRule="exact"/>
        <w:rPr>
          <w:sz w:val="20"/>
          <w:szCs w:val="20"/>
          <w:color w:val="auto"/>
        </w:rPr>
      </w:pPr>
    </w:p>
    <w:p>
      <w:pPr>
        <w:ind w:left="400" w:right="759" w:firstLine="360"/>
        <w:spacing w:after="0" w:line="261" w:lineRule="auto"/>
        <w:rPr>
          <w:sz w:val="20"/>
          <w:szCs w:val="20"/>
          <w:color w:val="auto"/>
        </w:rPr>
      </w:pPr>
      <w:r>
        <w:rPr>
          <w:rFonts w:ascii="Arial" w:cs="Arial" w:eastAsia="Arial" w:hAnsi="Arial"/>
          <w:sz w:val="18"/>
          <w:szCs w:val="18"/>
          <w:color w:val="auto"/>
        </w:rPr>
        <w:t>A representative from the IRPA Firm is expected to attend the Annual Meeting of Stockholders and will have the opportunity to respond to appropriate questions of stockholders.</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in thousands, the aggregate billed fees for services rendered to us 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KPMG LLP through March 31, 2022 as described below ($ in thousands):</w:t>
      </w:r>
    </w:p>
    <w:p>
      <w:pPr>
        <w:spacing w:after="0" w:line="147"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Audit-related fees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All other fees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-736600</wp:posOffset>
            </wp:positionV>
            <wp:extent cx="44234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47" w:lineRule="exact"/>
        <w:rPr>
          <w:sz w:val="20"/>
          <w:szCs w:val="20"/>
          <w:color w:val="auto"/>
        </w:rPr>
      </w:pPr>
    </w:p>
    <w:p>
      <w:pPr>
        <w:ind w:left="400" w:right="43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These amounts include fees for professional services rendered for the audit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annual financial statements, review of the Company’s financial statements included in the Company’s quarterly reports, audit of the Company’s internal control over financial reporting, audit services with respect to acquired entities, review of documents filed with the SEC, consents and certain accounting consultations in connection with the audits.</w:t>
      </w:r>
    </w:p>
    <w:p>
      <w:pPr>
        <w:spacing w:after="0" w:line="68" w:lineRule="exact"/>
        <w:rPr>
          <w:sz w:val="20"/>
          <w:szCs w:val="20"/>
          <w:color w:val="auto"/>
        </w:rPr>
      </w:pPr>
    </w:p>
    <w:p>
      <w:pPr>
        <w:ind w:left="400" w:right="439" w:firstLine="360"/>
        <w:spacing w:after="0" w:line="279"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Audit-related fees are for assurance and related services that are reasonably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performance of the audit or review of the Company’s consolidated financial statements and are not reported under “Audit Fees.” These fees include professional services incurred in connection with accounting consultations and consultation regarding financial accounting and reporting standards.</w:t>
      </w:r>
    </w:p>
    <w:p>
      <w:pPr>
        <w:spacing w:after="0" w:line="36" w:lineRule="exact"/>
        <w:rPr>
          <w:sz w:val="20"/>
          <w:szCs w:val="20"/>
          <w:color w:val="auto"/>
        </w:rPr>
      </w:pPr>
    </w:p>
    <w:p>
      <w:pPr>
        <w:ind w:left="400" w:right="599" w:firstLine="36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Tax fees consist primarily of professional services for corporate tax compliance,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tax returns and consultation services.</w:t>
      </w:r>
    </w:p>
    <w:p>
      <w:pPr>
        <w:spacing w:after="0" w:line="49" w:lineRule="exact"/>
        <w:rPr>
          <w:sz w:val="20"/>
          <w:szCs w:val="20"/>
          <w:color w:val="auto"/>
        </w:rPr>
      </w:pPr>
    </w:p>
    <w:p>
      <w:pPr>
        <w:ind w:left="400" w:right="539" w:firstLine="360"/>
        <w:spacing w:after="0" w:line="263" w:lineRule="auto"/>
        <w:rPr>
          <w:sz w:val="20"/>
          <w:szCs w:val="20"/>
          <w:color w:val="auto"/>
        </w:rPr>
      </w:pPr>
      <w:r>
        <w:rPr>
          <w:rFonts w:ascii="Arial" w:cs="Arial" w:eastAsia="Arial" w:hAnsi="Arial"/>
          <w:sz w:val="18"/>
          <w:szCs w:val="18"/>
          <w:color w:val="auto"/>
        </w:rPr>
        <w:t>The Audit Committee has reviewed the IRPA Firm’s provision of services and has determined that these services are compatible with maintaining the auditor’s independence. The IRPA Firm did not provide any non-audit services for us in 2021 or 2020.</w:t>
      </w:r>
    </w:p>
    <w:p>
      <w:pPr>
        <w:spacing w:after="0" w:line="62" w:lineRule="exact"/>
        <w:rPr>
          <w:sz w:val="20"/>
          <w:szCs w:val="20"/>
          <w:color w:val="auto"/>
        </w:rPr>
      </w:pPr>
    </w:p>
    <w:p>
      <w:pPr>
        <w:ind w:left="400" w:right="439" w:firstLine="360"/>
        <w:spacing w:after="0" w:line="269" w:lineRule="auto"/>
        <w:rPr>
          <w:sz w:val="20"/>
          <w:szCs w:val="20"/>
          <w:color w:val="auto"/>
        </w:rPr>
      </w:pPr>
      <w:r>
        <w:rPr>
          <w:rFonts w:ascii="Arial" w:cs="Arial" w:eastAsia="Arial" w:hAnsi="Arial"/>
          <w:sz w:val="17"/>
          <w:szCs w:val="17"/>
          <w:color w:val="auto"/>
        </w:rPr>
        <w:t>All of the audit services provided by KPMG LLP described above were approved by the Audit Committee pursuant to the SEC rule that requires audit committee pre-approval of audit and non-audit services provided by Supernus’ independent auditors.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w:t>
      </w:r>
    </w:p>
    <w:p>
      <w:pPr>
        <w:spacing w:after="0" w:line="100" w:lineRule="exact"/>
        <w:rPr>
          <w:sz w:val="20"/>
          <w:szCs w:val="20"/>
          <w:color w:val="auto"/>
        </w:rPr>
      </w:pPr>
    </w:p>
    <w:p>
      <w:pPr>
        <w:ind w:left="400" w:right="619" w:firstLine="360"/>
        <w:spacing w:after="0" w:line="312" w:lineRule="auto"/>
        <w:rPr>
          <w:sz w:val="20"/>
          <w:szCs w:val="20"/>
          <w:color w:val="auto"/>
        </w:rPr>
      </w:pPr>
      <w:r>
        <w:rPr>
          <w:rFonts w:ascii="Arial" w:cs="Arial" w:eastAsia="Arial" w:hAnsi="Arial"/>
          <w:sz w:val="17"/>
          <w:szCs w:val="17"/>
          <w:b w:val="1"/>
          <w:bCs w:val="1"/>
          <w:color w:val="auto"/>
        </w:rPr>
        <w:t>The Board of Directors recommends a vote “FOR” the ratification of the selection of KPMG LLP as our independent public accounting firm for the year ending December 31, 2022.</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30"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8"/>
          <w:szCs w:val="18"/>
          <w:color w:val="auto"/>
        </w:rPr>
        <w:t>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three years. We presently submit this non-binding “say-on-pay” advisory vote to our stockholders annually, so the next “say-on-pay” advisory vote will be at the Annual Meeting of Stockholders to be held in 2023. In this Proposal 3, we are asking our stockholders to approve, on a non-binding basis, the compensation paid to our NEOs.</w:t>
      </w:r>
    </w:p>
    <w:p>
      <w:pPr>
        <w:spacing w:after="0" w:line="129" w:lineRule="exact"/>
        <w:rPr>
          <w:sz w:val="20"/>
          <w:szCs w:val="20"/>
          <w:color w:val="auto"/>
        </w:rPr>
      </w:pPr>
    </w:p>
    <w:p>
      <w:pPr>
        <w:ind w:left="400" w:right="439" w:firstLine="360"/>
        <w:spacing w:after="0" w:line="252" w:lineRule="auto"/>
        <w:rPr>
          <w:sz w:val="20"/>
          <w:szCs w:val="20"/>
          <w:color w:val="auto"/>
        </w:rPr>
      </w:pPr>
      <w:r>
        <w:rPr>
          <w:rFonts w:ascii="Arial" w:cs="Arial" w:eastAsia="Arial" w:hAnsi="Arial"/>
          <w:sz w:val="18"/>
          <w:szCs w:val="18"/>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benchmarking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2021 reflects and supports those policies and practices.</w:t>
      </w:r>
    </w:p>
    <w:p>
      <w:pPr>
        <w:spacing w:after="0" w:line="130" w:lineRule="exact"/>
        <w:rPr>
          <w:sz w:val="20"/>
          <w:szCs w:val="20"/>
          <w:color w:val="auto"/>
        </w:rPr>
      </w:pPr>
    </w:p>
    <w:p>
      <w:pPr>
        <w:ind w:left="400" w:right="559" w:firstLine="360"/>
        <w:spacing w:after="0" w:line="277" w:lineRule="auto"/>
        <w:rPr>
          <w:sz w:val="20"/>
          <w:szCs w:val="20"/>
          <w:color w:val="auto"/>
        </w:rPr>
      </w:pPr>
      <w:r>
        <w:rPr>
          <w:rFonts w:ascii="Arial" w:cs="Arial" w:eastAsia="Arial" w:hAnsi="Arial"/>
          <w:sz w:val="18"/>
          <w:szCs w:val="18"/>
          <w:color w:val="auto"/>
        </w:rPr>
        <w:t>Our Compensation Committee and Board of Directors will take into consideration the outcome of this advisory vote in determining future compensation decisions.</w:t>
      </w:r>
    </w:p>
    <w:p>
      <w:pPr>
        <w:spacing w:after="0" w:line="85" w:lineRule="exact"/>
        <w:rPr>
          <w:sz w:val="20"/>
          <w:szCs w:val="20"/>
          <w:color w:val="auto"/>
        </w:rPr>
      </w:pPr>
    </w:p>
    <w:p>
      <w:pPr>
        <w:ind w:left="400" w:right="679" w:firstLine="360"/>
        <w:spacing w:after="0" w:line="347" w:lineRule="auto"/>
        <w:rPr>
          <w:sz w:val="20"/>
          <w:szCs w:val="20"/>
          <w:color w:val="auto"/>
        </w:rPr>
      </w:pPr>
      <w:r>
        <w:rPr>
          <w:rFonts w:ascii="Arial" w:cs="Arial" w:eastAsia="Arial" w:hAnsi="Arial"/>
          <w:sz w:val="16"/>
          <w:szCs w:val="16"/>
          <w:b w:val="1"/>
          <w:bCs w:val="1"/>
          <w:color w:val="auto"/>
        </w:rPr>
        <w:t>The Board of Directors recommends a vote “FOR” the proposal to approve, on a non-binding basis, the compensation paid to our named executive officers,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jc w:val="both"/>
        <w:ind w:left="400" w:right="499" w:firstLine="360"/>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w:t>
      </w:r>
    </w:p>
    <w:p>
      <w:pPr>
        <w:spacing w:after="0" w:line="120" w:lineRule="exact"/>
        <w:rPr>
          <w:sz w:val="20"/>
          <w:szCs w:val="20"/>
          <w:color w:val="auto"/>
        </w:rPr>
      </w:pPr>
    </w:p>
    <w:p>
      <w:pPr>
        <w:jc w:val="both"/>
        <w:ind w:left="400" w:right="519" w:firstLine="360"/>
        <w:spacing w:after="0" w:line="286" w:lineRule="auto"/>
        <w:rPr>
          <w:sz w:val="20"/>
          <w:szCs w:val="20"/>
          <w:color w:val="auto"/>
        </w:rPr>
      </w:pPr>
      <w:r>
        <w:rPr>
          <w:rFonts w:ascii="Arial" w:cs="Arial" w:eastAsia="Arial" w:hAnsi="Arial"/>
          <w:sz w:val="17"/>
          <w:szCs w:val="17"/>
          <w:color w:val="auto"/>
        </w:rPr>
        <w:t>Based solely on our review of Forms 3 and 4 and amendments thereto furnished to us during the 2021 fiscal year, including Forms 5 and amendments thereto furnished to us, and on written representations from the Company’s directors and executive officers, we believe that all such forms were timely filed in 2021.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NEXT YEAR’S ANNUAL MEETING</w:t>
      </w:r>
    </w:p>
    <w:p>
      <w:pPr>
        <w:spacing w:after="0" w:line="162" w:lineRule="exact"/>
        <w:rPr>
          <w:sz w:val="20"/>
          <w:szCs w:val="20"/>
          <w:color w:val="auto"/>
        </w:rPr>
      </w:pPr>
    </w:p>
    <w:p>
      <w:pPr>
        <w:ind w:left="400" w:right="499" w:firstLine="360"/>
        <w:spacing w:after="0" w:line="254" w:lineRule="auto"/>
        <w:rPr>
          <w:sz w:val="20"/>
          <w:szCs w:val="20"/>
          <w:color w:val="auto"/>
        </w:rPr>
      </w:pPr>
      <w:r>
        <w:rPr>
          <w:rFonts w:ascii="Arial" w:cs="Arial" w:eastAsia="Arial" w:hAnsi="Arial"/>
          <w:sz w:val="18"/>
          <w:szCs w:val="18"/>
          <w:color w:val="auto"/>
        </w:rPr>
        <w:t>Stockholders intending to submit proposals (other than a director nomination) to be included in our proxy statement for the Annual Meeting of Stockholders to be held in 2023 must send their proposals to the Secretary of Supernus at 9715 Key West Avenue, Rockville, Maryland 20850 no later than January 2, 2023.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14" w:lineRule="exact"/>
        <w:rPr>
          <w:sz w:val="20"/>
          <w:szCs w:val="20"/>
          <w:color w:val="auto"/>
        </w:rPr>
      </w:pPr>
    </w:p>
    <w:p>
      <w:pPr>
        <w:ind w:left="400" w:right="499" w:firstLine="360"/>
        <w:spacing w:after="0" w:line="273" w:lineRule="auto"/>
        <w:rPr>
          <w:sz w:val="20"/>
          <w:szCs w:val="20"/>
          <w:color w:val="auto"/>
        </w:rPr>
      </w:pPr>
      <w:r>
        <w:rPr>
          <w:rFonts w:ascii="Arial" w:cs="Arial" w:eastAsia="Arial" w:hAnsi="Arial"/>
          <w:sz w:val="17"/>
          <w:szCs w:val="17"/>
          <w:color w:val="auto"/>
        </w:rPr>
        <w:t>Stockholders intending to present proposals at our 2023 Annual Meeting, and not intending to have such proposals included in our 2023 proxy statement, must send their written proposal to the Secretary of Supernus at 9715 Key West Avenue, Rockville, Maryland 20850 no earlier than February 17, 2023 and no later than March 19, 2023, and such written proposal must be in accordance with the requirements set forth in our Amended and Restated Bylaws. If notification of a stockholder proposal is not received by the above date, we may vote, in our discretion. any and all of the proxies received in that solicitation.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ind w:left="400" w:right="499" w:firstLine="360"/>
        <w:spacing w:after="0" w:line="263" w:lineRule="auto"/>
        <w:rPr>
          <w:sz w:val="20"/>
          <w:szCs w:val="20"/>
          <w:color w:val="auto"/>
        </w:rPr>
      </w:pPr>
      <w:r>
        <w:rPr>
          <w:rFonts w:ascii="Arial" w:cs="Arial" w:eastAsia="Arial" w:hAnsi="Arial"/>
          <w:sz w:val="18"/>
          <w:szCs w:val="18"/>
          <w:color w:val="auto"/>
        </w:rPr>
        <w:t>Our Annual Report to Stockholders (which includes our consolidated financial statements for the year ended December 31, 2021) accompanies this Proxy Statement. The Annual Report to Stockholders does not constitute a part of the proxy solicitation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217805</wp:posOffset>
            </wp:positionV>
            <wp:extent cx="6831965" cy="8354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835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319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8319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30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60"/>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6"/>
    </w:lvl>
    <w:lvl w:ilvl="1">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
      <w:numFmt w:val="bullet"/>
      <w:start w:val="1"/>
    </w:lvl>
    <w:lvl w:ilvl="1">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upperLetter"/>
      <w:start w:val="2"/>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2022-05-02T15:12:16Z</dcterms:created>
  <dcterms:modified xsi:type="dcterms:W3CDTF">2022-05-02T15:12:16Z</dcterms:modified>
</cp:coreProperties>
</file>