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9, 2023</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Supernus Pharmaceuticals, Inc.</w:t>
      </w:r>
    </w:p>
    <w:p>
      <w:pPr>
        <w:spacing w:after="0" w:line="280" w:lineRule="exact"/>
        <w:rPr>
          <w:sz w:val="24"/>
          <w:szCs w:val="24"/>
          <w:color w:val="auto"/>
        </w:rPr>
      </w:pPr>
    </w:p>
    <w:tbl>
      <w:tblPr>
        <w:tblLayout w:type="fixed"/>
        <w:tblInd w:w="3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spacing w:after="0"/>
              <w:rPr>
                <w:sz w:val="24"/>
                <w:szCs w:val="24"/>
                <w:color w:val="auto"/>
              </w:rPr>
            </w:pPr>
          </w:p>
        </w:tc>
        <w:tc>
          <w:tcPr>
            <w:tcW w:w="25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001-35518</w:t>
            </w:r>
          </w:p>
        </w:tc>
        <w:tc>
          <w:tcPr>
            <w:tcW w:w="2860" w:type="dxa"/>
            <w:vAlign w:val="bottom"/>
          </w:tcPr>
          <w:p>
            <w:pPr>
              <w:jc w:val="right"/>
              <w:ind w:right="790"/>
              <w:spacing w:after="0"/>
              <w:rPr>
                <w:sz w:val="20"/>
                <w:szCs w:val="20"/>
                <w:color w:val="auto"/>
              </w:rPr>
            </w:pPr>
            <w:r>
              <w:rPr>
                <w:rFonts w:ascii="Arial" w:cs="Arial" w:eastAsia="Arial" w:hAnsi="Arial"/>
                <w:sz w:val="18"/>
                <w:szCs w:val="18"/>
                <w:b w:val="1"/>
                <w:bCs w:val="1"/>
                <w:color w:val="auto"/>
              </w:rPr>
              <w:t>20-2590184</w:t>
            </w:r>
          </w:p>
        </w:tc>
        <w:tc>
          <w:tcPr>
            <w:tcW w:w="0" w:type="dxa"/>
            <w:vAlign w:val="bottom"/>
          </w:tcPr>
          <w:p>
            <w:pPr>
              <w:spacing w:after="0"/>
              <w:rPr>
                <w:sz w:val="1"/>
                <w:szCs w:val="1"/>
                <w:color w:val="auto"/>
              </w:rPr>
            </w:pPr>
          </w:p>
        </w:tc>
      </w:tr>
      <w:tr>
        <w:trPr>
          <w:trHeight w:val="189"/>
        </w:trPr>
        <w:tc>
          <w:tcPr>
            <w:tcW w:w="3360" w:type="dxa"/>
            <w:vAlign w:val="bottom"/>
          </w:tcPr>
          <w:p>
            <w:pPr>
              <w:jc w:val="center"/>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15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9715 Key West Ave</w:t>
            </w:r>
          </w:p>
        </w:tc>
        <w:tc>
          <w:tcPr>
            <w:tcW w:w="1500" w:type="dxa"/>
            <w:vAlign w:val="bottom"/>
          </w:tcPr>
          <w:p>
            <w:pPr>
              <w:ind w:left="720"/>
              <w:spacing w:after="0"/>
              <w:rPr>
                <w:sz w:val="20"/>
                <w:szCs w:val="20"/>
                <w:color w:val="auto"/>
              </w:rPr>
            </w:pPr>
            <w:r>
              <w:rPr>
                <w:rFonts w:ascii="Arial" w:cs="Arial" w:eastAsia="Arial" w:hAnsi="Arial"/>
                <w:sz w:val="18"/>
                <w:szCs w:val="18"/>
                <w:b w:val="1"/>
                <w:bCs w:val="1"/>
                <w:color w:val="auto"/>
                <w:w w:val="96"/>
              </w:rPr>
              <w:t>Rockville</w:t>
            </w:r>
          </w:p>
        </w:tc>
        <w:tc>
          <w:tcPr>
            <w:tcW w:w="2520" w:type="dxa"/>
            <w:vAlign w:val="bottom"/>
          </w:tcPr>
          <w:p>
            <w:pPr>
              <w:ind w:left="1120"/>
              <w:spacing w:after="0"/>
              <w:rPr>
                <w:sz w:val="20"/>
                <w:szCs w:val="20"/>
                <w:color w:val="auto"/>
              </w:rPr>
            </w:pPr>
            <w:r>
              <w:rPr>
                <w:rFonts w:ascii="Arial" w:cs="Arial" w:eastAsia="Arial" w:hAnsi="Arial"/>
                <w:sz w:val="18"/>
                <w:szCs w:val="18"/>
                <w:b w:val="1"/>
                <w:bCs w:val="1"/>
                <w:color w:val="auto"/>
              </w:rPr>
              <w:t>MD</w:t>
            </w:r>
          </w:p>
        </w:tc>
        <w:tc>
          <w:tcPr>
            <w:tcW w:w="2860" w:type="dxa"/>
            <w:vAlign w:val="bottom"/>
          </w:tcPr>
          <w:p>
            <w:pPr>
              <w:jc w:val="right"/>
              <w:ind w:right="990"/>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Pr>
          <w:p>
            <w:pPr>
              <w:jc w:val="center"/>
              <w:ind w:left="1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636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3000" w:type="dxa"/>
            <w:vAlign w:val="bottom"/>
            <w:gridSpan w:val="2"/>
          </w:tcPr>
          <w:p>
            <w:pPr>
              <w:jc w:val="center"/>
              <w:ind w:right="1720"/>
              <w:spacing w:after="0"/>
              <w:rPr>
                <w:sz w:val="20"/>
                <w:szCs w:val="20"/>
                <w:color w:val="auto"/>
              </w:rPr>
            </w:pPr>
            <w:r>
              <w:rPr>
                <w:rFonts w:ascii="Arial" w:cs="Arial" w:eastAsia="Arial" w:hAnsi="Arial"/>
                <w:sz w:val="18"/>
                <w:szCs w:val="18"/>
                <w:color w:val="auto"/>
                <w:w w:val="88"/>
              </w:rPr>
              <w:t>Title of each class</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3"/>
              </w:rPr>
              <w:t>Trading Symbol</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4"/>
        </w:trPr>
        <w:tc>
          <w:tcPr>
            <w:tcW w:w="43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Common Stock, $0.001 par value per share</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SUPN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21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ind w:right="360"/>
        <w:spacing w:after="0" w:line="26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69"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9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2.02 Results of Operations and Financial Conditions.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February 9, 2023, Supernus Pharmaceuticals, Inc. issued a press release announcing that it expects to report its business results for the fourth quarter and fully year of 2022 after the market closes on Tuesday, February 28, 2023. The Company will host a conference call and webcast on Tuesday, February 28, 2023 at 4:30 p.m. E.T. to discuss its fourth quarter 2022 business and financial results. A copy of this press release is furnished as Exhibit 99.1 hereto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0"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Exhibit</w:t>
        <w:tab/>
        <w:t>Description</w:t>
      </w:r>
    </w:p>
    <w:p>
      <w:pPr>
        <w:spacing w:after="0" w:line="239" w:lineRule="exact"/>
        <w:rPr>
          <w:sz w:val="20"/>
          <w:szCs w:val="20"/>
          <w:color w:val="auto"/>
        </w:rPr>
      </w:pPr>
    </w:p>
    <w:p>
      <w:pPr>
        <w:ind w:left="940"/>
        <w:spacing w:after="0"/>
        <w:tabs>
          <w:tab w:leader="none" w:pos="15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 xml:space="preserve">Press Release Dated February 9, 2023 </w:t>
      </w:r>
      <w:r>
        <w:rPr>
          <w:rFonts w:ascii="Arial" w:cs="Arial" w:eastAsia="Arial" w:hAnsi="Arial"/>
          <w:sz w:val="16"/>
          <w:szCs w:val="16"/>
          <w:color w:val="000000"/>
        </w:rPr>
        <w:t>filed as an Exhibit pursuant to Item 2.02 hereof.</w:t>
      </w:r>
    </w:p>
    <w:p>
      <w:pPr>
        <w:spacing w:after="0" w:line="225" w:lineRule="exact"/>
        <w:rPr>
          <w:sz w:val="20"/>
          <w:szCs w:val="20"/>
          <w:color w:val="auto"/>
        </w:rPr>
      </w:pPr>
    </w:p>
    <w:p>
      <w:pPr>
        <w:ind w:left="1540" w:hanging="587"/>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SUPERNUS PHARMACEUTICALS, INC.</w:t>
      </w:r>
    </w:p>
    <w:p>
      <w:pPr>
        <w:spacing w:after="0" w:line="252" w:lineRule="exact"/>
        <w:rPr>
          <w:sz w:val="20"/>
          <w:szCs w:val="20"/>
          <w:color w:val="auto"/>
        </w:rPr>
      </w:pPr>
    </w:p>
    <w:p>
      <w:pPr>
        <w:ind w:left="680"/>
        <w:spacing w:after="0"/>
        <w:tabs>
          <w:tab w:leader="none" w:pos="5220" w:val="left"/>
          <w:tab w:leader="none" w:pos="5700" w:val="left"/>
        </w:tabs>
        <w:rPr>
          <w:sz w:val="20"/>
          <w:szCs w:val="20"/>
          <w:color w:val="auto"/>
        </w:rPr>
      </w:pPr>
      <w:r>
        <w:rPr>
          <w:rFonts w:ascii="Arial" w:cs="Arial" w:eastAsia="Arial" w:hAnsi="Arial"/>
          <w:sz w:val="18"/>
          <w:szCs w:val="18"/>
          <w:color w:val="auto"/>
        </w:rPr>
        <w:t>DATED: February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120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C. Dec</w:t>
      </w: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891"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623185"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318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Supernus Pharmaceuticals to Announce Fourth Quarter and Full Year 2022 Financial</w:t>
      </w:r>
    </w:p>
    <w:p>
      <w:pPr>
        <w:jc w:val="center"/>
        <w:spacing w:after="0"/>
        <w:rPr>
          <w:sz w:val="20"/>
          <w:szCs w:val="20"/>
          <w:color w:val="auto"/>
        </w:rPr>
      </w:pPr>
      <w:r>
        <w:rPr>
          <w:rFonts w:ascii="Arial" w:cs="Arial" w:eastAsia="Arial" w:hAnsi="Arial"/>
          <w:sz w:val="22"/>
          <w:szCs w:val="22"/>
          <w:b w:val="1"/>
          <w:bCs w:val="1"/>
          <w:color w:val="auto"/>
        </w:rPr>
        <w:t>Results and Host Conference Call on February 28, 2023</w:t>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b w:val="1"/>
          <w:bCs w:val="1"/>
          <w:color w:val="auto"/>
        </w:rPr>
        <w:t xml:space="preserve">ROCKVILLE, Md., February 9, 2023 </w:t>
      </w:r>
      <w:r>
        <w:rPr>
          <w:rFonts w:ascii="Arial" w:cs="Arial" w:eastAsia="Arial" w:hAnsi="Arial"/>
          <w:sz w:val="17"/>
          <w:szCs w:val="17"/>
          <w:color w:val="auto"/>
        </w:rPr>
        <w:t>- Supernus Pharmaceuticals, Inc. (Nasdaq: SUPN), a biopharmaceutical company focused on developing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commercializing products for the treatment of central nervous system (CNS) diseases, today announced that the Company expects to report financial and business results for the fourth quarter and full year of 2022 after the market closes on Tuesday, February 28, 2023.</w:t>
      </w:r>
    </w:p>
    <w:p>
      <w:pPr>
        <w:spacing w:after="0" w:line="1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Jack Khattar, President and CEO, and Tim Dec, Senior Vice President and CFO, will host a conference call to present the fourth quarter and full year 2022 financial and business results on Tuesday, February 28, 2023 at 4:30 p.m. ET. Following management’s prepared remarks and discussion of business results, the call will be open for questions.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live webcast will be accessible in the </w:t>
      </w:r>
      <w:r>
        <w:rPr>
          <w:rFonts w:ascii="Arial" w:cs="Arial" w:eastAsia="Arial" w:hAnsi="Arial"/>
          <w:sz w:val="17"/>
          <w:szCs w:val="17"/>
          <w:color w:val="0E32E1"/>
        </w:rPr>
        <w:t>Events &amp; Presentations</w:t>
      </w:r>
      <w:r>
        <w:rPr>
          <w:rFonts w:ascii="Arial" w:cs="Arial" w:eastAsia="Arial" w:hAnsi="Arial"/>
          <w:sz w:val="17"/>
          <w:szCs w:val="17"/>
          <w:color w:val="auto"/>
        </w:rPr>
        <w:t xml:space="preserve"> section of the Company’s Investor Relations website </w:t>
      </w:r>
      <w:r>
        <w:rPr>
          <w:rFonts w:ascii="Arial" w:cs="Arial" w:eastAsia="Arial" w:hAnsi="Arial"/>
          <w:sz w:val="17"/>
          <w:szCs w:val="17"/>
          <w:color w:val="0E32E1"/>
        </w:rPr>
        <w:t>www.supernus.com/investors</w:t>
      </w:r>
      <w:r>
        <w:rPr>
          <w:rFonts w:ascii="Arial" w:cs="Arial" w:eastAsia="Arial" w:hAnsi="Arial"/>
          <w:sz w:val="17"/>
          <w:szCs w:val="17"/>
          <w:color w:val="auto"/>
        </w:rPr>
        <w:t>.</w:t>
      </w: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Participants may also pre-register any time before the call </w:t>
      </w:r>
      <w:r>
        <w:rPr>
          <w:rFonts w:ascii="Arial" w:cs="Arial" w:eastAsia="Arial" w:hAnsi="Arial"/>
          <w:sz w:val="18"/>
          <w:szCs w:val="18"/>
          <w:color w:val="0E32E1"/>
        </w:rPr>
        <w:t>here</w:t>
      </w:r>
      <w:r>
        <w:rPr>
          <w:rFonts w:ascii="Arial" w:cs="Arial" w:eastAsia="Arial" w:hAnsi="Arial"/>
          <w:sz w:val="18"/>
          <w:szCs w:val="18"/>
          <w:color w:val="auto"/>
        </w:rPr>
        <w:t>. Once registration is completed, participants will be provided a dial-in number with a personalized conference code to access the call. Please dial in 15 minutes prior to the start time.</w:t>
      </w:r>
    </w:p>
    <w:p>
      <w:pPr>
        <w:spacing w:after="0" w:line="18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Following the live call, a replay will be available on the Company's Investor Relations website </w:t>
      </w:r>
      <w:r>
        <w:rPr>
          <w:rFonts w:ascii="Arial" w:cs="Arial" w:eastAsia="Arial" w:hAnsi="Arial"/>
          <w:sz w:val="18"/>
          <w:szCs w:val="18"/>
          <w:color w:val="0E32E1"/>
        </w:rPr>
        <w:t>www.supernus.com/investors</w:t>
      </w:r>
      <w:r>
        <w:rPr>
          <w:rFonts w:ascii="Arial" w:cs="Arial" w:eastAsia="Arial" w:hAnsi="Arial"/>
          <w:sz w:val="18"/>
          <w:szCs w:val="18"/>
          <w:color w:val="auto"/>
        </w:rPr>
        <w:t>. The webcast will be available on the Company’s website for 60 days following the live call.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Supernus Pharmaceuticals, Inc.</w:t>
      </w:r>
    </w:p>
    <w:p>
      <w:pPr>
        <w:spacing w:after="0" w:line="2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Supernus Pharmaceuticals is a biopharmaceutical company focused on developing and commercializing products for the treatment of central nervous system (CNS) diseases.</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diverse neuroscience portfolio includes approved treatments for epilepsy, migraine, ADHD, hypomobility in Parkinson’s disease (PD), cervical dystonia, chronic sialorrhea, dyskinesia in PD patients receiving levodopa-based therapy, and drug-induced extrapyramidal reactions in adult patients. We</w:t>
      </w:r>
    </w:p>
    <w:p>
      <w:pPr>
        <w:jc w:val="both"/>
        <w:spacing w:after="0" w:line="233" w:lineRule="auto"/>
        <w:rPr>
          <w:sz w:val="20"/>
          <w:szCs w:val="20"/>
          <w:color w:val="auto"/>
        </w:rPr>
      </w:pPr>
      <w:r>
        <w:rPr>
          <w:rFonts w:ascii="Arial" w:cs="Arial" w:eastAsia="Arial" w:hAnsi="Arial"/>
          <w:sz w:val="18"/>
          <w:szCs w:val="18"/>
          <w:color w:val="auto"/>
        </w:rPr>
        <w:t>are developing a broad range of novel CNS product candidates including new potential treatments for hypomobility in PD, epilepsy, depression, and other CNS disorders.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color w:val="0E32E1"/>
        </w:rPr>
        <w:t>www.supernus.com.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Jack A. Khattar, President and 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 Dec, Senior Vice President and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(301) 838-2591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Peter Vozzo</w:t>
      </w:r>
    </w:p>
    <w:p>
      <w:pPr>
        <w:spacing w:after="0" w:line="234" w:lineRule="auto"/>
        <w:rPr>
          <w:sz w:val="20"/>
          <w:szCs w:val="20"/>
          <w:color w:val="auto"/>
        </w:rPr>
      </w:pPr>
      <w:r>
        <w:rPr>
          <w:rFonts w:ascii="Arial" w:cs="Arial" w:eastAsia="Arial" w:hAnsi="Arial"/>
          <w:sz w:val="18"/>
          <w:szCs w:val="18"/>
          <w:color w:val="auto"/>
        </w:rPr>
        <w:t>ICR Westwicke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Office: (443) 213-0505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Mobile: (443) 377-4767</w:t>
      </w: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E32E1"/>
        </w:rPr>
        <w:t>peter.vozzo@westwicke.com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2023-02-10T05:21:52Z</dcterms:created>
  <dcterms:modified xsi:type="dcterms:W3CDTF">2023-02-10T05:21:52Z</dcterms:modified>
</cp:coreProperties>
</file>