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1550 East Gude Drive, Rockville, MD</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20" w:type="dxa"/>
            <w:vAlign w:val="bottom"/>
          </w:tcPr>
          <w:p>
            <w:pPr>
              <w:jc w:val="right"/>
              <w:ind w:right="1410"/>
              <w:spacing w:after="0"/>
              <w:rPr>
                <w:sz w:val="20"/>
                <w:szCs w:val="20"/>
                <w:color w:val="auto"/>
              </w:rPr>
            </w:pPr>
            <w:r>
              <w:rPr>
                <w:rFonts w:ascii="Arial" w:cs="Arial" w:eastAsia="Arial" w:hAnsi="Arial"/>
                <w:sz w:val="18"/>
                <w:szCs w:val="18"/>
                <w:b w:val="1"/>
                <w:bCs w:val="1"/>
                <w:color w:val="auto"/>
              </w:rPr>
              <w:t>(301) 838-2500</w:t>
            </w:r>
          </w:p>
        </w:tc>
        <w:tc>
          <w:tcPr>
            <w:tcW w:w="1520" w:type="dxa"/>
            <w:vAlign w:val="bottom"/>
          </w:tcPr>
          <w:p>
            <w:pPr>
              <w:spacing w:after="0"/>
              <w:rPr>
                <w:sz w:val="24"/>
                <w:szCs w:val="24"/>
                <w:color w:val="auto"/>
              </w:rPr>
            </w:pPr>
          </w:p>
        </w:tc>
      </w:tr>
      <w:tr>
        <w:trPr>
          <w:trHeight w:val="230"/>
        </w:trPr>
        <w:tc>
          <w:tcPr>
            <w:tcW w:w="642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0" w:gutter="0" w:footer="0" w:header="0"/>
        </w:sectPr>
      </w:pPr>
    </w:p>
    <w:p>
      <w:pPr>
        <w:spacing w:after="0" w:line="181" w:lineRule="exact"/>
        <w:rPr>
          <w:sz w:val="24"/>
          <w:szCs w:val="24"/>
          <w:color w:val="auto"/>
        </w:rPr>
      </w:pPr>
    </w:p>
    <w:p>
      <w:pPr>
        <w:jc w:val="center"/>
        <w:ind w:left="7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60" w:space="720"/>
            <w:col w:w="3440"/>
          </w:cols>
          <w:pgMar w:left="240" w:top="233" w:right="239" w:bottom="0" w:gutter="0" w:footer="0" w:header="0"/>
          <w:type w:val="continuous"/>
        </w:sectPr>
      </w:pPr>
    </w:p>
    <w:p>
      <w:pPr>
        <w:spacing w:after="0" w:line="48"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Emerging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growth</w:t>
      </w:r>
    </w:p>
    <w:p>
      <w:pPr>
        <w:spacing w:after="0" w:line="9" w:lineRule="exact"/>
        <w:rPr>
          <w:sz w:val="24"/>
          <w:szCs w:val="24"/>
          <w:color w:val="auto"/>
        </w:rPr>
      </w:pPr>
    </w:p>
    <w:p>
      <w:pPr>
        <w:sectPr>
          <w:pgSz w:w="11900" w:h="16838" w:orient="portrait"/>
          <w:cols w:equalWidth="0" w:num="4">
            <w:col w:w="3120" w:space="140"/>
            <w:col w:w="980" w:space="720"/>
            <w:col w:w="5020" w:space="720"/>
            <w:col w:w="720"/>
          </w:cols>
          <w:pgMar w:left="240" w:top="233" w:right="239" w:bottom="0" w:gutter="0" w:footer="0" w:header="0"/>
          <w:type w:val="continuous"/>
        </w:sectPr>
      </w:pPr>
    </w:p>
    <w:p>
      <w:pPr>
        <w:ind w:left="10700"/>
        <w:spacing w:after="0"/>
        <w:rPr>
          <w:sz w:val="20"/>
          <w:szCs w:val="20"/>
          <w:color w:val="auto"/>
        </w:rPr>
      </w:pPr>
      <w:r>
        <w:rPr>
          <w:rFonts w:ascii="Arial" w:cs="Arial" w:eastAsia="Arial" w:hAnsi="Arial"/>
          <w:sz w:val="17"/>
          <w:szCs w:val="17"/>
          <w:color w:val="auto"/>
        </w:rPr>
        <w:t>company</w:t>
      </w:r>
    </w:p>
    <w:p>
      <w:pPr>
        <w:spacing w:after="0" w:line="21" w:lineRule="exact"/>
        <w:rPr>
          <w:sz w:val="24"/>
          <w:szCs w:val="24"/>
          <w:color w:val="auto"/>
        </w:rPr>
      </w:pPr>
    </w:p>
    <w:p>
      <w:pPr>
        <w:ind w:left="10700"/>
        <w:spacing w:after="0"/>
        <w:rPr>
          <w:sz w:val="20"/>
          <w:szCs w:val="20"/>
          <w:color w:val="auto"/>
        </w:rPr>
      </w:pPr>
      <w:r>
        <w:rPr>
          <w:rFonts w:ascii="Arial" w:cs="Arial" w:eastAsia="Arial" w:hAnsi="Arial"/>
          <w:sz w:val="18"/>
          <w:szCs w:val="18"/>
          <w:color w:val="auto"/>
        </w:rPr>
        <w:t>o</w:t>
      </w:r>
    </w:p>
    <w:p>
      <w:pPr>
        <w:spacing w:after="0" w:line="9"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$0.001 per share, as of the close of business on July 27, 2017 was 50,699,110.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gridSpan w:val="19"/>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100" w:type="dxa"/>
            <w:vAlign w:val="bottom"/>
            <w:gridSpan w:val="19"/>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Item 1. Financial Statements</w:t>
            </w:r>
          </w:p>
        </w:tc>
        <w:tc>
          <w:tcPr>
            <w:tcW w:w="5040" w:type="dxa"/>
            <w:vAlign w:val="bottom"/>
            <w:gridSpan w:val="7"/>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380" w:type="dxa"/>
            <w:vAlign w:val="bottom"/>
            <w:gridSpan w:val="16"/>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June 30, 2017 (Unaudited) and December 31, 2016</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Consolidated Statements of Operations for the three and six month periods ended June 30, 2017 and 2016 (Unaudited)</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2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Comprehensive Income for the three and six month periods ended June 30, 2017 and 2016 (Unaudited)</w:t>
              </w:r>
            </w:hyperlink>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tcBorders>
              <w:top w:val="single" w:sz="8" w:color="0000EE"/>
            </w:tcBorders>
            <w:gridSpan w:val="1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six month periods ended June 30, 2017 and 2016 (Unaudited)</w:t>
              </w:r>
            </w:hyperlink>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Item 2. Management’s Discussion and Analysis of Financial Condition and Results of Operations</w:t>
              </w:r>
            </w:hyperlink>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 Quantitative and Qualitative Disclosures about Market Risk</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 Controls and Procedures</w:t>
              </w:r>
            </w:hyperlink>
          </w:p>
        </w:tc>
        <w:tc>
          <w:tcPr>
            <w:tcW w:w="27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 Legal Proceedings</w:t>
              </w:r>
            </w:hyperlink>
          </w:p>
        </w:tc>
        <w:tc>
          <w:tcPr>
            <w:tcW w:w="534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 Risk Factors</w:t>
              </w:r>
            </w:hyperlink>
          </w:p>
        </w:tc>
        <w:tc>
          <w:tcPr>
            <w:tcW w:w="568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6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26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6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524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57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10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68"/>
        </w:trPr>
        <w:tc>
          <w:tcPr>
            <w:tcW w:w="20" w:type="dxa"/>
            <w:vAlign w:val="bottom"/>
            <w:tcBorders>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0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Supernus Pharmaceuticals, Inc.</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7"/>
              </w:rPr>
              <w:t>(in thousands, except share amounts)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6"/>
              </w:rPr>
              <w:t>2017</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250"/>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61,737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31,229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23,723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51,157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16,623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16,801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165,492</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151,404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Long term marketable securities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104,632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4,572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Deferred legal fees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28,989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16,490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30,449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41,729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346,370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2"/>
                <w:szCs w:val="22"/>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309,568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7,577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Accrued sales deductions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47,621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23,434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Accrued income taxes payable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4,997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Deferred licensing revenue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85,524</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80,742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Deferred licensing revenue, net of current portion</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24,184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116,973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117,813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18"/>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130,000,000 shares authorized at June 30, 2017 and December 31, 2016;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w w:val="95"/>
              </w:rPr>
              <w:t>50,733,662 and 49,971,267 shares issued and outstanding at June 30, 2017 and December 31, 2016,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gridSpan w:val="18"/>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3"/>
          </w:tcPr>
          <w:p>
            <w:pPr>
              <w:jc w:val="right"/>
              <w:ind w:right="280"/>
              <w:spacing w:after="0"/>
              <w:rPr>
                <w:sz w:val="20"/>
                <w:szCs w:val="20"/>
                <w:color w:val="auto"/>
              </w:rPr>
            </w:pPr>
            <w:r>
              <w:rPr>
                <w:rFonts w:ascii="Arial" w:cs="Arial" w:eastAsia="Arial" w:hAnsi="Arial"/>
                <w:sz w:val="18"/>
                <w:szCs w:val="18"/>
                <w:color w:val="auto"/>
              </w:rPr>
              <w:t>285,572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276,127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-6924040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-6924040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Accumulated other comprehensive income (loss), net of tax</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(56,442)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229,397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346,370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00" w:type="dxa"/>
            <w:vAlign w:val="bottom"/>
            <w:gridSpan w:val="2"/>
          </w:tcPr>
          <w:p>
            <w:pPr>
              <w:jc w:val="center"/>
              <w:ind w:right="1960"/>
              <w:spacing w:after="0"/>
              <w:rPr>
                <w:sz w:val="20"/>
                <w:szCs w:val="20"/>
                <w:color w:val="auto"/>
              </w:rPr>
            </w:pPr>
            <w:r>
              <w:rPr>
                <w:rFonts w:ascii="Arial" w:cs="Arial" w:eastAsia="Arial" w:hAnsi="Arial"/>
                <w:sz w:val="18"/>
                <w:szCs w:val="18"/>
                <w:color w:val="auto"/>
                <w:w w:val="87"/>
              </w:rPr>
              <w:t>See accompanying notes.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60" w:type="dxa"/>
            <w:vAlign w:val="bottom"/>
          </w:tcPr>
          <w:p>
            <w:pPr>
              <w:jc w:val="right"/>
              <w:ind w:right="245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73,328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50,335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129,697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1,380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75,829</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133,405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95,819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10,823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20,425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63,316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49,762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90,550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26,067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42,855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Interest expense-nonrecourse liability related to sale of future</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26,425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42,648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14,983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27,665</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0.34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50,530,968</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49,427,825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50,345,830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49,333,962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53,223,714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51,745,342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53,026,323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51,484,686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24"/>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604"/>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center"/>
              <w:ind w:left="584"/>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17,368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27,665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Unrealized net gain on marketable securities, net of tax</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17,552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10,632</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28,015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27,665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Change in fair value of derivative liability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Non-cash interest expense, net/interest (income), net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expense on non-recourse liability related to sale of future royalties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Non-cash royalty revenue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(2,328)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Deferred income tax provision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11,672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(9,630)</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Accrued sales deductions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5,678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Accrued income taxes payable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licensing revenue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(48,468)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(4,661)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66,398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61,737</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financial activity:</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Conversion of convertible notes and interest make-whole</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2,984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ectPr>
          <w:pgSz w:w="11900" w:h="16838" w:orient="portrait"/>
          <w:cols w:equalWidth="0" w:num="1">
            <w:col w:w="11420"/>
          </w:cols>
          <w:pgMar w:left="240" w:top="140"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Supernus Pharmaceuticals, Inc. (the Company) was incorporated in Delaware and commenced operations in 2005. The Company is a specialty pharmaceutical company focused on developing and commercializing products for the treatment of central nervous system (CNS) diseases. The Company markets two products, Oxtellar XR for the treatment of epilepsy and Trokendi XR for the treatment of migraine and epilepsy, and has several proprietary product candidates in clinical development that address the psychiatry market.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prophylaxsis of migraine in adolescents and adults April 2017.</w:t>
      </w:r>
    </w:p>
    <w:p>
      <w:pPr>
        <w:spacing w:after="0" w:line="166" w:lineRule="exact"/>
        <w:rPr>
          <w:sz w:val="20"/>
          <w:szCs w:val="20"/>
          <w:color w:val="auto"/>
        </w:rPr>
      </w:pPr>
    </w:p>
    <w:p>
      <w:pPr>
        <w:ind w:right="7780" w:firstLine="8"/>
        <w:spacing w:after="0" w:line="503"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and Supernus Europe Ltd., collectively referred to herein as “Supernus” or “the Company.” All significant intercompany transactions and balances have been eliminated in consolidation. The Company’s unaudited consolidated financial statements have been prepared in accordance with the requirements of the U.S. Securities and Exchange Commission (SEC) for interim financial information.</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permitted under Generally Accepted Accounting Principles in the United States (U.S. GAAP), certain notes and other information have been omitted from the interim unaudited consolidated financial statements presented in this Quarterly Report on Form 10-Q. Therefore, these financial statements should be read in conjunction with the Company’s Annual Report on Form 10-K for the year ended December 31, 2016 filed with the SEC.</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opinion of management, the consolidated financial statements reflect all adjustments necessary to fairly present the Company’s financial position, results of operations, and cash flows for the periods presented. These adjustments are of a normal recurring nature. The Company currently operates in one business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2017 are not necessarily indicative of the Company’s future financial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Marketable securities consist of investments in U.S. Treasuries,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investments are classified as available-for-sale and are carried at estimated fair value. Any unrealized holding gains or losses are reported, net of any tax effects reported, as accumulated other comprehensive income (loss), which is a separate component of stockholders’ equity.</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 for sale security below cost that is deemed to be other-than-temporary results in a reduction in fair value, which is charged to earnings in that period, and a new cost basis for the security is established. Dividend and interest income is recognized when earned. The cost of securities sold is calculated using the specific identification method.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established the Supernus Supplemental Executive Retirement Plan (SERP) for the sole purpose of receiving funds for executives from a previous SERP and providing a continuing deferral program under the Supernus SERP. As of June 30, 2017 and December 31, 2016, the fair value of the SERP was $294,000 and $275,000, respectively. The fair value of these assets is included within other non-current assets on the consolidated balance sheets. A corresponding non-current liability is also included in the consolidated balance sheets to reflect the Company’s obligation for the SERP. The Company has not made, and has no plans to make, contributions to the SERP. The securities are restricted in nature and can only be used for purposes of paying benefits under the SERP.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Accounts receivable are reported on the consolidated balance sheets at outstanding amounts, less an allowance for doubtful accounts and discounts.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recorded an allowance for expected sales discounts of approximately $8.3 million and $5.6 million as of June 30, 2017 and December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Inventories, which are recorded at the lower of cost or market, include materials, labor, and other direct and indirect costs and are valued using the first-in, first-out method. The Company capitalizes inventories produced in preparation for commercial launches when it becomes probable that the related product candidates will receive regulatory approval and that the related costs will be recoverable through the commercial sale of the product.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ectPr>
          <w:pgSz w:w="11900" w:h="16838" w:orient="portrait"/>
          <w:cols w:equalWidth="0" w:num="1">
            <w:col w:w="11400"/>
          </w:cols>
          <w:pgMar w:left="240" w:top="121" w:right="259" w:bottom="0" w:gutter="0" w:footer="0" w:header="0"/>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useful lives:</w:t>
      </w:r>
    </w:p>
    <w:p>
      <w:pPr>
        <w:sectPr>
          <w:pgSz w:w="11900" w:h="16838" w:orient="portrait"/>
          <w:cols w:equalWidth="0" w:num="1">
            <w:col w:w="11320"/>
          </w:cols>
          <w:pgMar w:left="240" w:top="341" w:right="339" w:bottom="0" w:gutter="0" w:footer="0" w:header="0"/>
        </w:sectPr>
      </w:pP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Lab equipment and furniture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5 - 10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222" w:lineRule="exact"/>
        <w:rPr>
          <w:sz w:val="20"/>
          <w:szCs w:val="20"/>
          <w:color w:val="auto"/>
        </w:rPr>
      </w:pPr>
    </w:p>
    <w:p>
      <w:pPr>
        <w:sectPr>
          <w:pgSz w:w="11900" w:h="16838" w:orient="portrait"/>
          <w:cols w:equalWidth="0" w:num="2">
            <w:col w:w="4480" w:space="720"/>
            <w:col w:w="6120"/>
          </w:cols>
          <w:pgMar w:left="240" w:top="341" w:right="3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Legal Fees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Legal fees have been incurred in connection with legal proceedings related to the defense of patents for Oxtellar XR and Trokendi XR (see Note 6). Amortization of the deferred legal fees will begin upon successful outcome of the ongoing litigation. Deferred legal fees will be charged to expense in the event of an unsuccessful outcome of the ongoing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Intangible assets consist of deferred legal fees related to patents. Patents are carried at cost less accumulated amortization, which is calculated on a straight-line basis over the estimated useful lives of the patents. The carrying value of the patents and deferred legal fees are assessed for impairment annually during the fourth quarter of each year, or more frequently if impairment indicators exist. There were no indicators of impairment identified as of June 30,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Long-lived assets consist primarily of patent defense costs, deferred legal fees, and property and equipment.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amount to determine whether the asset’s value is recoverable. Evaluation of impairment requires judgment, including the estimation of future cash flows, future growth rates and profitability and the expected life over which cash flows will occur. Changes in the Company’s business strategy or adverse changes in market conditions could impact impairment analyses and could require the recognition of an impairment charge equal to the excess of the carrying value of the long-lived assets over its estimated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indicators of impairment identified for the Company’s long-lived assets as of June 30, 2017.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financing costs consist of financing costs incurred by the Company in connection with the closing of the Company’s 7.50% Convertible Senior Secured Notes due 2019 (the Notes). The Company amortizes deferred financing costs over the term of the related debt using the effective interest method. When extinguishing debt, the related deferred financing costs are written off.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estimate preclinical study and clinical trial expenses based on the services performed pursuant to contracts with research institutions, investigators, and clinical research organizations (CROs) that conduct these activities on our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we accrue additional service fees or defer any non-refundable advance payments until the related services are performed. If the actual timing of the performance of services or the level of effort varies from the estimate, the Company will adjust its accrual or deferred advance payment accordingly. If the Company later determines that it no longer expects the services associated with a nonrefundable advance payment to be rendered, the advance payment will be charged to expense in the period that such determination is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allowances, discounts, co-pay assistance and other deductions as well as estimated product returns (collectively, “sales deductions”).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products are distributed through wholesalers and pharmaceutical distributors. Each of these wholesalers and distributors takes title and ownership to the product upon physical receipt of the product and then distributes our products to pharmacies.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Deductions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estimated sales deductions are provided for the following:</w:t>
      </w:r>
    </w:p>
    <w:p>
      <w:pPr>
        <w:spacing w:after="0" w:line="225" w:lineRule="exact"/>
        <w:rPr>
          <w:sz w:val="20"/>
          <w:szCs w:val="20"/>
          <w:color w:val="auto"/>
        </w:rPr>
      </w:pPr>
    </w:p>
    <w:p>
      <w:pPr>
        <w:ind w:left="980" w:hanging="324"/>
        <w:spacing w:after="0" w:line="293"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Rebates: Rebates include mandated discounts under the Medicaid Drug Rebate Program, the Medicare coverage gap program, as well as negotiated discounts with commercial healthcare providers. Rebates are amounts owed after the final dispensing of product to a benefit plan participant has occurred and are based upon contractual agreements or legal requirements with the public sector (e.g., Medicaid) and with private sector benefit providers (e.g., commercial managed care). The allowance for rebates is based on statutory and contractual discount rates and expected claimed rebates paid based on a plan provider’s utilization. Rebates are generally invoiced and paid quarterly in arrears so that the accrual balance consists of an estimate of the amount expected to be incurred for the current quarter’s activity, plus an accrual balance for</w:t>
      </w:r>
    </w:p>
    <w:p>
      <w:pPr>
        <w:sectPr>
          <w:pgSz w:w="11900" w:h="16838" w:orient="portrait"/>
          <w:cols w:equalWidth="0" w:num="1">
            <w:col w:w="11320"/>
          </w:cols>
          <w:pgMar w:left="240" w:top="341" w:right="339" w:bottom="0" w:gutter="0" w:footer="0" w:header="0"/>
          <w:type w:val="continuous"/>
        </w:sectPr>
      </w:pPr>
    </w:p>
    <w:bookmarkStart w:id="6" w:name="page7"/>
    <w:bookmarkEnd w:id="6"/>
    <w:p>
      <w:pPr>
        <w:spacing w:after="0" w:line="69" w:lineRule="exact"/>
        <w:rPr>
          <w:sz w:val="20"/>
          <w:szCs w:val="20"/>
          <w:color w:val="auto"/>
        </w:rPr>
      </w:pPr>
    </w:p>
    <w:p>
      <w:pPr>
        <w:ind w:left="980" w:right="440"/>
        <w:spacing w:after="0" w:line="342" w:lineRule="auto"/>
        <w:rPr>
          <w:sz w:val="20"/>
          <w:szCs w:val="20"/>
          <w:color w:val="auto"/>
        </w:rPr>
      </w:pPr>
      <w:r>
        <w:rPr>
          <w:rFonts w:ascii="Arial" w:cs="Arial" w:eastAsia="Arial" w:hAnsi="Arial"/>
          <w:sz w:val="16"/>
          <w:szCs w:val="16"/>
          <w:color w:val="auto"/>
        </w:rPr>
        <w:t>known or estimated prior quarters’ unpaid rebates. If actual rebates vary from estimates, we may need to adjust balances of such rebates to reflect the actual expenditures of the Company with respect to these programs, which would affect revenue in the period of adjustment.</w:t>
      </w:r>
    </w:p>
    <w:p>
      <w:pPr>
        <w:spacing w:after="0" w:line="124" w:lineRule="exact"/>
        <w:rPr>
          <w:sz w:val="20"/>
          <w:szCs w:val="20"/>
          <w:color w:val="auto"/>
        </w:rPr>
      </w:pPr>
    </w:p>
    <w:p>
      <w:pPr>
        <w:ind w:left="980" w:right="100" w:hanging="324"/>
        <w:spacing w:after="0" w:line="259"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Co-pay assistance: Patients who pay in cash or have commercial insurance and meet certain eligibility requirements may receive co-pay assistance from the Company. The intent of this program is to reduce the patient’s out of pocket costs when filling a prescription. Liabilities for co-pay assistance are based on actual program participation as well as estimates of program activity using data provided by third-party administrators.</w:t>
      </w:r>
    </w:p>
    <w:p>
      <w:pPr>
        <w:spacing w:after="0" w:line="186" w:lineRule="exact"/>
        <w:rPr>
          <w:rFonts w:ascii="Arial" w:cs="Arial" w:eastAsia="Arial" w:hAnsi="Arial"/>
          <w:sz w:val="18"/>
          <w:szCs w:val="18"/>
          <w:color w:val="auto"/>
        </w:rPr>
      </w:pPr>
    </w:p>
    <w:p>
      <w:pPr>
        <w:ind w:left="980" w:right="60" w:hanging="324"/>
        <w:spacing w:after="0" w:line="279"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Distributor/Wholesaler deductions and discounts: U.S. specialty distributors and wholesalers are offered various forms of consideration including allowances, service fees and prompt payment discounts as consideration for distributing our products. Distributor allowances and service fees arise from contractual agreements with distributors and are generally a percentage of the purchase price paid by the distributors and wholesalers. Wholesale customers are offered a prompt pay discount for payment within a specified period.</w:t>
      </w:r>
    </w:p>
    <w:p>
      <w:pPr>
        <w:spacing w:after="0" w:line="171" w:lineRule="exact"/>
        <w:rPr>
          <w:rFonts w:ascii="Arial" w:cs="Arial" w:eastAsia="Arial" w:hAnsi="Arial"/>
          <w:sz w:val="17"/>
          <w:szCs w:val="17"/>
          <w:color w:val="auto"/>
        </w:rPr>
      </w:pPr>
    </w:p>
    <w:p>
      <w:pPr>
        <w:jc w:val="both"/>
        <w:ind w:left="980" w:right="580" w:hanging="324"/>
        <w:spacing w:after="0" w:line="31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Returns: Sales of our products are not subject to a general right of return; however, the Company will accept product that is damaged or defective when shipped directly from our warehouse. The Company will accept expired product six months prior to and up to 12 months subsequent to its expiry date. Product that has been used to fill patient prescriptions is no longer subject to any right of return.</w:t>
      </w:r>
    </w:p>
    <w:p>
      <w:pPr>
        <w:spacing w:after="0" w:line="146" w:lineRule="exact"/>
        <w:rPr>
          <w:rFonts w:ascii="Arial" w:cs="Arial" w:eastAsia="Arial" w:hAnsi="Arial"/>
          <w:sz w:val="16"/>
          <w:szCs w:val="16"/>
          <w:color w:val="auto"/>
        </w:rPr>
      </w:pPr>
    </w:p>
    <w:p>
      <w:pPr>
        <w:ind w:left="9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Chargebacks: Chargebacks are discounts that occur when contracted customers purchase directly from an intermediary distributor or wholesaler. Contracted customers, which currently consist primarily of Public Health Service institutions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and federal government entities purchasing via the Federal Supply Schedule, generally purchase the product at a discounted price. The distributor or wholesaler, in turn, charges back the difference between the price initially paid by the distributor or wholesaler and the discounted price paid to the distributor or wholesaler by the customer. The allowance for distributor/wholesaler chargebacks is based on sales to contracted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of License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License and Collaboration Agreements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entered into collaboration agreements to commercialize both Oxtellar XR and Trokendi XR outside of the U.S. These agreements generally include an up-front license fee and ongoing milestone payments upon the achievement of specific events. We believe that when milestones meet all of the necessary criteria to be considered substantive, these should be recognized as revenue when achieved. For up-front license fees, we have estimated the service period of the contract and are recognizing revenue on a straight-line basis over the respective service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Milestone Payments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on licensing agreements are recognized as revenue when the collaborative partner acknowledges completion of the milestone and substantive effort was necessary to achieve the milestone. Management may recognize milestone revenue in its entirety in the period in which the milestone is achieved only if the milestone meets all the criteria to be considered substantive. Substantive milestone payments are recognized upon achievement only if all of the following conditions are met:</w:t>
      </w:r>
    </w:p>
    <w:p>
      <w:pPr>
        <w:spacing w:after="0" w:line="18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milestone payments are non-refundable;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achievement of the milestone involves a degree of risk and was not reasonably assured at the inception of the arrangement;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substantive effort on the partner’s part is involved in achieving the milestone;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of the milestone payment is reasonable in relation to the effort expended or the risk associated with achievement of the milestone.</w:t>
      </w:r>
    </w:p>
    <w:p>
      <w:pPr>
        <w:spacing w:after="0" w:line="23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Determination as to whether a payment meets the aforementioned conditions involves management’s judgment. If any of these conditions are not met, the resulting payment would not be considered a substantive milestone. Therefore, the resulting payment would be considered part of the consideration for the single unit of accounting and amortized over the appropriate period.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recorded $1.3 million of milestone revenue during both the three and six month periods ended June 30, 2017. No milestone revenue was recorded during the three and six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recognize non-cash royalty revenue for royalty amounts earned pursuant to a royalty agreement with United Therapeutics. In 2014, the Company sold certain of these royalty rights to Healthcare Royalty Partners III, L.P. (HC Royalty) (see Note 14). Accordingly, the Company records non-cash royalty revenue when payments are made from United Therapeutics to HC Royalty in connection with these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Research and development costs are expensed as incurred. Research and development costs primarily consist of employee-related expenses, including salaries and benefits; share-based compensation expense; expenses incurred under agreements with CROs; payments to investigators and consultants that conduct the</w:t>
      </w:r>
    </w:p>
    <w:p>
      <w:pPr>
        <w:sectPr>
          <w:pgSz w:w="11900" w:h="16908" w:orient="portrait"/>
          <w:cols w:equalWidth="0" w:num="1">
            <w:col w:w="11400"/>
          </w:cols>
          <w:pgMar w:left="240" w:top="125" w:right="259" w:bottom="0" w:gutter="0" w:footer="0" w:header="0"/>
        </w:sectPr>
      </w:pPr>
    </w:p>
    <w:bookmarkStart w:id="7" w:name="page8"/>
    <w:bookmarkEnd w:id="7"/>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costs of the Company’s advertising efforts are expensed as incurred. The Company incurred approximately $9.8 million and $16.5 million in advertising costs for the three and six months ended June 30, 2017 and approximately $5.0 million and $11.4 million in advertising costs for the three and six months ended June 30, 2016, respectively. These expenses are recorded in the selling, general and administrative expense line of the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Employee share-based compensation is measured based on the estimated fair value on the grant date. The grant date fair value is calculated using the Black-Scholes option-pricing model, which requires the use of subjective assumptions including volatility, expected term, risk-free rate, and the fair value of the underlying common stock. The Company recognizes expense using the straight-line method.</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records the expense for stock option grants to non-employees based on the estimated fair value of the stock option using the Black-Scholes option-pricing model. The fair value of non-employee awards is re-measured at each reporting period. As a result, stock compensation expense for non-employee awards with vesting is affected by subsequent changes in the fair value of the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 The Company’s policy is to recognize any interest and penalties related to income taxes as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2017</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No.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 Accounting</w:t>
      </w:r>
      <w:r>
        <w:rPr>
          <w:rFonts w:ascii="Arial" w:cs="Arial" w:eastAsia="Arial" w:hAnsi="Arial"/>
          <w:sz w:val="18"/>
          <w:szCs w:val="18"/>
          <w:color w:val="auto"/>
        </w:rPr>
        <w:t>.” The standard is intended to simplify several areas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share-based compensation arrangements, including the income tax impact, classification on the statement of cash flows and forfeitures. ASU 2016-09 is effective for fiscal years, and interim periods within those years, beginning after December 15, 2016, and early adoption is permitted. The Company adopted ASU 2016-09 on January 1, 2017 </w:t>
      </w:r>
      <w:r>
        <w:rPr>
          <w:rFonts w:ascii="Arial" w:cs="Arial" w:eastAsia="Arial" w:hAnsi="Arial"/>
          <w:sz w:val="17"/>
          <w:szCs w:val="17"/>
          <w:color w:val="auto"/>
        </w:rPr>
        <w:t>using the modified retrospective approach</w:t>
      </w:r>
      <w:r>
        <w:rPr>
          <w:rFonts w:ascii="Arial" w:cs="Arial" w:eastAsia="Arial" w:hAnsi="Arial"/>
          <w:sz w:val="18"/>
          <w:szCs w:val="18"/>
          <w:color w:val="auto"/>
        </w:rPr>
        <w:t>. As a result, the Company recorded a cumulative effect adjustment of $211,000 to increase the 2017 beginning of period additional paid-in capital balance, with an offset to accumulated deficit for historical forfeiture assumptions. Additionally, the Company recorded an opening balance sheet adjustment of $392,000 to increase its deferred tax asset, with an offset to accumulated deficit, primarily to recognize excess tax benefits (i.e. windfalls) from stock option exercises in prior years combined with the impact of the $211,000 adjustment to historical forfeiture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July 2017, the FASB issued ASU 2017-11, “</w:t>
      </w:r>
      <w:r>
        <w:rPr>
          <w:rFonts w:ascii="Arial" w:cs="Arial" w:eastAsia="Arial" w:hAnsi="Arial"/>
          <w:sz w:val="17"/>
          <w:szCs w:val="17"/>
          <w:i w:val="1"/>
          <w:iCs w:val="1"/>
          <w:color w:val="auto"/>
        </w:rPr>
        <w:t>Earnings per share (Topic 260); Distinguishing Liabilities from Equity (Topic 480);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change the classification analysis of certain equity-linked financial instruments (embedded features) with down round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When determining whether certain financial instruments should be classified as liabilities or equity instruments, a down round feature no longer precludes equity classification when assessing whether the instrument is indexed to an entity’s own stock. The amendments in Part II recharacterize the indefinite deferral of certain provisions of Topic 480 with a scope exception and do not have an accounting effect. The amendments in Part I of ASU 2017-11 are effective for fiscal years, and interim periods within those fiscal years, beginning after December 15, 2018, with early adoption permitted. The amendments in Part II of this Update do not require any transition guidance because those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amendments do not have an accounting effect. The Company is currently assessing the impact that this standard will have on its consolidated financial statements.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w:t>
      </w:r>
    </w:p>
    <w:p>
      <w:pPr>
        <w:sectPr>
          <w:pgSz w:w="11900" w:h="16945"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adoption permitted. The Company is currently evaluating the impact of adopting this standard on the consolidated financial statements and disclosures, but does not expect it to have a material impact.</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2017, the FASB issued ASU 2017-08, “</w:t>
      </w:r>
      <w:r>
        <w:rPr>
          <w:rFonts w:ascii="Arial" w:cs="Arial" w:eastAsia="Arial" w:hAnsi="Arial"/>
          <w:sz w:val="17"/>
          <w:szCs w:val="17"/>
          <w:i w:val="1"/>
          <w:iCs w:val="1"/>
          <w:color w:val="auto"/>
        </w:rPr>
        <w:t>Receivables—Nonrefundable Fees and Other Costs (Subtopic 310-20), Premium Amortization on Purchased</w:t>
      </w:r>
      <w:r>
        <w:rPr>
          <w:rFonts w:ascii="Arial" w:cs="Arial" w:eastAsia="Arial" w:hAnsi="Arial"/>
          <w:sz w:val="17"/>
          <w:szCs w:val="17"/>
          <w:color w:val="auto"/>
        </w:rPr>
        <w:t xml:space="preserve"> </w:t>
      </w:r>
      <w:r>
        <w:rPr>
          <w:rFonts w:ascii="Arial" w:cs="Arial" w:eastAsia="Arial" w:hAnsi="Arial"/>
          <w:sz w:val="17"/>
          <w:szCs w:val="17"/>
          <w:i w:val="1"/>
          <w:iCs w:val="1"/>
          <w:color w:val="auto"/>
        </w:rPr>
        <w:t>Callable Debt Securities.</w:t>
      </w:r>
      <w:r>
        <w:rPr>
          <w:rFonts w:ascii="Arial" w:cs="Arial" w:eastAsia="Arial" w:hAnsi="Arial"/>
          <w:sz w:val="17"/>
          <w:szCs w:val="17"/>
          <w:color w:val="auto"/>
        </w:rPr>
        <w:t>” The amendments shorten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The amendments do not require an accounting change for securities held at a discount, as the discount continues to be amortized to maturity. ASU 2017-08 is effective for public business entities for fiscal years, and interim periods within those fiscal years, beginning after December 15, 2018 and early adoption is permitted. The amendments should be applied on a modified retrospective basis, with a cumulative-effect adjustment recorded directly to retained earnings as of the beginning of the period of adoption. The Company is currently assessing the impact that this standard will have on its consolidated financial statements.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The standard eliminates diversity in the practice of how certain cash receipts and cash payments are presented and classified in the statement of cash flows under Topic 230, Statement of Cash Flows, and other Topics. ASU 2016-15 is effective for annual reporting periods, and interim periods therein, beginning after December 15, 2017. The Company does not expect the adoption of this guidance to have a material impact on its consolidated financial statements.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standard requires a lessee to recognize assets and liabilities on the balance sheet for leases with lease terms greater than 12 months. ASU 2016-02 is effective for fiscal years, and interim periods within those years, beginning after December 15, 2018, and early adoption is permitted. We expect the ASU to have a material impact on our assets and liabilities due to the addition of previously classified operating leases, but we do not expect it to have a material impact on our cash flows or results of operations.</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2014-09 will eliminate transaction-and industry-specific revenue recognition guidance under current U.S. GAAP and replace it with a principles-based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annual reporting periods beginning after December 15, 2017, with early adoption being permitted for periods ending after December 15, 2016. The guidance permits two methods of adoption: full retrospective method (retrospective application to each prior reporting period presented) or modified retrospective method (retrospective application with the cumulative effect of initially applying the guidance recognized at the date of initial application and providing certain additional disclosures).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the ASU supersedes substantially all existing revenue recognition guidance affecting us under the current standard, it could impact revenue and cost recognition across our business processes. We commenced our evaluation of the impact of the ASU by selecting and reviewing contracts to develop a baseline understanding. Based on our preliminary assessment, the most likely impact from the adoption of the new ASU is to our revenue recognition practices on our product sales with regards to the accounting for variable considerations such as incentives and sales deductions. In addition, the new ASU may also impact the timing of revenue recognition for our licensing and collaboration agreements with regards to variable considerations that have significant uncertainties; for example, milestone achievement. Currently, the Company is in process of assessing the impact that this standard will have on its consolidated financial statements, and has not selected an adoption methodology.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an asset or liability should represent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1" w:lineRule="exact"/>
        <w:rPr>
          <w:sz w:val="20"/>
          <w:szCs w:val="20"/>
          <w:color w:val="auto"/>
        </w:rPr>
      </w:pPr>
    </w:p>
    <w:p>
      <w:pPr>
        <w:ind w:left="980" w:right="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170" w:lineRule="exact"/>
        <w:rPr>
          <w:rFonts w:ascii="Arial" w:cs="Arial" w:eastAsia="Arial" w:hAnsi="Arial"/>
          <w:sz w:val="18"/>
          <w:szCs w:val="18"/>
          <w:color w:val="auto"/>
        </w:rPr>
      </w:pPr>
    </w:p>
    <w:p>
      <w:pPr>
        <w:ind w:left="980" w:right="200" w:hanging="324"/>
        <w:spacing w:after="0" w:line="31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980" w:right="2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2"/>
              </w:rPr>
              <w:t>Fair Value Measurements at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center"/>
              <w:ind w:left="766"/>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766"/>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Total Carrying</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4"/>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61,737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61,737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31,229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30,573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Long term marketable securities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104,632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104,632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restricted (SERP)</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294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197,892</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62,393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135,499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7"/>
          </w:tcPr>
          <w:p>
            <w:pPr>
              <w:jc w:val="right"/>
              <w:ind w:right="241"/>
              <w:spacing w:after="0"/>
              <w:rPr>
                <w:sz w:val="20"/>
                <w:szCs w:val="20"/>
                <w:color w:val="auto"/>
              </w:rPr>
            </w:pPr>
            <w:r>
              <w:rPr>
                <w:rFonts w:ascii="Arial" w:cs="Arial" w:eastAsia="Arial" w:hAnsi="Arial"/>
                <w:sz w:val="14"/>
                <w:szCs w:val="14"/>
                <w:b w:val="1"/>
                <w:bCs w:val="1"/>
                <w:color w:val="auto"/>
                <w:w w:val="97"/>
              </w:rPr>
              <w:t>Fair Value Measurements at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541"/>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Total Carrying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66,398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66,398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Long term marketable securities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75,410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75,410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restricted (SERP)</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165,806</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67,054</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98,752</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1 assets include cash held with banks, certificate of deposits, and money market funds.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 assets include the SERP assets, commercial paper and investment grade corporate bonds and other fixed income securities. Level 2 securities are valued using third-party pricing sources that apply applicable inputs and other relevant data into their models to estimate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Level 3 liabilities include the estimated fair value of the interest make-whole liability associated with the Notes, which are recorded as derivative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“make-whole fundamental change” provision (as defined in the Notes Indenture Agreement) expired on May 1, 2017.</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Changes in the fair value of the interest make-whole liability are recognized as a component of other income (expense) in the Consolidated Statements of Operations. The following table presents information about the Company’s Level 3 liabilities as of June 30, 2017 and December 31, 2016 that are included in the non-current liabilities section of the Consolidated Balance Sheets,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 included in earnings</w:t>
            </w:r>
          </w:p>
        </w:tc>
        <w:tc>
          <w:tcPr>
            <w:tcW w:w="140" w:type="dxa"/>
            <w:vAlign w:val="bottom"/>
          </w:tcPr>
          <w:p>
            <w:pPr>
              <w:spacing w:after="0"/>
              <w:rPr>
                <w:sz w:val="18"/>
                <w:szCs w:val="18"/>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due to conversion of debt to equity</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carrying value, face value and estimated fair value of the Notes was approximately $1.5 million, $1.6 million and $12.8 million, respectively, as of June 30, 2017. The fair value was estimated based on actual trade information as well as quoted prices provided by bond traders, which would be characterized within Level 2 of the fair value hierarchy.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marketable securities held by the Company were as follows, in thousands: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 June 30, 2017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unrestricted available for sale marketable securities held by the Company were as follows, in thousands:</w:t>
      </w:r>
    </w:p>
    <w:p>
      <w:pPr>
        <w:sectPr>
          <w:pgSz w:w="11900" w:h="16838" w:orient="portrait"/>
          <w:cols w:equalWidth="0" w:num="1">
            <w:col w:w="11360"/>
          </w:cols>
          <w:pgMar w:left="240" w:top="140" w:right="299" w:bottom="0" w:gutter="0" w:footer="0" w:header="0"/>
        </w:sectPr>
      </w:pPr>
    </w:p>
    <w:p>
      <w:pPr>
        <w:spacing w:after="0" w:line="217" w:lineRule="exact"/>
        <w:rPr>
          <w:sz w:val="20"/>
          <w:szCs w:val="20"/>
          <w:color w:val="auto"/>
        </w:rPr>
      </w:pPr>
    </w:p>
    <w:p>
      <w:pPr>
        <w:ind w:left="6500"/>
        <w:spacing w:after="0"/>
        <w:rPr>
          <w:sz w:val="20"/>
          <w:szCs w:val="20"/>
          <w:color w:val="auto"/>
        </w:rPr>
      </w:pPr>
      <w:r>
        <w:rPr>
          <w:rFonts w:ascii="Arial" w:cs="Arial" w:eastAsia="Arial" w:hAnsi="Arial"/>
          <w:sz w:val="12"/>
          <w:szCs w:val="12"/>
          <w:b w:val="1"/>
          <w:bCs w:val="1"/>
          <w:color w:val="auto"/>
        </w:rPr>
        <w:t>June 30,</w:t>
      </w:r>
    </w:p>
    <w:p>
      <w:pPr>
        <w:sectPr>
          <w:pgSz w:w="11900" w:h="16838" w:orient="portrait"/>
          <w:cols w:equalWidth="0" w:num="1">
            <w:col w:w="11360"/>
          </w:cols>
          <w:pgMar w:left="240" w:top="140" w:right="299" w:bottom="0" w:gutter="0" w:footer="0" w:header="0"/>
          <w:type w:val="continuous"/>
        </w:sectPr>
      </w:pPr>
    </w:p>
    <w:bookmarkStart w:id="10" w:name="page11"/>
    <w:bookmarkEnd w:id="1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31,229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1 year to 2 years</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33,124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3 years to 4 years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71,508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Greater Than 4 Years</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2,972</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Work in process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5"/>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1,939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20" w:type="dxa"/>
            <w:vAlign w:val="bottom"/>
            <w:gridSpan w:val="2"/>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(8,721)</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(8,097)</w:t>
            </w:r>
          </w:p>
        </w:tc>
      </w:tr>
      <w:tr>
        <w:trPr>
          <w:trHeight w:val="210"/>
        </w:trPr>
        <w:tc>
          <w:tcPr>
            <w:tcW w:w="6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$0.3 million and $0.6 million for the three and six months ended June 30, 2017, and $0.3 million and $0.6 million for the three and six months ended June 30,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Legal Fees and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legal fees have been incurred in conjunction with defending patents for Oxtellar XR and Trokendi XR. As of June 30, 2017 and December 31, 2016, the Company had deferred legal fees of $11.9 million and $19.9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gross carrying amount and related accumulated amortization of the intangible asset,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Life</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5.9 - 11 years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28,989</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March 2017, the Company entered into two settlements with various companies related to Trokendi XR patent litigation, at which time the Company reduced deferred legal fees by $12.6 million and transferred these amounts to intangible assets. The Company amortizes the cost of litigation through the settlement date of January 1, 2023.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net book value of intangible assets was $29.0 million as of June 30, 2017 and $16.5 million as of December 31, 2016. The increase in intangible assets reflects the settlement of lawsuits related to Trokendi XR patents during the first quarter of 2017.</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expense related to intangible assets was approximately $1.0 million and $1.4 million for the three and six months ended June 30, 2017, and approximately $0.4 million and $0.5 million for the three and six months ended June 30,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indicators of impairment identified.</w:t>
      </w:r>
    </w:p>
    <w:p>
      <w:pPr>
        <w:sectPr>
          <w:pgSz w:w="11900" w:h="16847" w:orient="portrait"/>
          <w:cols w:equalWidth="0" w:num="1">
            <w:col w:w="11380"/>
          </w:cols>
          <w:pgMar w:left="240" w:top="118" w:right="279" w:bottom="0" w:gutter="0" w:footer="0" w:header="0"/>
        </w:sectPr>
      </w:pPr>
    </w:p>
    <w:bookmarkStart w:id="11" w:name="page12"/>
    <w:bookmarkEnd w:id="11"/>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3,579</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Accrued product costs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4,443</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activity related to the Notes from issuance on May 3, 2013 through June 30, 2017,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Initial value of interest make-whole derivative reported as debt discount</w:t>
            </w:r>
          </w:p>
        </w:tc>
        <w:tc>
          <w:tcPr>
            <w:tcW w:w="4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(9,270)</w:t>
            </w: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option reported as debt discount and APIC</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(22,336)</w:t>
            </w: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Conversion of debt to equity - principal</w:t>
            </w:r>
          </w:p>
        </w:tc>
        <w:tc>
          <w:tcPr>
            <w:tcW w:w="4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(85,425)</w:t>
            </w: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 - accretion of debt discount and deferred financing costs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25,767</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8"/>
                <w:szCs w:val="18"/>
                <w:color w:val="auto"/>
              </w:rPr>
            </w:pP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 carrying value</w:t>
            </w: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 - principal</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Conversion of debt to equity - accretion of debt discount and deferred financing costs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June 30, 2017 carrying value, unaudited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six month period ended June 30, 2017, approximately $3.0 million of the Notes were presented to the Company for conversion. Accordingly, the Company issued approximately 0.6 million shares of common stock in conversion of the principal amount of the Notes. The Company issued an additional 2,000 shares of common stock in settlement of the interest make-whole provision related to the converted Notes. As a result of the conversions, the Company incurred a loss of approximately $0.2 million on extinguishment of debt during the six month period ended June 30, 2017, which is included as a separate component of other income (expense) on the Consolidated Statement of Operations. During the six month period ended June 30, 2016, as a result of approximately $2.0 million in note conversions, the Company incurred a loss of approximately $0.4 million on extinguishment of debt.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Summary Stockholders’ Equity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summary table provides details related to the activity in certain captions within Stockholders’ Equity for the six month period ended June 30, 2017, in thousands.</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Additional Paid-in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8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Cumulative-effect adjustment</w:t>
            </w:r>
          </w:p>
        </w:tc>
        <w:tc>
          <w:tcPr>
            <w:tcW w:w="1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3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276,338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ESPP shares</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issued on note conversion</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1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285,572</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adopted the Supernus Pharmaceuticals, Inc. 2012 Equity Incentive Plan (the 2012 Plan), which is stockholder approved, and provides for the grant of stock options and certain other awards, including stock appreciation rights (SAR), restricted and unrestricted stock, stock units, performance awards, cash awards and other awards that are convertible into or otherwise based on the Company’s common stock, to the Company’s key employees, directors, and consultants and advisors. The 2012 Plan is administered by the Company’s Board of Directors and provides for the issuance of up to 8,000,000 shares of the Company’s Common Stock. Option awards are granted with an exercise price equal to the estimated fair value of the Company’s Common Stock at the grant date. Option awards granted to employees, consultants and advisors generally vest in four annual installments, starting on the first anniversary of the date of grant and have ten-year contractual terms. Option awards granted to the directors generally vest over a one year term.</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Share-based compensation recognized related to the grant of employee and non-employee stock options, SAR, Employee Stock Purchase Plan (ESPP) awards and non-vested stock was as follows, in thousands:</w:t>
      </w:r>
    </w:p>
    <w:p>
      <w:pPr>
        <w:sectPr>
          <w:pgSz w:w="11900" w:h="16915" w:orient="portrait"/>
          <w:cols w:equalWidth="0" w:num="1">
            <w:col w:w="11420"/>
          </w:cols>
          <w:pgMar w:left="240" w:top="337"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7"/>
          </w:tcPr>
          <w:p>
            <w:pPr>
              <w:jc w:val="center"/>
              <w:ind w:right="10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8"/>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4"/>
          </w:tcPr>
          <w:p>
            <w:pPr>
              <w:jc w:val="center"/>
              <w:ind w:left="117"/>
              <w:spacing w:after="0" w:line="142" w:lineRule="exact"/>
              <w:rPr>
                <w:sz w:val="20"/>
                <w:szCs w:val="20"/>
                <w:color w:val="auto"/>
              </w:rPr>
            </w:pPr>
            <w:r>
              <w:rPr>
                <w:rFonts w:ascii="Arial" w:cs="Arial" w:eastAsia="Arial" w:hAnsi="Arial"/>
                <w:sz w:val="14"/>
                <w:szCs w:val="14"/>
                <w:b w:val="1"/>
                <w:bCs w:val="1"/>
                <w:color w:val="auto"/>
                <w:w w:val="94"/>
              </w:rPr>
              <w:t>(unaudited)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Arial" w:cs="Arial" w:eastAsia="Arial" w:hAnsi="Arial"/>
                <w:sz w:val="18"/>
                <w:szCs w:val="18"/>
                <w:color w:val="auto"/>
                <w:w w:val="89"/>
              </w:rPr>
              <w:t>15</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80" w:type="dxa"/>
            <w:vAlign w:val="bottom"/>
            <w:gridSpan w:val="5"/>
          </w:tcPr>
          <w:p>
            <w:pPr>
              <w:spacing w:after="0"/>
              <w:rPr>
                <w:sz w:val="20"/>
                <w:szCs w:val="20"/>
                <w:color w:val="auto"/>
              </w:rPr>
            </w:pPr>
            <w:r>
              <w:rPr>
                <w:rFonts w:ascii="Arial" w:cs="Arial" w:eastAsia="Arial" w:hAnsi="Arial"/>
                <w:sz w:val="18"/>
                <w:szCs w:val="18"/>
                <w:color w:val="auto"/>
              </w:rPr>
              <w:t>The following table summarizes stock option and SAR activity:</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Term (in years)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3,644,088</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1,063,255</w:t>
            </w:r>
          </w:p>
        </w:tc>
        <w:tc>
          <w:tcPr>
            <w:tcW w:w="14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25.71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(152,453)</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Arial" w:cs="Arial" w:eastAsia="Arial" w:hAnsi="Arial"/>
                <w:sz w:val="18"/>
                <w:szCs w:val="18"/>
                <w:color w:val="auto"/>
              </w:rPr>
              <w:t>Forfeited or expired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(45,286)</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June 30, 2017</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4,509,604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Arial" w:cs="Arial" w:eastAsia="Arial" w:hAnsi="Arial"/>
                <w:sz w:val="18"/>
                <w:szCs w:val="18"/>
                <w:color w:val="auto"/>
              </w:rPr>
              <w:t>Vested and expected to vest</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3,591,528</w:t>
            </w:r>
          </w:p>
        </w:tc>
        <w:tc>
          <w:tcPr>
            <w:tcW w:w="14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1,503,004</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June 30, 2017:</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Arial" w:cs="Arial" w:eastAsia="Arial" w:hAnsi="Arial"/>
                <w:sz w:val="18"/>
                <w:szCs w:val="18"/>
                <w:color w:val="auto"/>
              </w:rPr>
              <w:t>Vested and expected to vest</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4,509,604</w:t>
            </w:r>
          </w:p>
        </w:tc>
        <w:tc>
          <w:tcPr>
            <w:tcW w:w="14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2,164,607</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-3234690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-3234690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income per common share is determined by dividing income attributable to common stockholders by the weighted-average number of common shares outstanding during the period, without consideration of common stock equivalents. Diluted income per share is computed by dividing the income attributable to common stockholders by the weighted-average number of common share equivalents outstanding for the period. The treasury stock method is used to determine the dilutive effect of the Company’s stock option grants, SAR, and potential ESPP awards, and the if-converted method is used to determine the dilutive effect of the Company’s Notes.</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common stock equivalents were excluded in the calculation of diluted income per share because their effect would be anti-dilutive as applied to the income from continuing operations applicable to common stockholders for the three and six months ended June 30, 2017 and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160" w:type="dxa"/>
            <w:vAlign w:val="bottom"/>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r>
      <w:tr>
        <w:trPr>
          <w:trHeight w:val="142"/>
        </w:trPr>
        <w:tc>
          <w:tcPr>
            <w:tcW w:w="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904"/>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441"/>
              <w:spacing w:after="0" w:line="142"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tcPr>
          <w:p>
            <w:pPr>
              <w:jc w:val="right"/>
              <w:ind w:right="596"/>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1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Convertible Senior Secured Notes</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Stock options, stock appreciation rights, and ESPP awards</w:t>
            </w:r>
          </w:p>
        </w:tc>
        <w:tc>
          <w:tcPr>
            <w:tcW w:w="3100" w:type="dxa"/>
            <w:vAlign w:val="bottom"/>
            <w:gridSpan w:val="2"/>
          </w:tcPr>
          <w:p>
            <w:pPr>
              <w:jc w:val="right"/>
              <w:ind w:right="524"/>
              <w:spacing w:after="0"/>
              <w:rPr>
                <w:sz w:val="20"/>
                <w:szCs w:val="20"/>
                <w:color w:val="auto"/>
              </w:rPr>
            </w:pPr>
            <w:r>
              <w:rPr>
                <w:rFonts w:ascii="Arial" w:cs="Arial" w:eastAsia="Arial" w:hAnsi="Arial"/>
                <w:sz w:val="18"/>
                <w:szCs w:val="18"/>
                <w:color w:val="auto"/>
              </w:rPr>
              <w:t>122,666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1,124,100</w:t>
            </w:r>
          </w:p>
        </w:tc>
        <w:tc>
          <w:tcPr>
            <w:tcW w:w="300" w:type="dxa"/>
            <w:vAlign w:val="bottom"/>
          </w:tcPr>
          <w:p>
            <w:pPr>
              <w:spacing w:after="0"/>
              <w:rPr>
                <w:sz w:val="20"/>
                <w:szCs w:val="20"/>
                <w:color w:val="auto"/>
              </w:rPr>
            </w:pPr>
          </w:p>
        </w:tc>
        <w:tc>
          <w:tcPr>
            <w:tcW w:w="1100" w:type="dxa"/>
            <w:vAlign w:val="bottom"/>
          </w:tcPr>
          <w:p>
            <w:pPr>
              <w:jc w:val="right"/>
              <w:ind w:right="141"/>
              <w:spacing w:after="0"/>
              <w:rPr>
                <w:sz w:val="20"/>
                <w:szCs w:val="20"/>
                <w:color w:val="auto"/>
              </w:rPr>
            </w:pPr>
            <w:r>
              <w:rPr>
                <w:rFonts w:ascii="Arial" w:cs="Arial" w:eastAsia="Arial" w:hAnsi="Arial"/>
                <w:sz w:val="18"/>
                <w:szCs w:val="18"/>
                <w:color w:val="auto"/>
              </w:rPr>
              <w:t>206,448</w:t>
            </w:r>
          </w:p>
        </w:tc>
        <w:tc>
          <w:tcPr>
            <w:tcW w:w="960" w:type="dxa"/>
            <w:vAlign w:val="bottom"/>
          </w:tcPr>
          <w:p>
            <w:pPr>
              <w:jc w:val="right"/>
              <w:spacing w:after="0"/>
              <w:rPr>
                <w:sz w:val="20"/>
                <w:szCs w:val="20"/>
                <w:color w:val="auto"/>
              </w:rPr>
            </w:pPr>
            <w:r>
              <w:rPr>
                <w:rFonts w:ascii="Arial" w:cs="Arial" w:eastAsia="Arial" w:hAnsi="Arial"/>
                <w:sz w:val="18"/>
                <w:szCs w:val="18"/>
                <w:color w:val="auto"/>
              </w:rPr>
              <w:t>1,159,100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16</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and six months ended June 30, 2017 and 2016,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Net income used for calculation of basic EPS</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17,368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10,251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27,665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Interest expense on convertible debt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Loss on extinguishment of outstanding debt, as if converted</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used for calculation of diluted EPS</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50,530,968</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49,427,825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50,345,830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49,333,962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Convertible Senior Secured Notes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421,708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551,235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1,301,885</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issuable to settle interest make-whole derivatives</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4,631</w:t>
            </w: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52,563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7,013</w:t>
            </w:r>
          </w:p>
        </w:tc>
        <w:tc>
          <w:tcPr>
            <w:tcW w:w="3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bl>
    <w:p>
      <w:pPr>
        <w:sectPr>
          <w:pgSz w:w="11900" w:h="16900" w:orient="portrait"/>
          <w:cols w:equalWidth="0" w:num="1">
            <w:col w:w="11460"/>
          </w:cols>
          <w:pgMar w:left="240" w:top="333"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stock appreciation rights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2,266,407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2,122,245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potential dilutive common shares</w:t>
            </w:r>
          </w:p>
        </w:tc>
        <w:tc>
          <w:tcPr>
            <w:tcW w:w="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2,692,746</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2,317,517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2,680,493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2,150,724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53,223,714</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51,745,342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53,026,323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51,484,686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comparative summary of our income tax expense and effective tax rate for the three and six months ended June 30, 2017 and 2016, in thousands:</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56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92"/>
              </w:rPr>
              <w:t>Three Months ended 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38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61"/>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gridSpan w:val="2"/>
          </w:tcPr>
          <w:p>
            <w:pPr>
              <w:jc w:val="center"/>
              <w:ind w:right="399"/>
              <w:spacing w:after="0" w:line="142" w:lineRule="exact"/>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left="581"/>
              <w:spacing w:after="0" w:line="142" w:lineRule="exact"/>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7"/>
              </w:rPr>
              <w:t>9,057</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14,983</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w:t>
            </w:r>
          </w:p>
        </w:tc>
        <w:tc>
          <w:tcPr>
            <w:tcW w:w="10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income tax expense for the three and six months ended June 30, 2017 is attributed to the U.S. federal and state income tax. The increase in the income tax expense and the effective tax rate for the three and six months ended June 30, 2017 as compared to the same period in the prior year is primarily attributable to the release of the valuation allowance on the deferred tax assets during the third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concurrent leases for office and lab space that extend through April 2020. The Company may elect to extend the term of the leases for an additional five-year term. The leases provide for a tenant improvement allowance of approximately $2.1 million in aggregate. During the three and six months ended June 30, 2017, $49,000 and $79,000 of the allowance was utilized. During the three and six months ended June 30, 2016, none of the allowance was utilized. As of June 30, 2017, $0.4 million remains available for tenant improvements. Rent expense for the leased facilities and leased vehicles for the three and six months ended June 30, 2017 was $0.5 million and $1.2 million, respectively. Rent expense for the leased facilities and leased vehicles for the Company’s sales representatives for the three and six months ended June 30, 2016 was approximately $0.7 million and $1.3 million,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as of June 30, 2017 are as follows, in thousands,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ind w:left="720"/>
              <w:spacing w:after="0"/>
              <w:rPr>
                <w:sz w:val="20"/>
                <w:szCs w:val="20"/>
                <w:color w:val="auto"/>
              </w:rPr>
            </w:pPr>
            <w:r>
              <w:rPr>
                <w:rFonts w:ascii="Arial" w:cs="Arial" w:eastAsia="Arial" w:hAnsi="Arial"/>
                <w:sz w:val="18"/>
                <w:szCs w:val="18"/>
                <w:color w:val="auto"/>
              </w:rPr>
              <w:t>2017 (remaining)</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18"/>
                <w:szCs w:val="18"/>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w:t>
            </w:r>
          </w:p>
        </w:tc>
        <w:tc>
          <w:tcPr>
            <w:tcW w:w="260" w:type="dxa"/>
            <w:vAlign w:val="bottom"/>
            <w:shd w:val="clear" w:color="auto" w:fill="CCEEFF"/>
          </w:tcPr>
          <w:p>
            <w:pPr>
              <w:spacing w:after="0"/>
              <w:rPr>
                <w:sz w:val="18"/>
                <w:szCs w:val="18"/>
                <w:color w:val="auto"/>
              </w:rPr>
            </w:pPr>
          </w:p>
        </w:tc>
      </w:tr>
      <w:tr>
        <w:trPr>
          <w:trHeight w:val="216"/>
        </w:trPr>
        <w:tc>
          <w:tcPr>
            <w:tcW w:w="5920" w:type="dxa"/>
            <w:vAlign w:val="bottom"/>
          </w:tcPr>
          <w:p>
            <w:pPr>
              <w:ind w:left="72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1,344</w:t>
            </w:r>
          </w:p>
        </w:tc>
        <w:tc>
          <w:tcPr>
            <w:tcW w:w="2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Thereafter</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The Company does not owe any future milestone payments for SPN-810. The Company is obligated to pay royalties to Afecta as a low single digit percentage of worldwide net product sales.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w:t>
      </w:r>
    </w:p>
    <w:p>
      <w:pPr>
        <w:spacing w:after="0" w:line="183" w:lineRule="exact"/>
        <w:rPr>
          <w:sz w:val="20"/>
          <w:szCs w:val="20"/>
          <w:color w:val="auto"/>
        </w:rPr>
      </w:pPr>
    </w:p>
    <w:p>
      <w:pPr>
        <w:ind w:right="918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 Royalty Revenue</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agreement with United Therapeutics Corporation related to the commercialization of Orenitram (treprostinil) Extended-Release Tablets. We will retain full ownership of the royalty rights if and when a certain threshold is reached per the terms of the Agreement. We have recorded a non-recourse liability related to this transaction and have begun to amortize this amount to recognize non-cash royalty revenue as royalties are received by HC Royalty from United Therapeutics. We also recognized non-cash interest expense related to this liability that accrues at an effective interest rate, which is determined based on projections of HC Royalty’s rate of return. We recognized royalty revenue of $1.2 million for the three months ended June 30, 2017 and $1.2 million for the three months ended June 30, 2016, respectively. We recognized non-cash interest expense of $0.2 million for the three months ended June 30, 2017 and $1.3 million for the three months ended June 30, 2016, respectively. We recognized royalty revenue of $2.3 million for the six months ended June 30, 2017 and $2.3 million for the six months ended June 30, 2016, respectively. We recognized non-cash interest expense of $1.1 million for the six months ended June 30, 2017 and $2.6 million for the six months ended June 30, 2016,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Subsequent to June 30, 2017, holders of the Notes converted approximately $1.6 million of the Notes. We issued a total of approximately 297,000 shares of common stock in conversion of the principal amount of the Notes and accrued interest thereon. Subsequent to these conversions, the principal amount of the Notes outstanding was zero. Our obligations under the Indenture governing the Notes were satisfied and discharged.</w:t>
      </w:r>
    </w:p>
    <w:p>
      <w:pPr>
        <w:sectPr>
          <w:pgSz w:w="11900" w:h="16838" w:orient="portrait"/>
          <w:cols w:equalWidth="0" w:num="1">
            <w:col w:w="11420"/>
          </w:cols>
          <w:pgMar w:left="240" w:top="140"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is intended to help the reader understand the results of operations and the financial condition of the Company. The interim financial statements included in this report and this Management’s Discussion and Analysis of our Financial Condition and Results of Operations should be read in conjunction with our audited consolidated financial statements and notes thereto for the year ended December 31, 2016 and the related Management’s Discussion and Analysis of Financial Condition and Results of Operations, both of which are contained in our Annual Report on Form 10-K filed with the Securities and Exchange Commission on March 16, 2017.</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the Company’s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specialty pharmaceutical company focused on developing and commercializing products for the treatment of central nervous system (CNS) diseases.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Oxtellar XR and Trokendi XR are the first once-daily extended release oxcarbazepine and topiramate products, launched in 2013 for the treatment of epilepsy in the U.S. market. On April 5, 2017, Trokendi XR received final approval from the United States Food and Drug Administration (FDA) for the additional indication of treatment of prophylaxis of migraine headache in adults and adolescents. These products differ from immediate release products by offering once-daily dosing and unique pharmacokinetic profiles which we believe can have positive clinical effects for many patients. We believe a once-daily dosing regimen improves adherence, making it more probable that patients maintain sufficient levels of medication in their bloodstream to protect against seizures and migraines. In addition, we believe that the unique smooth and steady pharmacokinetic profiles of our once-daily formulations reduce the peak to trough blood level fluctuations that are typically associated with immediate release products and which may result in increased adverse events (AEs), more side effects and decreased efficacy.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we are developing multiple product candidates in psychiatry to address large unmet medical needs and market opportunities. We are developing SPN-810 (molindone hydrochloride) initially to treat impulsive aggression (IA) in children and adolescents who have attention deficit hyperactivity disorder (ADHD). We plan to subsequently develop SPN-810 for treatment of IA in other CNS diseases, such as autism, post traumatic stress disorder (PTSD), bipolar disorder, schizophrenia, and some forms of dementia. There are currently no approved products indicated for the treatment of IA. We are developing SPN-812 (viloxazine hydrochloride) as a novel, non-stimulant candidate to treat children and adolescents who have ADHD.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Indication</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210"/>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Oxtellar XR</w:t>
            </w: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Epilepsy</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Launched in 2013</w:t>
            </w:r>
          </w:p>
        </w:tc>
      </w:tr>
      <w:tr>
        <w:trPr>
          <w:trHeight w:val="202"/>
        </w:trPr>
        <w:tc>
          <w:tcPr>
            <w:tcW w:w="254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3"/>
              </w:rPr>
              <w:t>Trokendi XR</w:t>
            </w:r>
          </w:p>
        </w:tc>
        <w:tc>
          <w:tcPr>
            <w:tcW w:w="22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Epilepsy</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90"/>
              </w:rPr>
              <w:t>Launched in 2013</w:t>
            </w:r>
          </w:p>
        </w:tc>
      </w:tr>
      <w:tr>
        <w:trPr>
          <w:trHeight w:val="230"/>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Migraine*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Launched in 2017</w:t>
            </w:r>
          </w:p>
        </w:tc>
      </w:tr>
      <w:tr>
        <w:trPr>
          <w:trHeight w:val="216"/>
        </w:trPr>
        <w:tc>
          <w:tcPr>
            <w:tcW w:w="2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SPN-810</w:t>
            </w:r>
          </w:p>
        </w:tc>
        <w:tc>
          <w:tcPr>
            <w:tcW w:w="2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IA**</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Phase III</w:t>
            </w:r>
          </w:p>
        </w:tc>
      </w:tr>
      <w:tr>
        <w:trPr>
          <w:trHeight w:val="216"/>
        </w:trPr>
        <w:tc>
          <w:tcPr>
            <w:tcW w:w="25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SPN-812</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rPr>
              <w:t>ADHD</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Phase IIb</w:t>
            </w:r>
          </w:p>
        </w:tc>
      </w:tr>
      <w:tr>
        <w:trPr>
          <w:trHeight w:val="216"/>
        </w:trPr>
        <w:tc>
          <w:tcPr>
            <w:tcW w:w="2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SPN-809</w:t>
            </w:r>
          </w:p>
        </w:tc>
        <w:tc>
          <w:tcPr>
            <w:tcW w:w="2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Depression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Phase II ready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225" w:lineRule="exact"/>
        <w:rPr>
          <w:sz w:val="20"/>
          <w:szCs w:val="20"/>
          <w:color w:val="auto"/>
        </w:rPr>
      </w:pPr>
    </w:p>
    <w:p>
      <w:pPr>
        <w:ind w:right="900" w:firstLine="8"/>
        <w:spacing w:after="0" w:line="277" w:lineRule="auto"/>
        <w:tabs>
          <w:tab w:leader="none" w:pos="6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program is in patients with ADHD, with plans to add other indications, such as IA in patients with autism, PTSD, bipolar disorder, schizophrenia, and some forms of dementia.</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seven U.S. patents issued covering Oxtellar XR and nine U.S. patents issued covering Trokendi XR, providing patent protection expiring no earlier than 2027 for each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Trokendi XR</w:t>
      </w:r>
    </w:p>
    <w:p>
      <w:pPr>
        <w:sectPr>
          <w:pgSz w:w="11900" w:h="16838" w:orient="portrait"/>
          <w:cols w:equalWidth="0" w:num="1">
            <w:col w:w="11420"/>
          </w:cols>
          <w:pgMar w:left="240" w:top="125" w:right="239" w:bottom="0" w:gutter="0" w:footer="0" w:header="0"/>
          <w:type w:val="continuous"/>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Trokendi XR, the first once-daily extended release topiramate product indicated for patients with epilepsy in the U.S. market, is designed to improve patient adherence over the current immediate release products, which must be taken multiple times per day.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April 2017, we launched Trokendi XR for the treatment of prophylaxis of migraine headache in adults and adolescents after receiving final FDA approval.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Oxtellar XR is the only once-daily extended release oxcarbazepine product indicated for the treatment of patients with epilepsy in the U.S. as adjunctive therapy.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IMS Prescriptions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expect the number of prescriptions filled for Oxtellar XR and Trokendi XR to continue to increase through 2017 and in subsequent years. Data from Intercontinental Marketing Services (IMS) shows 293,607 prescriptions filled for both drugs during the six months ended June 30, 2017, which is 22.8% higher than the prescriptions reported for the six months ended June 30, 2016.</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the migraine launch, IMS prescription data for Trokendi XR has shown robust acceleration in prescription growth. For the second quarter of 2017, total prescriptions for Trokendi XR increased by 22,534, or 22.2%, from the first quarter of 2017. This compares to an increase of 6,996 prescriptions, or 8.1%, in the second quarter of 2016 over the first quarter of 2016. Similarly, for the same sequential quarter-to-quarter time periods, new prescriptions for Trokendi XR increased by 14,594, or 31.2%, in 2017, compared to 2,352, or 5.8%,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received several Paragraph IV Notice Letters concerning Oxtellar XR and Trokendi XR from various third-parties. (See Part II, Item 1—Legal Proceedings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developing SPN-810 as a novel treatment for IA in patients who have ADHD. Our Phase III clinical trial (P301) is being conducted under a Special Protocol Assessment (SPA). SPN-810 has been granted fast-track designation by the FDA. The Phase III trials for SPN-810 are being conducted using an agreed-upon novel scale that was developed by us to measure IA. We initiated two Phase III clinical trials in 2015 (P301 and P302) and expect patient enrollment to continue through mid-2018.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SPN-812 is being developed as a novel non-stimulant treatment for ADHD. During 2016, we completed a Phase IIb dose ranging trial and announced positive topline results. Subsequent to the end of Phase II meeting with the FDA in the June 2017, we plan to initiate Phase III clinical trials for SPN-812 during the second half of 2017.</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2017 through FDA approval or until the program terminates.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Mydayis (mixed salts of a single-entity amphetamine product) was originally developed by Shire Laboratories, the former division of Shire that subsequently became Supernus Pharmaceuticals. On June 20, 2017, Shire announced that the FDA approved Mydayis, a once-daily treatment comprised of three different types of drug-releasing beads, for patients 13 years and older with ADHD. Based on the agreement between the Company and Shire, Shire will pay to the Company a single digit percentage royalty on net sales of the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significant accounting policies and bases of presentation for our consolidated financial statements are described in Note 2 “Summary of Significant Accounting Policies.” The preparation of our consolidated financial statements in accordance with U.S. generally accepted accounting principles (GAAP) requires us to make estimates and assumptions that affect the reported amounts of assets, liabilities, revenues, and expenses and to disclose contingent assets and liabilities.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discounts, allowances, co-pay assistance payments and other deductions as well as estimated product returns (collectively, “sales deductions”).</w:t>
      </w:r>
    </w:p>
    <w:p>
      <w:pPr>
        <w:spacing w:after="0" w:line="15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derive our estimated sales deductions from an analysis of historical levels of deductions specific to each product. In addition, we also consider the impact of anticipated changes in product price, sales trends and changes in managed care coverage and co-pay assistance programs.</w:t>
      </w:r>
    </w:p>
    <w:p>
      <w:pPr>
        <w:sectPr>
          <w:pgSz w:w="11900" w:h="16838" w:orient="portrait"/>
          <w:cols w:equalWidth="0" w:num="1">
            <w:col w:w="11420"/>
          </w:cols>
          <w:pgMar w:left="240" w:top="341" w:right="239" w:bottom="0" w:gutter="0" w:footer="0" w:header="0"/>
        </w:sectPr>
      </w:pPr>
    </w:p>
    <w:bookmarkStart w:id="16" w:name="page17"/>
    <w:bookmarkEnd w:id="16"/>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Legal Fees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Deferred legal fees are comprised of costs incurred in connection with defense of patents for Oxtellar XR and Trokendi XR. Amortization commences upon successful outcome of the ongoing litigation. Deferred legal fees will be charged to expense in the event of an unsuccessful outcome of the on-going litigation.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Research and development expenditures are expensed as incurred. Research and development costs consist primarily of employee-related expenses, including salaries and benefits; share-based compensation expense; expenses incurred under agreements with clinical research organizations (CROs), fees paid to investigators who are participating in our clinical sites,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Clinical Expenses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Clinical trials are inherently complex and often involve multiple service providers. Because billing for services often lags by a substantial amount of time, we often are required to estimate a significant portion of our accrued clinical expenses. This process involves reviewing open contracts and communicating with our subject matter expert personnel and the appropriate service provider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personnel to identify services that have been performed on our behalf. We accrue for the estimated but unbilled service performed and the associated cost incurred.</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provide an estimate for incurred but unbilled services as of the end of the calendar quarter. This includes estimates for payments to site investigators.</w:t>
      </w:r>
    </w:p>
    <w:p>
      <w:pPr>
        <w:spacing w:after="0" w:line="17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future periods. Historically, our estimated accrued clinical expenses have closely approximated actual expense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118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1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Borders>
              <w:top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300" w:type="dxa"/>
            <w:vAlign w:val="bottom"/>
            <w:gridSpan w:val="2"/>
          </w:tcPr>
          <w:p>
            <w:pPr>
              <w:jc w:val="right"/>
              <w:ind w:right="68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73,328</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50,335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22,993</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1,236</w:t>
            </w:r>
          </w:p>
        </w:tc>
        <w:tc>
          <w:tcPr>
            <w:tcW w:w="11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75,829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51,626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10,823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11,109</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35,078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26,121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8,957</w:t>
            </w:r>
          </w:p>
        </w:tc>
        <w:tc>
          <w:tcPr>
            <w:tcW w:w="11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49,762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39,981</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1180" w:type="dxa"/>
            <w:vAlign w:val="bottom"/>
          </w:tcPr>
          <w:p>
            <w:pPr>
              <w:spacing w:after="0"/>
              <w:rPr>
                <w:sz w:val="18"/>
                <w:szCs w:val="18"/>
                <w:color w:val="auto"/>
              </w:rPr>
            </w:pPr>
          </w:p>
        </w:tc>
      </w:tr>
      <w:tr>
        <w:trPr>
          <w:trHeight w:val="202"/>
        </w:trPr>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Interest expense-nonrecourse liability related to sale of future</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(1,281)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(1,121)</w:t>
            </w:r>
          </w:p>
        </w:tc>
        <w:tc>
          <w:tcPr>
            <w:tcW w:w="1180" w:type="dxa"/>
            <w:vAlign w:val="bottom"/>
          </w:tcPr>
          <w:p>
            <w:pPr>
              <w:spacing w:after="0"/>
              <w:rPr>
                <w:sz w:val="20"/>
                <w:szCs w:val="20"/>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1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4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8,652</w:t>
            </w:r>
          </w:p>
        </w:tc>
        <w:tc>
          <w:tcPr>
            <w:tcW w:w="118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1300" w:type="dxa"/>
            <w:vAlign w:val="bottom"/>
            <w:gridSpan w:val="2"/>
          </w:tcPr>
          <w:p>
            <w:pPr>
              <w:jc w:val="right"/>
              <w:ind w:right="484"/>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Net Product Sales. </w:t>
      </w:r>
      <w:r>
        <w:rPr>
          <w:rFonts w:ascii="Arial" w:cs="Arial" w:eastAsia="Arial" w:hAnsi="Arial"/>
          <w:sz w:val="16"/>
          <w:szCs w:val="16"/>
          <w:color w:val="auto"/>
        </w:rPr>
        <w:t>The increase in net product sales for the three months ended June 30, 2017 as compared to the same period in 2016 is primarily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prescription volume from the launch of the migraine indication for Trokendi XR in April 2017. Price increases taken over in 2016 and 2017 also</w:t>
      </w:r>
    </w:p>
    <w:p>
      <w:pPr>
        <w:sectPr>
          <w:pgSz w:w="11900" w:h="16921"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contributed to increase in net product sales. Net product sales are based on gross revenue from shipments to distributors, less estimates for discounts, rebates, allowances, other sales deductions and returns. The table below lists our net product sales by product,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1"/>
              </w:rPr>
              <w:t>Net Product Sales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6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55,989</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37,663</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Oxtellar XR</w:t>
            </w:r>
          </w:p>
        </w:tc>
        <w:tc>
          <w:tcPr>
            <w:tcW w:w="8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17,339</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12,672</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73,328</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50,335</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 xml:space="preserve">Royalty Revenue. </w:t>
      </w:r>
      <w:r>
        <w:rPr>
          <w:rFonts w:ascii="Arial" w:cs="Arial" w:eastAsia="Arial" w:hAnsi="Arial"/>
          <w:sz w:val="16"/>
          <w:szCs w:val="16"/>
          <w:color w:val="auto"/>
        </w:rPr>
        <w:t>Non-cash royalty revenue was $1.2 million during the three months ended June 30, 2017 as compared to $1.2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2016, based on sales of Orenitram (treprostinil) Extended-Release Tablets as reported to Healthcare Royalty Partners III, L.P. (HC Royalty).</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three months ended June 30, 2017 and 2016 was $1.3 million and $86,000 respectively. The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 million is primarily due to milestone revenue from our collaboration partners.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three months ended June 30, 2017 was $3.9 million, an increase of $1.1 million, or 40.3%,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$2.8 million for the three months ended June 30, 2016. The quarter over quarter increase is attributable primarily to increased number of units sold.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(R&amp;D) expenses during the three months ended June 30, 2017 were $10.8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$11.1 million for the three months ended June 30, 2016, a decrease of $0.3 million or 2.6%. This decrease is primarily due to the completion of enrollment in 2016 of the Phase IIb dose ranging trial for SPN-812.</w:t>
      </w:r>
    </w:p>
    <w:p>
      <w:pPr>
        <w:spacing w:after="0" w:line="1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Our selling, general and administrative (SG&amp;A) expenses were $35.1 million during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2017 as compared to $26.1 million for the three months ended June 30, 2016, an increase of $9.0 million or 34.3%. The increase in SG&amp;A expenses is primarily due to the sales and marketing activities and programs related to the April 2017 launch of the migraine indication for Trokendi XR.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During the three months ended June 30, 2017 and 2016, we recognized $0.7 million and $0.4 million, respectively, of interest income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cash and marketable securities investments.</w:t>
      </w:r>
    </w:p>
    <w:p>
      <w:pPr>
        <w:spacing w:after="0" w:line="17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was $58,000 during the three months ended June 30, 2017 as compared to $196,000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The decrease of $138,000 was primarily due to the decrease in the principal amount of our outstanding 7.5% Convertible Senior Secured Notes due in 2019 (the Notes) from $6.6 million at June 30, 2016 to $1.6 million at June 30, 2017. During the three months ended June 30, 2017, a total of $2.0 million of Notes and related accrued interest converted into 0.4 million shares of common stock.</w:t>
      </w:r>
    </w:p>
    <w:p>
      <w:pPr>
        <w:spacing w:after="0" w:line="17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Expense—Non-recourse Liability Related to Sale of Future Royalties. </w:t>
      </w:r>
      <w:r>
        <w:rPr>
          <w:rFonts w:ascii="Arial" w:cs="Arial" w:eastAsia="Arial" w:hAnsi="Arial"/>
          <w:sz w:val="17"/>
          <w:szCs w:val="17"/>
          <w:color w:val="auto"/>
        </w:rPr>
        <w:t>Non-cash interest expense related to our royalty liability was $0.2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three months ended June 30, 2017 as compared to $1.3 million for the three months ended June 30, 2016. The decrease of $1.1 million for this non-cash expense item was primarily due to a decrease in our projection of future royalties related to Orenitram.</w:t>
      </w:r>
    </w:p>
    <w:p>
      <w:pPr>
        <w:spacing w:after="0" w:line="166"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 xml:space="preserve">Changes in Fair Value of Derivative Liability. </w:t>
      </w:r>
      <w:r>
        <w:rPr>
          <w:rFonts w:ascii="Arial" w:cs="Arial" w:eastAsia="Arial" w:hAnsi="Arial"/>
          <w:sz w:val="17"/>
          <w:szCs w:val="17"/>
          <w:color w:val="auto"/>
        </w:rPr>
        <w:t>During the three months ended June 30, 2017 and 2016, we recognized a non-cash gain of $23,000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$123,000, respectively, related to a change in estimated fair value of the interest make-whole derivative liability related to our Notes. The decrease of $100,000 is primarily due to the decrease in the derivative liability balance as a result of notes conversions during the period.</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During the three months ended June 30, 2017, we recognized a non-cash loss on extinguishment of debt of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conversion of $2.0 million of our Notes. During the three months ended June 30, 2016, there was no loss on extinguishment of debt as no Notes were converted.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During the three months ended June 30, 2017, we recorded $9.1 million of tax expense as compared to $0.4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2016, an increase of $8.7 million. During the third quarter of 2016, we released the full amount of the valuation allowance recorded against our deferred tax assets. As a result, 2017 tax expense is recognized at a rate of approximately 35%, consistent with our expectations going forward.</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realized net income of $17.4 million during the three months ended June 30, 2017, as compared to net income of $10.2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2016, an increase of $7.2 million. This change was primarily due to increased revenue generated from our two commercial products, Oxtellar XR and Trokendi XR, offset by increased SG&amp;A spending and the increased tax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June 30,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left="115"/>
              <w:spacing w:after="0"/>
              <w:rPr>
                <w:sz w:val="20"/>
                <w:szCs w:val="20"/>
                <w:color w:val="auto"/>
              </w:rPr>
            </w:pPr>
            <w:r>
              <w:rPr>
                <w:rFonts w:ascii="Arial" w:cs="Arial" w:eastAsia="Arial" w:hAnsi="Arial"/>
                <w:sz w:val="14"/>
                <w:szCs w:val="14"/>
                <w:b w:val="1"/>
                <w:bCs w:val="1"/>
                <w:color w:val="auto"/>
                <w:w w:val="91"/>
              </w:rPr>
              <w:t>Six Months ended June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center"/>
              <w:ind w:left="115"/>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129,697</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93,360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36,337</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revenue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Licensing revenue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95,819</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410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20,425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21,671</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(1,246)</w:t>
            </w:r>
          </w:p>
        </w:tc>
      </w:tr>
      <w:tr>
        <w:trPr>
          <w:trHeight w:val="205"/>
        </w:trPr>
        <w:tc>
          <w:tcPr>
            <w:tcW w:w="410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63,316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w w:val="87"/>
              </w:rPr>
              <w:t>51,281</w:t>
            </w: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12,035</w:t>
            </w:r>
          </w:p>
        </w:tc>
      </w:tr>
    </w:tbl>
    <w:p>
      <w:pPr>
        <w:sectPr>
          <w:pgSz w:w="11900" w:h="16900"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77,738</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(375)</w:t>
            </w: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180" w:type="dxa"/>
            <w:vAlign w:val="bottom"/>
          </w:tcPr>
          <w:p>
            <w:pPr>
              <w:spacing w:after="0"/>
              <w:rPr>
                <w:sz w:val="18"/>
                <w:szCs w:val="18"/>
                <w:color w:val="auto"/>
              </w:rPr>
            </w:pPr>
          </w:p>
        </w:tc>
      </w:tr>
      <w:tr>
        <w:trPr>
          <w:trHeight w:val="202"/>
        </w:trPr>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Interest expense-nonrecourse liability related to sale of future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(2,560)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180" w:type="dxa"/>
            <w:vAlign w:val="bottom"/>
          </w:tcPr>
          <w:p>
            <w:pPr>
              <w:spacing w:after="0"/>
              <w:rPr>
                <w:sz w:val="20"/>
                <w:szCs w:val="20"/>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1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14,983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6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14,378</w:t>
            </w:r>
          </w:p>
        </w:tc>
        <w:tc>
          <w:tcPr>
            <w:tcW w:w="118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b w:val="1"/>
          <w:bCs w:val="1"/>
          <w:i w:val="1"/>
          <w:iCs w:val="1"/>
          <w:color w:val="auto"/>
        </w:rPr>
        <w:t xml:space="preserve">Net Product Sales. </w:t>
      </w:r>
      <w:r>
        <w:rPr>
          <w:rFonts w:ascii="Arial" w:cs="Arial" w:eastAsia="Arial" w:hAnsi="Arial"/>
          <w:sz w:val="16"/>
          <w:szCs w:val="16"/>
          <w:color w:val="auto"/>
        </w:rPr>
        <w:t>The increase in net product sales for the six months ended June 30, 2017 as compared to the same period 2016, $36.3 million,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driven by increased prescription volume from the launch of the migraine indication for Trokendi XR in April 2017. Price increases taken over in 2016 and 2017 also contributed to increases in net product sales. Net product sales are based on gross revenue from shipments to distributors, less estimates for discounts, rebates, allowances, other sales deductions and returns. The table below lists our net product sales by product,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Net Product Sales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2"/>
              </w:rPr>
              <w:t>Six Months ended June 30,</w:t>
            </w:r>
          </w:p>
        </w:tc>
        <w:tc>
          <w:tcPr>
            <w:tcW w:w="2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8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97,998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69,983</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Oxtellar XR</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31,699</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23,377</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129,697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93,360</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Royalty Revenue. </w:t>
      </w:r>
      <w:r>
        <w:rPr>
          <w:rFonts w:ascii="Arial" w:cs="Arial" w:eastAsia="Arial" w:hAnsi="Arial"/>
          <w:sz w:val="16"/>
          <w:szCs w:val="16"/>
          <w:color w:val="auto"/>
        </w:rPr>
        <w:t>Non-cash royalty revenue was $2.3 million during the six months ended June 30, 2017 as compared to $2.3 million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2016, based on sales of Orenitram (treprostinil) Extended-Release Tablets as reported to Healthcare Royalty Partners III, L.P. (HC Royalty).</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six months ended June 30, 2017 and 2016 was $1.4 million and $0.1 million respectively. The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 million is primarily due to milestone revenue from payments received from our collaboration partners.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Cost of product sales during the six months ended June 30, 2017 was $6.8 million, an increase of $2.0 million, or 42.3%,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$4.8 million for the six months ended June 30, 2016. The quarter over quarter increase is attributable primarily to increased number of units sold.</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(R&amp;D) expenses during the six months ended June 30, 2017 were $20.4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$21.7 million for the six months ended June 30, 2016, a decrease of $1.3 million or 5.7%. This decrease is primarily due to the completion of enrollment in 2016 of the Phase IIb dose ranging trial for SPN-812.</w:t>
      </w:r>
    </w:p>
    <w:p>
      <w:pPr>
        <w:spacing w:after="0" w:line="1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Our selling, general and administrative (SG&amp;A) expenses were $63.3 million during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2017 as compared to $51.3 million for the six months ended June 30, 2016, an increase of $12.0 million or 23.5%. The increase in SG&amp;A expenses is primarily due to the sales and marketing activities and programs related to the April 2017 launch of the migraine indication for Trokendi XR.</w:t>
      </w:r>
    </w:p>
    <w:p>
      <w:pPr>
        <w:spacing w:after="0" w:line="14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During the six months ended June 30, 2017 and 2016, we recognized $1.2 million and $0.7 million, respectively, of interest income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cash and marketable securities investments.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$0.1 million during the six months ended June 30, 2017 as compared to $0.4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The decrease of $0.3 million was primarily due to a decrease in the principal amount of our outstanding 7.5% Convertible Senior Secured Notes due in 2019 (the Notes) from $6.6 million at June 30, 2016 to $1.6 million at June 30, 2017. During the six months ended June 30, 2017, a total of $3.0 million of Notes and related accrued interest converted into 0.6 million shares of common stock.</w:t>
      </w:r>
    </w:p>
    <w:p>
      <w:pPr>
        <w:spacing w:after="0" w:line="18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Expense—Non-recourse Liability Related to Sale of Future Royalties. </w:t>
      </w:r>
      <w:r>
        <w:rPr>
          <w:rFonts w:ascii="Arial" w:cs="Arial" w:eastAsia="Arial" w:hAnsi="Arial"/>
          <w:sz w:val="17"/>
          <w:szCs w:val="17"/>
          <w:color w:val="auto"/>
        </w:rPr>
        <w:t>Non-cash interest expense related to our royalty liability was $1.1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six months ended June 30, 2017 as compared to $2.6 million for the six months ended June 30, 2016. The decrease of $1.5 million for this non-cash expense item was primarily due to a decrease in our projection of future royalties related to Orenitram.</w:t>
      </w:r>
    </w:p>
    <w:p>
      <w:pPr>
        <w:spacing w:after="0" w:line="166"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b w:val="1"/>
          <w:bCs w:val="1"/>
          <w:i w:val="1"/>
          <w:iCs w:val="1"/>
          <w:color w:val="auto"/>
        </w:rPr>
        <w:t xml:space="preserve">Changes in Fair Value of Derivative Liability. </w:t>
      </w:r>
      <w:r>
        <w:rPr>
          <w:rFonts w:ascii="Arial" w:cs="Arial" w:eastAsia="Arial" w:hAnsi="Arial"/>
          <w:sz w:val="16"/>
          <w:szCs w:val="16"/>
          <w:color w:val="auto"/>
        </w:rPr>
        <w:t>During the six months ended June 30, 2017 and 2016, we recognized a non-cash gain of $76,000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$224,000, respectively, related to a change in estimated fair value of the interest make-whole derivative liability related to our Notes. The decrease of $148,000 is primarily due to the decrease in the derivative liability balance as a result of notes conversions during the period.</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During the six months ended June 30, 2017, we recognized a non-cash loss on extinguishment of debt of $0.2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conversion of $3.0 million of our Notes. During the six months ended June 30, 2016, we recognized a non-cash loss on extinguishment of debt of $0.4 million related to the conversion of $2.0 million of our Notes.</w:t>
      </w:r>
    </w:p>
    <w:p>
      <w:pPr>
        <w:sectPr>
          <w:pgSz w:w="11900" w:h="16838" w:orient="portrait"/>
          <w:cols w:equalWidth="0" w:num="1">
            <w:col w:w="11460"/>
          </w:cols>
          <w:pgMar w:left="240" w:top="120" w:right="199" w:bottom="0" w:gutter="0" w:footer="0" w:header="0"/>
        </w:sectPr>
      </w:pPr>
    </w:p>
    <w:bookmarkStart w:id="19" w:name="page20"/>
    <w:bookmarkEnd w:id="19"/>
    <w:p>
      <w:pPr>
        <w:spacing w:after="0" w:line="78"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During the six months ended June 30, 2017, we recorded $15.0 million of tax expense as compared to $0.6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2016, an increase of $14.4 million. During the third quarter of 2016, we released the full amount of the valuation allowance recorded against our deferred tax assets. As a result, 2017 tax expense is recognized at a rate of approximately 35%, consistent with our expectations going forward.</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realized net income of $27.7 million during the six months ended June 30, 2017, as compared to net income of $15.1 million during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2016, an increase of $12.6 million. This change was primarily due to the revenue generated from our two commercial products, Oxtellar XR and Trokendi XR, offset by increased SG&amp;A spending, and the increased tax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our increasing levels of net product sales will be sufficient to finance our operations in 2017 and subsequent years, including the increased R&amp;D expenses for our clinical trials. We expect to incur significantly increased R&amp;D expenses for the remainder of 2017 and in subsequent years to support the development of SPN-810 and SPN-812, including their respective Phase III trials.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working capital at June 30, 2017 was $80.0 million, an increase of $9.2 million compared to our working capital of $70.7 million at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long term marketable securities at June 30, 2017 were $104.6 million, an increase of $29.2 million compared to $75.4 million at December 31, 2016.</w:t>
      </w:r>
    </w:p>
    <w:p>
      <w:pPr>
        <w:spacing w:after="0" w:line="2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stockholders’ equity increased by $37.6 million during the six month period ended June 30, 2017, primarily as a result of net income, the issuance of shares related to the conversion of our Notes and share-based compensation.</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June 30, 2017, holders of the Notes have converted a total of approximately $88.4 million of the Notes. Cumulatively, through June 30, 2017, we issued a total of approximately 16.7 million shares of common stock in the conversion of the principal amount of the Notes. We issued an additional 2.2 million shares of common stock and also paid approximately $1.7 million in cash in settlement of the interest make-whole provision related to the converted Notes.</w:t>
      </w:r>
    </w:p>
    <w:p>
      <w:pPr>
        <w:spacing w:after="0" w:line="14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Subsequent to June 30, 2017, holders of the Notes converted approximately $1.6 million of the Notes. We issued a total of approximately 297,000 shares of common stock in conversion of the principal amount of the Notes and accrued interest thereon. Subsequent to these conversions, the principal amount of the Notes outstanding was zero. Our obligations under the Indenture governing the Notes were satisfied and discharged.</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achieved positive cash flow and profitability from operations in each quarter of 2016 and in the first and second quarters of 2017. While we expect to maintain profitability in 2017 as we continue to increase sales, we anticipate there may be significant variability from quarter to quarter in our level of profitability due to increasing spending to advance our clinical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sources and uses of cash and equivalents for the periods set forth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5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(decrease)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(unaudited)</w:t>
            </w: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39,300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13,635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(11,972)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2,658</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7"/>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provided by/used in operating activities is comprised of two components: cash provided by operating income/loss and cash provided by/used in changes in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six months ended June 30, 2017 and 2016 are summarized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income</w:t>
            </w:r>
          </w:p>
        </w:tc>
        <w:tc>
          <w:tcPr>
            <w:tcW w:w="21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44,150</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19,963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used in working capital</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(4,850)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(6,328)</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39,300</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13,635</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net cash provided by operating activities is primarily driven by increased revenue generated from the sale of Trokendi XR and Oxtellar XR.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cash used in changes in working capital is primarily driven by increased net sales deductions associated with our increased revenues.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certain operating assets and liabilities are, in thousands:</w:t>
      </w:r>
    </w:p>
    <w:p>
      <w:pPr>
        <w:spacing w:after="0" w:line="217"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Six Months ended June 30,</w:t>
      </w:r>
    </w:p>
    <w:p>
      <w:pPr>
        <w:spacing w:after="0" w:line="4"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Explanation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-97155</wp:posOffset>
            </wp:positionV>
            <wp:extent cx="1920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917"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Increased sales.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Decrease (increase) in inventory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Utilization of build-up of inventory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(3,786)</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migrane launch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(Increase) decrease in prepaid expenses and other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Increase due to milestone receivable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collaborative partners. Decrease due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(1,791)</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40" w:type="dxa"/>
            <w:vAlign w:val="bottom"/>
            <w:shd w:val="clear" w:color="auto" w:fill="CCEEFF"/>
          </w:tcPr>
          <w:p>
            <w:pPr>
              <w:spacing w:after="0"/>
              <w:rPr>
                <w:sz w:val="20"/>
                <w:szCs w:val="20"/>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progress of clinical trials.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Increase in accounts payable, accrued sales deductions,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Timing of accruals, including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accrued expenses, and accrued income taxes payable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and increased sales deductions and clinical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6,046</w:t>
            </w: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3,598</w:t>
            </w:r>
          </w:p>
        </w:tc>
        <w:tc>
          <w:tcPr>
            <w:tcW w:w="14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trial accruals.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invest excess cash in accordance with our investment policy. Marketable securities consist of investments which mature in four years or less, including U.S. Treasury and various government agency debt securities, as well as investment grade securities in industrial and financial institutions. Fluctuations in investing activities between periods relate exclusively to the timing of marketable security purchases and the related maturities of these securities.</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2017 of $46.1 million relate to the net purchase of marketable securities of $36.0 million, deferred legal fees of $9.2 million, and property and equipment purchases of $0.9 million. Net cash used in investing activities for the six months ended June 30, 2016 of $12.0 million relate to the net purchase of marketable securities of $7.4 million, deferred legal fees of $3.7 million, and property and equipment purchases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provided by financing activities of $2.2 million and $1.0 million for the six months ended June 30, 2017 and 2016, respectively, is from proceeds received from stock option exercises.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and commitments as of June 30, 2017 (except as noted below), in thousands, unaudited:</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1 - 3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3 - 5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Greater than</w:t>
            </w:r>
          </w:p>
        </w:tc>
        <w:tc>
          <w:tcPr>
            <w:tcW w:w="26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Convertible Senior Secured Notes </w:t>
            </w:r>
            <w:r>
              <w:rPr>
                <w:rFonts w:ascii="Arial" w:cs="Arial" w:eastAsia="Arial" w:hAnsi="Arial"/>
                <w:sz w:val="23"/>
                <w:szCs w:val="23"/>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Interest on Convertible Notes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(3)</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137,457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23,456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4,675</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165,588</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(4)</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60" w:hanging="652"/>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Subsequent to June 30, 2017, holders of Notes converted the remaining outstanding notes of $1.6 million. (see Note 15 in the notes to the consolidated financial statements in Part I.)</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commitments for operating leases relate to our lease of office equipment, fleet vehicles and office and laboratory space as of June 30, 2017.</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w:t>
      </w:r>
    </w:p>
    <w:p>
      <w:pPr>
        <w:spacing w:after="0" w:line="225" w:lineRule="exact"/>
        <w:rPr>
          <w:rFonts w:ascii="Arial" w:cs="Arial" w:eastAsia="Arial" w:hAnsi="Arial"/>
          <w:sz w:val="18"/>
          <w:szCs w:val="18"/>
          <w:color w:val="auto"/>
        </w:rPr>
      </w:pPr>
    </w:p>
    <w:p>
      <w:pPr>
        <w:ind w:left="660" w:right="60" w:hanging="652"/>
        <w:spacing w:after="0" w:line="259"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does not include (a) any milestone payments which may become payable to third parties under license agreements or contractual agreements regarding our clinical trials as the timing and likelihood of such payments are not known, (b) any royalty payments to third parties as the amounts, timing and likelihood of such payments are not known and (c) contracts that are entered into in the ordinary course of business which are not material in the aggregate in any period presented above.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above table, we are contractually obligated to pay to HC Royalty all royalty payments earned, up to a certain threshold, under a licensing agreement with United Therapeutics Corporation. Although we have recorded a liability of $29.2 million at June 30, 2017 related to this obligation, it is a non-recourse liability as we have no obligation to make any payments to HC Royalty. Accordingly, this obligation will have no impact on our liquidity at any time. Therefore, the non-recourse liability has not been included in the table above.</w:t>
      </w:r>
    </w:p>
    <w:p>
      <w:pPr>
        <w:spacing w:after="0" w:line="18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as a low single digit percentage of worldwide net product sales.</w:t>
      </w:r>
    </w:p>
    <w:p>
      <w:pPr>
        <w:spacing w:after="0" w:line="154"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as a low single digit percentage of worldwide net sales.</w:t>
      </w:r>
    </w:p>
    <w:p>
      <w:pPr>
        <w:sectPr>
          <w:pgSz w:w="11900" w:h="16838" w:orient="portrait"/>
          <w:cols w:equalWidth="0" w:num="1">
            <w:col w:w="11420"/>
          </w:cols>
          <w:pgMar w:left="240" w:top="118" w:right="239" w:bottom="0" w:gutter="0" w:footer="0" w:header="0"/>
        </w:sectPr>
      </w:pPr>
    </w:p>
    <w:bookmarkStart w:id="21" w:name="page22"/>
    <w:bookmarkEnd w:id="21"/>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currently do not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new accounting pronouncements, see Note 2 in the notes to the consolidated financial statements in Part I, Item 1 of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to fund operations. We also seek to maximize income from our investments without assuming significant risk. Our exposure to market risk is confined to our cash, cash equivalents, marketable securities and long term marketable securities. As of June 30, 2017, we had unrestricted cash, cash equivalents, marketable securities and long term marketable securities of $197.6 million. We do not engage in any hedging activities against changes in interest rates. Because of the short-term maturities of our cash, cash equivalents, marketable securities and long term marketable securities and because we hold these securities to maturity, we do not believe that an increase in market rates would have any significant impact on the realizable value of our investments.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may contract with CROs and investigational sites globally. Currently, we do not have ongoing trials outside of the U.S. We do not hedge our foreign currency exchange rate risk. A hypothetical 10% appreciation in Euro exchange rates against the U.S. dollar from prevailing market rates would have decreased our net income by approximately $11,000 for the six months ended June 30, 2017. Conversely, a hypothetical 10% depreciation in Euro exchange rates against the U.S. dollar from prevailing market rates would have increased our net income by approximately $11,000 for the six months ended June 30, 2017. We do not believe that inflation and changing prices over the six months ended June 30, 2017 and 2016 had a significant impact on our consolidated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pursuant to Rules 13a-15(b) and 15d-15(b) under the Exchange Act. Based on that evaluation, under the supervision and with the participation of our management, including our CEO and CFO, we concluded that our disclosure controls and procedures were not effective at the reasonable assurance level as of June 30, 2017 because of continued material weaknesses in our internal control over financial reporting as described in our Annual Report on Form 10-K for the year ended December 31, 2016, which was filed on March 16, 2017.</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Specifically, Company personnel did not have a sufficient understanding of the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2013 Framework) and its application to internal controls over financial reporting, and their responsibilities for effective internal control. Also, the Company did not have an effective risk assessment process that identified necessary changes in financial reporting and internal controls impacted by changes in information technology systems.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consequence, the Company did not have effective control activities over the completeness and accuracy of key assumptions and data analyzed by a third party consultant and which was ultimately used by management to determine the returns portion of accrued sales deductions. The Company did not have effective general information technology controls (GITCs) over the Microsoft Dynamics AX information technology system and the employee expense reimbursement system.</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Notwithstanding the identified material weaknesses, management has concluded that the consolidated financial statements included in this Quarterly Report on Form 10-Q fairly present in all material respects our financial condition, results of operations and cash flows at and for the periods presented in accordance with U.S. GAAP.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Plan</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in the process of executing the following steps in 2017 to remediate the aforementioned material weaknesses in its internal control over financial reporting as described in our 2016 Annual Report:</w:t>
      </w:r>
    </w:p>
    <w:p>
      <w:pPr>
        <w:spacing w:after="0" w:line="170" w:lineRule="exact"/>
        <w:rPr>
          <w:sz w:val="20"/>
          <w:szCs w:val="20"/>
          <w:color w:val="auto"/>
        </w:rPr>
      </w:pPr>
    </w:p>
    <w:p>
      <w:pPr>
        <w:ind w:left="1300" w:right="520" w:hanging="644"/>
        <w:spacing w:after="0" w:line="277"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actively looking to recruit personnel that have the requisite experience working with the implementation of financial accounting and internal controls policies and procedures.</w:t>
      </w:r>
    </w:p>
    <w:p>
      <w:pPr>
        <w:spacing w:after="0" w:line="170" w:lineRule="exact"/>
        <w:rPr>
          <w:rFonts w:ascii="Arial" w:cs="Arial" w:eastAsia="Arial" w:hAnsi="Arial"/>
          <w:sz w:val="18"/>
          <w:szCs w:val="18"/>
          <w:color w:val="auto"/>
        </w:rPr>
      </w:pPr>
    </w:p>
    <w:p>
      <w:pPr>
        <w:ind w:left="1300" w:right="380" w:hanging="644"/>
        <w:spacing w:after="0" w:line="277"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will sponsor ongoing training related to the COSO 2013 Framework best practices for personnel that are accountable for internal control over financial reporting.</w:t>
      </w:r>
    </w:p>
    <w:p>
      <w:pPr>
        <w:sectPr>
          <w:pgSz w:w="11900" w:h="16929" w:orient="portrait"/>
          <w:cols w:equalWidth="0" w:num="1">
            <w:col w:w="11400"/>
          </w:cols>
          <w:pgMar w:left="240" w:top="125" w:right="259" w:bottom="0" w:gutter="0" w:footer="0" w:header="0"/>
        </w:sectPr>
      </w:pPr>
    </w:p>
    <w:bookmarkStart w:id="22" w:name="page23"/>
    <w:bookmarkEnd w:id="22"/>
    <w:p>
      <w:pPr>
        <w:ind w:left="1300" w:right="300" w:hanging="644"/>
        <w:spacing w:after="0" w:line="308" w:lineRule="auto"/>
        <w:tabs>
          <w:tab w:leader="none" w:pos="12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taken certain actions and plans to take further action to strengthen our control procedures surrounding GITCs, IT user access review and program change controls including the logging of changes to the IT applications and the database.</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we hired an Accounting Associate Director who will oversee the implementation of financial accounting and internal controls policies and procedures. We also have conducted comprehensive internal controls training and facilitated sessions to enhance the understanding of process flows and control documentation for all processes. We have implemented a quarterly SOX process owner certification program to capture personnel, process and system changes throughout the year.</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While the audit committee of our board of directors and senior management are closely monitoring this remediation, until the remediation efforts discussed in this section, including any additional remediation efforts that our senior management identifies as necessary, are completed, tested and determined effective, we will not be able to conclude that the material weaknesses have been remediated. In addition, we may need to incur incremental costs associated with remediation, primarily due to the hiring and training of finance and accounting personnel, and the implementation of improved training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management, including our CEO and CFO, has evaluated any changes in our internal control over financial reporting that occurred during the quarterly period ended June 30, 2017, and has concluded that there was no change that occurred during the quarterly period ended June 30, 2017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time to time and in the ordinary course of business, we are subject to various claims, charges and litigation. We may be required to file infringement claims against third parties for the infringement of our patents. We have filed such claims for infringement of the Orange Book patents listed for our products Oxtellar XR and Trokendi XR.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Nos. 13-4740; 14-1981 (RMB)(JS) (D.N.J.)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Appeal No. 2016-1619 (Fed. Cir.)</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We received a Paragraph IV Notice Letter against two of our Oxtellar XR Orange Book patents (United States Patent Nos. 7,722,898 and 7,910,131) from generic drug maker Watson Laboratories, Inc.—Florida (WLF) n/k/a Actavis Laboratories FL, Inc. (Actavis Labs FL) on June 26, 2013. On August 7, 2013, we filed a lawsuit against Actavis, Inc., Actavis Labs FL, Actavis Pharma, Inc., Watson Laboratories, Inc., and ANDA, Inc. (collectively Actavis) alleging infringement of United States Patent Nos. 7,722,898 and 7,910,131. We received a second Paragraph IV Notice Letter against a later-issued Oxtellar XR Orange Book Patent (United States Patent No. 8,617,600) on February 20, 2014. On March 28, 2014, we filed a second lawsuit against Actavis alleging infringement of United States Patent No. 8,617,600. We have since listed four additional Orange Book patents: United States Patent Nos. 8,821,930, </w:t>
      </w:r>
      <w:r>
        <w:rPr>
          <w:rFonts w:ascii="Arial" w:cs="Arial" w:eastAsia="Arial" w:hAnsi="Arial"/>
          <w:sz w:val="16"/>
          <w:szCs w:val="16"/>
          <w:color w:val="auto"/>
        </w:rPr>
        <w:t xml:space="preserve">9,119,791, 9,351,975, and 9,370,525. </w:t>
      </w:r>
      <w:r>
        <w:rPr>
          <w:rFonts w:ascii="Arial" w:cs="Arial" w:eastAsia="Arial" w:hAnsi="Arial"/>
          <w:sz w:val="17"/>
          <w:szCs w:val="17"/>
          <w:color w:val="auto"/>
        </w:rPr>
        <w:t>Our United States Patent Nos. 7,722,898, 7,910,131, 8,617,600, 8,821,930, 9,119,791, 9,351,975, and 9,370,525</w:t>
      </w:r>
      <w:r>
        <w:rPr>
          <w:rFonts w:ascii="Arial" w:cs="Arial" w:eastAsia="Arial" w:hAnsi="Arial"/>
          <w:sz w:val="16"/>
          <w:szCs w:val="16"/>
          <w:color w:val="auto"/>
        </w:rPr>
        <w:t xml:space="preserve"> </w:t>
      </w:r>
      <w:r>
        <w:rPr>
          <w:rFonts w:ascii="Arial" w:cs="Arial" w:eastAsia="Arial" w:hAnsi="Arial"/>
          <w:sz w:val="17"/>
          <w:szCs w:val="17"/>
          <w:color w:val="auto"/>
        </w:rPr>
        <w:t>generally cover once-a-day oxcarbazepine formulations and methods of treating seizures using those formulations. The FDA Orange Book lists all seven of our Oxtellar XR patents as expiring on April 13, 2027.</w:t>
      </w:r>
    </w:p>
    <w:p>
      <w:pPr>
        <w:spacing w:after="0" w:line="18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Both Complaints—filed in the U.S. District Court for the District of New Jersey—alleged, inter alia, that Actavis infringed our Oxtellar XR patents by submitting to the FDA an Abbreviated New Drug Application (ANDA) seeking to market a generic version of Oxtellar XR prior to the expiration of our patents. The two cases were consolidated for all purposes on October 8, 2015.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seven-day bench trial for the consolidated action involving United States Patent Nos. 7,722,898, 7,910,131, and 8,617,600 was held between November 18 and December 4, 2015. On February 5, 2016, the Court issued an opinion and order finding that: (i) Actavis’s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ANDA products infringe United States Patent Nos. 7,722,898 and 7,910,131; (ii) Actavis’s ANDA products do not infringe U.S. Patent No. 8,617,600; and</w:t>
      </w:r>
    </w:p>
    <w:p>
      <w:pPr>
        <w:spacing w:after="0" w:line="46" w:lineRule="exact"/>
        <w:rPr>
          <w:sz w:val="20"/>
          <w:szCs w:val="20"/>
          <w:color w:val="auto"/>
        </w:rPr>
      </w:pPr>
    </w:p>
    <w:p>
      <w:pPr>
        <w:ind w:right="60" w:firstLine="8"/>
        <w:spacing w:after="0" w:line="268" w:lineRule="auto"/>
        <w:tabs>
          <w:tab w:leader="none" w:pos="3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United States Patent Nos. 7,722,898, 7,910,131, and 8,617,600 are not invalid. The Court entered a final judgment on February 18, 2016: (i) enjoining the FDA from approving Actavis’s ANDA before the expiration date of United States Patent Nos. 7,722,898 and 7,910,131; and (ii) enjoining Actavis from commercially manufacturing, using, offering to sell, or selling within the United States, or importing into the United States, Actavis’s ANDA products until the expiration of United States Patent Nos. 7,722,898 and 7,910,131. On February 19, 2016, Actavis filed a Notice of Appeal to the United States Court of Appeals for the Federal Circuit. The parties executed a Partial Settlement Agreement in May 2016 that provided for the dismissal of all appeals, cross-appeals, claims, and counterclaims concerning U.S. Patent Nos. 8,617,600, 8,821,930</w:t>
      </w:r>
      <w:r>
        <w:rPr>
          <w:rFonts w:ascii="Arial" w:cs="Arial" w:eastAsia="Arial" w:hAnsi="Arial"/>
          <w:sz w:val="16"/>
          <w:szCs w:val="16"/>
          <w:color w:val="auto"/>
        </w:rPr>
        <w:t>, and 9,119,791.</w:t>
      </w:r>
      <w:r>
        <w:rPr>
          <w:rFonts w:ascii="Arial" w:cs="Arial" w:eastAsia="Arial" w:hAnsi="Arial"/>
          <w:sz w:val="17"/>
          <w:szCs w:val="17"/>
          <w:color w:val="auto"/>
        </w:rPr>
        <w:t xml:space="preserve"> The appeal with respect to United States Patent Nos. 7,722,898 and 7,910,131 (docketed on February 24, 2016) was argued on December 8, 2016. On December 12, 2016, the United States Court of Appeals for the Federal Circuit affirmed the District Court’s February 18, 2016 Final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 15-2499 (RMB)(JS) (D.N.J.)</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received a Paragraph IV Notice Letter against United States Patent No. 8,821,930 from Actavis Labs FL on February 21, 2015. On April 7, 2015, we filed a third lawsuit against Actavis alleging infringement of United States Patent No. 8,821,930.</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Complaint—filed in the U.S. District Court for the District of New Jersey—alleged, inter alia, that Actavis infringed United States Patent No. 8,821,930 by submitting to the FDA an ANDA seeking to market a generic version of Oxtellar XR prior to the expiration of United States Patent No. 8,821,930.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parties executed a Partial Settlement Agreement in May 2016 that provided for the dismissal of both parties’ claims and counterclaims concerning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No. 8,821,930</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ectPr>
          <w:pgSz w:w="11900" w:h="16838" w:orient="portrait"/>
          <w:cols w:equalWidth="0" w:num="1">
            <w:col w:w="11400"/>
          </w:cols>
          <w:pgMar w:left="240" w:top="341" w:right="259" w:bottom="0" w:gutter="0" w:footer="0" w:header="0"/>
        </w:sectPr>
      </w:pPr>
    </w:p>
    <w:bookmarkStart w:id="23" w:name="page24"/>
    <w:bookmarkEnd w:id="23"/>
    <w:p>
      <w:pPr>
        <w:ind w:right="240"/>
        <w:spacing w:after="0" w:line="312"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w:t>
      </w:r>
    </w:p>
    <w:p>
      <w:pPr>
        <w:spacing w:after="0" w:line="14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Complaint—filed in the U.S. District Court for the District of New Jersey—alleged, inter alia, that TWi infringed our Oxtellar XR patents by submitting to the FDA an ANDA seeking to market a generic version of Oxtellar XR prior to the expiration of our patents. Filing the Complaint within 45 days of receiving TWi’s Paragraph IV certification notice entitles Supernus to an automatic stay preventing the FDA from approving TWi’s ANDA for 30 months from the date of our receipt of the first Paragraph IV certification notice.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Post-trial briefing was completed on May 15, 2017 and the parties are awaiting the Court’s decision.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9,370,525 from generic drug maker TWi Pharmaceuticals, Inc. on February 16, 2017. On March 31, 2017, we filed a lawsuit against TWi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and TWi International LLC alleging infringement of United States Patent Nos. 7,722,898, 7,910,131, 8,617,600, 8,821,930, 9,119,791,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9,351,975, and 9,370,525. TWi filed a motion to dismiss Supernus’s March 31, 2017 Complaint on May 10, 2017. On May 11, 2017, the Court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administratively terminated TWi’s motion to dismiss for failure to comply with the Court’s Individual Rules and Procedures. On May 19, 2017, the Court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“administratively terminate[d] this matter pending this Court’s decision in the First TWi Action [concerning United States Patent Nos. 7,722,898, 7,910,131,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8,617,600, and 8,821,930].”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 15-8342 (RMB)(JS) (D.N.J.)</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received a Paragraph IV Notice Letter against United States Patent No. 9,119,791 from Actavis Labs FL on October 15, 2015. On November 25, 2015, we filed a fourth lawsuit against Actavis alleging infringement of United States Patent No. 9,119,791.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Complaint—filed in the U.S. District Court for the District of New Jersey—alleged, inter alia, that Actavis infringed United States Patent No. 9,119,791 by submitting to the FDA an ANDA seeking to market a generic version of Oxtellar XR prior to the expiration of United States Patent No. 9,119,791. On January 29, 2016, Actavis answered the Complaint, denying the substantive allegations of that Complaint. Actavis Labs FL also asserted Counterclaims seeking declaratory judgments of non-infringement and invalidity of United States Patent No. 9,119,791. On March 4, 2016, we filed our Reply, denying the substantive allegations of those Counterclaims.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parties executed a Partial Settlement Agreement in May 2016 that provided for the dismissal of both parties’ claims and counterclaims concerning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No. 9,119,791</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C.A. No. 14-6102 (SDW)(LDW) (D.N.J.)</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received Paragraph IV Notice Letters against Trokendi XR Orange Book patents, namely United States Patent Nos. 8,298,576, 8,298,580, 8,663,683, 8,877,248, 8,889,191, and 8,992,989 from generic drug maker Actavis Laboratories FL, Inc. These patents cover once-a-day topiramate formulations and methods of treating seizures using those formulations. On October 1, 2014, we initiated a lawsuit against Actavis;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action for patent infringement—filed in the U.S. District Court for the District of New Jersey—alleged that Actavis infringed the Trokendi XR patents by, inter alia, submitting to the FDA an ANDA seeking to market a generic version of Trokendi XR prior to the expiration of these patents. Actavis answered these allegations with affirmative defenses and counterclaims of noninfringement and invalidity of the patents in suit. Filing its October 1, 2014 Complaint within 45 days of receiving the first of three Actavis Laboratories FL, Inc. Paragraph IV Notice Letters entitled Supernus to an automatic stay preventing the FDA from approving Actavis’s ANDA for 30 months from the date of our receipt of such Notice Letter.</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announced on March 7, 2017 that it entered into a binding term sheet with Actavis regarding the settlement of this case. The binding term sheet permits Actavis to begin selling a generic version of Trokendi XR on January 1, 2023, or earlier under certain circumstances. On March 13, 2017, the Company entered into a settlement agreement with Actavis. A consent judgment and stipulation of dismissal with prejudice, and a stipulation and order of dismissal were entered by the U.S. District Court for the District of New Jersey. The agreement has been submitted to the applicable governmental agencies.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Zydus Pharmaceuticals (USA) Inc., C.A. No. 14-7272 (SDW)(LDW) (D.N.J.)</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received Paragraph IV Notice Letters against Trokendi XR Orange Book patents, namely United States Patent Nos. 8,298,576, 8,298,580, 8,663,683, 8,877,248, 8,889,191, and 8,992,989 from generic drug maker Zydus Pharmaceuticals (USA) Inc. These patents cover once-a-day topiramate formulations and methods of treating seizures using those formulations. On November 21, 2014, we initiated a lawsuit against Zydus Pharmaceuticals (USA) Inc. and Cadila Healthcare Limited (collectively Zydus);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action for patent infringement—filed in the U.S. District Court for the District of New Jersey—alleged that Zydus infringed the Trokendi XR patents by, inter alia, submitting to the FDA an ANDA seeking to market a generic version of Trokendi XR prior to the expiration of these patents. Zydus answered these allegations with affirmative defenses and counterclaims of noninfringement and invalidity of the patents in suit. Filing its November 21, 2014 Complaint within 45 days of receiving the first of three Paragraph IV Notice Letters from Zydus Pharmaceuticals (USA) Inc. entitled Supernus to an automatic stay preventing the FDA from approving Zydus’s ANDA for 30 months from the date of our receipt of such Notice Letter.</w:t>
      </w:r>
    </w:p>
    <w:p>
      <w:pPr>
        <w:sectPr>
          <w:pgSz w:w="11900" w:h="16838" w:orient="portrait"/>
          <w:cols w:equalWidth="0" w:num="1">
            <w:col w:w="11420"/>
          </w:cols>
          <w:pgMar w:left="240" w:top="125" w:right="239" w:bottom="47" w:gutter="0" w:footer="0" w:header="0"/>
        </w:sectPr>
      </w:pPr>
    </w:p>
    <w:bookmarkStart w:id="24" w:name="page25"/>
    <w:bookmarkEnd w:id="24"/>
    <w:p>
      <w:pPr>
        <w:ind w:right="60"/>
        <w:spacing w:after="0" w:line="312" w:lineRule="auto"/>
        <w:rPr>
          <w:sz w:val="20"/>
          <w:szCs w:val="20"/>
          <w:color w:val="auto"/>
        </w:rPr>
      </w:pPr>
      <w:r>
        <w:rPr>
          <w:rFonts w:ascii="Arial" w:cs="Arial" w:eastAsia="Arial" w:hAnsi="Arial"/>
          <w:sz w:val="16"/>
          <w:szCs w:val="16"/>
          <w:color w:val="auto"/>
        </w:rPr>
        <w:t>The Company announced on March 6, 2017 that it entered into a settlement agreement with Zydus regarding this case. The settlement permits Zydus to begin selling a generic version of Trokendi XR on January 1, 2023, or earlier under certain circumstances. A stipulation and order of dismissal without prejudice was entered by the U.S. District Court for the District of New Jersey. The agreement has been submitted to the applicable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Par Pharmaceutical Companies, Inc., C.A. No. 15-326 (SDW)(LDW) (D.N.J.)</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received Paragraph IV Notice Letters against Trokendi XR Orange Book patents, namely United States Patent Nos. 8,298,576, 8,298,580, 8,663,683, 8,877,248, 8,889,191, and 8,992,989 from generic drug maker Par Pharmaceutical, Inc. These patents cover once-a-day topiramate formulations and methods of treating seizures using those formulations. On January 16, 2015, we initiated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lawsuit against Par;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action for patent infringement—filed in the U.S. District Court for the District of New Jersey—alleged that Par infringed the Trokendi XR patents by, inter alia, submitting to the FDA an ANDA seeking to market a generic version of Trokendi XR prior to the expiration of these patents. Par answered these allegations with affirmative defenses and counterclaims of noninfringement and invalidity of the patents in suit. Filing its January 16, 2015 Complaint within 45 days of receiving the first of three Paragraph IV Notice Letters from Par Pharmaceutical, Inc. entitled Supernus to an automatic stay preventing the FDA from approving Par’s ANDA for 30 months from the date of our receipt of such Notice Letter.</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announced on October 15, 2015 that it entered into a settlement agreement with Par regarding this case. The settlement permits Par to begin selling a generic version of Trokendi XR on April 1, 2025, or earlier under certain circumstances. The agreement is subject to a consent judgment that was entered by the U.S. District Court for the District of New Jersey. In the consent judgment, Par acknowledges that the Orange Book-listed patents for Trokendi XR owned by Supernus, namely United States Patent Nos. 8,298,576, 8,298,580, 8,663,683, 8,877,248, 8,889,191, and 8,992,989, are valid and enforceable with respect to Par’s ANDA product, and would be infringed by Par’s ANDA product. The agreement has been submitted to the applicable governmental agencies.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and the additional information in the other reports we file with the Securities and Exchange Commission along with the risks described in our Annual Report on Form 10-K for the year ended December 31, 2016. These risks may result in material harm to our business and our financial condition and results of operations. In such an eventuality, the market price of our common stock may decline and you could lose part or all of your investment.</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risks described below reflect substantive changes from, or additions to, the risks described in our Annual Report on Form 10-K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products or product candidates.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government (federal and certain states) and other non-U.S. governments have shown significant and increased interest in pursuing healthcare reform. Government-adopted reform measures could adversely impact the pricing of healthcare products and services in the U.S. or internationally and adversely impact the amount of reimbursement available from governmental agencies or commercial third-party payors. The continuing efforts of the U.S. and foreign governments, insurance companies, managed care organizations and other payors of healthcare services to contain or reduce health care costs may adversely affect our ability to set prices for any approved product or to increase prices once launched. These initiatives could adversely impact our ability to generate revenues and achieve and maintain profitability.</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both the U.S. (federal and certain states) and some foreign jurisdictions, there have been a number of legislative and regulatory proposals and initiatives to change the health care system in ways that could adversely affect our ability to sell any approved product profitably. Some of these proposed and implemented reforms could result in reduced reimbursement rates for our products, which would adversely affect our business strategy, operations and financial results. For example, in March 2010, President Obama signed into law a comprehensive change to the U.S. healthcare system, known as the Patient Protection and Affordable Care Act of 2010, as amended by the HealthCare and Education Reconciliation Act of 2010. These laws and their regulations, which we refer to collectively as the Affordable Care Act, have had far reaching consequences for pharmaceutical companies like us. As a result of the Affordable Care Act, substantial changes have been made to the current system for paying for healthcare in the U.S., including changes made in order to extend benefits to those who currently lack insurance coverage and to change coverage parameters.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Affordable Care Act has continued the downward pressure on pharmaceutical pricing, especially under the Medicare and Medicaid programs, and increased the industry’s regulatory burdens and operating costs. Among the provisions of the Affordable Care Act of importance to our products and product candidates are the following:</w:t>
      </w:r>
    </w:p>
    <w:p>
      <w:pPr>
        <w:spacing w:after="0" w:line="181" w:lineRule="exact"/>
        <w:rPr>
          <w:sz w:val="20"/>
          <w:szCs w:val="20"/>
          <w:color w:val="auto"/>
        </w:rPr>
      </w:pPr>
    </w:p>
    <w:p>
      <w:pPr>
        <w:ind w:left="660" w:right="40" w:hanging="328"/>
        <w:spacing w:after="0" w:line="342" w:lineRule="auto"/>
        <w:tabs>
          <w:tab w:leader="none" w:pos="6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2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ectPr>
          <w:pgSz w:w="11900" w:h="16838" w:orient="portrait"/>
          <w:cols w:equalWidth="0" w:num="1">
            <w:col w:w="11420"/>
          </w:cols>
          <w:pgMar w:left="240" w:top="125" w:right="239" w:bottom="32" w:gutter="0" w:footer="0" w:header="0"/>
        </w:sectPr>
      </w:pPr>
    </w:p>
    <w:bookmarkStart w:id="25" w:name="page26"/>
    <w:bookmarkEnd w:id="25"/>
    <w:p>
      <w:pPr>
        <w:ind w:left="660" w:right="300" w:hanging="328"/>
        <w:spacing w:after="0" w:line="277"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660" w:right="200" w:hanging="328"/>
        <w:spacing w:after="0" w:line="264"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Affordable Care Act. The new Presidential Administration and U.S. Congress have attempted and will likely continue to seek to modify, repeal, or otherwise invalidate all, or certain provisions of, the Affordable Care Act. It is uncertain the extent to which any such changes, if made, may impact our business or financial condition.</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addition, other legislative changes have been adopted since the </w:t>
      </w:r>
      <w:r>
        <w:rPr>
          <w:rFonts w:ascii="Arial" w:cs="Arial" w:eastAsia="Arial" w:hAnsi="Arial"/>
          <w:sz w:val="16"/>
          <w:szCs w:val="16"/>
          <w:color w:val="auto"/>
        </w:rPr>
        <w:t>Affordable Care Act</w:t>
      </w:r>
      <w:r>
        <w:rPr>
          <w:rFonts w:ascii="Arial" w:cs="Arial" w:eastAsia="Arial" w:hAnsi="Arial"/>
          <w:sz w:val="17"/>
          <w:szCs w:val="17"/>
          <w:color w:val="auto"/>
        </w:rPr>
        <w:t xml:space="preserve"> was enacted. These changes include aggregate reductions in Medicare payments to providers of 2% per fiscal year, which went into effect on April 1, 2013 and, due to subsequent legislative amendments to the statute, will remain in effect through 2025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 More recently, there have been several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Individual states in the United States have also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In 2012, the Food and Drug Administration Safety and Innovation Act was enacted, expanding drug supply chain requirements and strengthening FDA’s response to drug shortages, as well as other changes.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any approved product. The Drug Quality and Security Act (DQSA) became law in 2013. The DQSA creates the requirement for companies to trace, verify and identify all products across all changes of ownership from manufacturer to dispenser.</w:t>
      </w:r>
    </w:p>
    <w:p>
      <w:pPr>
        <w:spacing w:after="0" w:line="1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Future federal and state proposals and health care reforms in other countries could limit the prices that can be charged for our product and product candidates that we develop and may further limit our commercial opportunities. Our results of operations could be materially and adversely affected by the HealthCare Reform Law by reducing the amounts that private insurers will pay and by other health care reforms that may be enacted or adopted in the future.</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supplier of pharmaceuticals, certain U.S. federal and state health care laws and regulations pertaining to patients’ rights to privacy and healthcare fraud and abuse are and will be applicable to our business. We could be subject to healthcare fraud and abuse and patient privacy regulation by both the federal government and the states in which we conduct our business. The regulations include the:</w:t>
      </w:r>
    </w:p>
    <w:p>
      <w:pPr>
        <w:spacing w:after="0" w:line="181" w:lineRule="exact"/>
        <w:rPr>
          <w:sz w:val="20"/>
          <w:szCs w:val="20"/>
          <w:color w:val="auto"/>
        </w:rPr>
      </w:pPr>
    </w:p>
    <w:p>
      <w:pPr>
        <w:ind w:left="660" w:right="20" w:hanging="328"/>
        <w:spacing w:after="0" w:line="257"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 government may assert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26" w:name="page27"/>
    <w:bookmarkEnd w:id="26"/>
    <w:p>
      <w:pPr>
        <w:ind w:left="660" w:right="200"/>
        <w:spacing w:after="0" w:line="277" w:lineRule="auto"/>
        <w:rPr>
          <w:sz w:val="20"/>
          <w:szCs w:val="20"/>
          <w:color w:val="auto"/>
        </w:rPr>
      </w:pPr>
      <w:r>
        <w:rPr>
          <w:rFonts w:ascii="Arial" w:cs="Arial" w:eastAsia="Arial" w:hAnsi="Arial"/>
          <w:sz w:val="18"/>
          <w:szCs w:val="18"/>
          <w:color w:val="auto"/>
        </w:rPr>
        <w:t>that a claim, including items and services resulting from a violation of the federal Anti-Kickback Statute, constitutes a false or fraudulent claim for purposes of the federal False Claims Act, discussed below;</w:t>
      </w:r>
    </w:p>
    <w:p>
      <w:pPr>
        <w:spacing w:after="0" w:line="170" w:lineRule="exact"/>
        <w:rPr>
          <w:sz w:val="20"/>
          <w:szCs w:val="20"/>
          <w:color w:val="auto"/>
        </w:rPr>
      </w:pPr>
    </w:p>
    <w:p>
      <w:pPr>
        <w:ind w:left="660" w:right="440" w:hanging="328"/>
        <w:spacing w:after="0" w:line="257"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and which may apply to entities like us which provide coding and billing advice to customers;</w:t>
      </w:r>
    </w:p>
    <w:p>
      <w:pPr>
        <w:spacing w:after="0" w:line="188" w:lineRule="exact"/>
        <w:rPr>
          <w:rFonts w:ascii="Arial" w:cs="Arial" w:eastAsia="Arial" w:hAnsi="Arial"/>
          <w:sz w:val="18"/>
          <w:szCs w:val="18"/>
          <w:color w:val="auto"/>
        </w:rPr>
      </w:pPr>
    </w:p>
    <w:p>
      <w:pPr>
        <w:ind w:left="660" w:right="60" w:hanging="328"/>
        <w:spacing w:after="0" w:line="264"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Health Insurance Portability and Accountability Act of 1996 (HIPAA), which prohibits executing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w:t>
      </w:r>
    </w:p>
    <w:p>
      <w:pPr>
        <w:spacing w:after="0" w:line="181" w:lineRule="exact"/>
        <w:rPr>
          <w:rFonts w:ascii="Arial" w:cs="Arial" w:eastAsia="Arial" w:hAnsi="Arial"/>
          <w:sz w:val="18"/>
          <w:szCs w:val="18"/>
          <w:color w:val="auto"/>
        </w:rPr>
      </w:pPr>
    </w:p>
    <w:p>
      <w:pPr>
        <w:ind w:left="660" w:right="580" w:hanging="328"/>
        <w:spacing w:after="0" w:line="277"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physician payment transparency requirements under the Affordable Care Act, which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60" w:right="180" w:hanging="328"/>
        <w:spacing w:after="0" w:line="277"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FDCA, which among other things, strictly regulates drug product marketing, prohibits manufacturers from marketing drug products for off-label use and regulates the distribution of drug samples; and</w:t>
      </w:r>
    </w:p>
    <w:p>
      <w:pPr>
        <w:spacing w:after="0" w:line="170" w:lineRule="exact"/>
        <w:rPr>
          <w:rFonts w:ascii="Arial" w:cs="Arial" w:eastAsia="Arial" w:hAnsi="Arial"/>
          <w:sz w:val="18"/>
          <w:szCs w:val="18"/>
          <w:color w:val="auto"/>
        </w:rPr>
      </w:pPr>
    </w:p>
    <w:p>
      <w:pPr>
        <w:ind w:left="660" w:right="60" w:hanging="328"/>
        <w:spacing w:after="0" w:line="272" w:lineRule="auto"/>
        <w:tabs>
          <w:tab w:leader="none" w:pos="651"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and to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could be costly. It is possible that governmental authorities may conclude that our business practices do not comply with current or future statutes, regulations, agency guidance or case law involving applicable healthcare laws. If our operations are found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 in violation of any of the laws described above or any governmental regulations that apply to us, we may be subject to penalties, including civil and criminal penalties, damages, fines, exclusion from participation in federal healthcare programs and the curtailment or restructuring of our operations. Any penalties, damages, fines, exclusion, curtailment or restructuring of our operations could adversely affect our ability to operate our business and impair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70"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Even though U.S. regulatory approval has been obtained for Trokendi XR and Oxtellar XR, the FDA may still impose significant restrictions on their indicated uses or marketing or impose ongoing requirements for costly post-approval studies. For example, both Trokendi XR and Oxtellar XR were approved on the basis of post-approval commitments, including that we develop additional age-appropriate formulations of the drugs and conduct post-approval clinical studies in accordance with certain timelines laid out in the approval letters. Although we have made significant efforts to meet these timelines, in certain cases we have been unable to meet these timelines. 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product candidates would also be, and our approved product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Good Clinical Practices and Good Manufacturing Practices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the manufacturer, including requiring withdrawal of the product from the market or suspension of manufacturing. If we or our collaborators, or our or our collaborators’ approved products or product candidates, or the manufacturing facilities for our or our collaborators’ approved products or product candidates fail to comply with applicable regulatory requirements, a regulatory authority may:</w:t>
      </w:r>
    </w:p>
    <w:p>
      <w:pPr>
        <w:spacing w:after="0" w:line="19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ectPr>
          <w:pgSz w:w="11900" w:h="16838" w:orient="portrait"/>
          <w:cols w:equalWidth="0" w:num="1">
            <w:col w:w="11420"/>
          </w:cols>
          <w:pgMar w:left="240" w:top="125" w:right="239" w:bottom="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bioequivalence and/or clinical trials;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restrictions on operations, including costly new manufacturing requirements, or suspension of production for a sustained period of time; 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our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uses may be subject to significant sanctions. For example, on October 31, 2016 the FDA sent us an untitled letter alleging that certain marketing claims made in a promotional video for Oxtellar XR, suggested that the drug was intended for uses outside its FDA-approved label. Following receipt of the untitled letter, we removed the promotional video in question and revised other promotional materials for Oxtellar XR as a precautionary measure, and FDA closed the matter. The federal government has levied large civil and criminal fines against companies for alleged improper promotion and has enjoined several companies from engaging in off-label promotion. If we are found to have promoted off-label uses, we may be enjoined from such off-label promotion and become subject to significant liability, which would have an adverse effect on our reputation, business and revenues, if any.</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the FDA’s policies may change and additional government regulations may be enacted that could affect our products or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six months ended June 30, 2017, the Company granted options to employees to purchase an aggregate of 1,063,255 shares of common stock at an exercise price of $25.71 per share. The options are exercisable for a period of ten years from the grant date. These issuances were exempt from registration in reliance on Section 4(a)(2) of the Securities Act as transactions not involving any public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 (filed herewith).</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32.1 Certification of Chief Executive Officer pursuant to 18 U.S.C. Section 1350, as adopted pursuant to Section 906 of the Sarbanes-Oxley Act of 2002 (filed herewith).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32.2 Certification of Chief Financial Officer pursuant to 18 U.S.C. Section 1350, as adopted pursuant to Section 906 of the Sarbanes-Oxley Act of 2002 (filed herewith).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248"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SUPERNUS PHARMACEUTICALS, INC.</w:t>
      </w:r>
    </w:p>
    <w:p>
      <w:pPr>
        <w:spacing w:after="0" w:line="225" w:lineRule="exact"/>
        <w:rPr>
          <w:sz w:val="20"/>
          <w:szCs w:val="20"/>
          <w:color w:val="auto"/>
        </w:rPr>
      </w:pPr>
    </w:p>
    <w:p>
      <w:pPr>
        <w:ind w:left="6100" w:right="3540" w:hanging="5442"/>
        <w:spacing w:after="0" w:line="258" w:lineRule="auto"/>
        <w:tabs>
          <w:tab w:leader="none" w:pos="6080" w:val="left"/>
        </w:tabs>
        <w:rPr>
          <w:sz w:val="20"/>
          <w:szCs w:val="20"/>
          <w:color w:val="auto"/>
        </w:rPr>
      </w:pPr>
      <w:r>
        <w:rPr>
          <w:rFonts w:ascii="Arial" w:cs="Arial" w:eastAsia="Arial" w:hAnsi="Arial"/>
          <w:sz w:val="18"/>
          <w:szCs w:val="18"/>
          <w:color w:val="auto"/>
        </w:rPr>
        <w:t>DATED: August 3, 2017</w:t>
      </w:r>
      <w:r>
        <w:rPr>
          <w:sz w:val="20"/>
          <w:szCs w:val="20"/>
          <w:color w:val="auto"/>
        </w:rPr>
        <w:tab/>
      </w:r>
      <w:r>
        <w:rPr>
          <w:rFonts w:ascii="Arial" w:cs="Arial" w:eastAsia="Arial" w:hAnsi="Arial"/>
          <w:sz w:val="18"/>
          <w:szCs w:val="18"/>
          <w:color w:val="auto"/>
        </w:rPr>
        <w:t>By: /s/ Jack A. Khattar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-135890</wp:posOffset>
            </wp:positionV>
            <wp:extent cx="30784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President, Secretary and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5"/>
          </w:tcPr>
          <w:p>
            <w:pPr>
              <w:ind w:left="660"/>
              <w:spacing w:after="0"/>
              <w:rPr>
                <w:sz w:val="20"/>
                <w:szCs w:val="20"/>
                <w:color w:val="auto"/>
              </w:rPr>
            </w:pPr>
            <w:r>
              <w:rPr>
                <w:rFonts w:ascii="Arial" w:cs="Arial" w:eastAsia="Arial" w:hAnsi="Arial"/>
                <w:sz w:val="18"/>
                <w:szCs w:val="18"/>
                <w:color w:val="auto"/>
              </w:rPr>
              <w:t>DATED: August 3, 2017</w:t>
            </w: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82"/>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70"/>
              </w:rPr>
              <w:t>Gregory</w:t>
            </w:r>
          </w:p>
        </w:tc>
        <w:tc>
          <w:tcPr>
            <w:tcW w:w="484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S. Patrick</w:t>
            </w:r>
          </w:p>
        </w:tc>
        <w:tc>
          <w:tcPr>
            <w:tcW w:w="40" w:type="dxa"/>
            <w:vAlign w:val="bottom"/>
          </w:tcPr>
          <w:p>
            <w:pPr>
              <w:spacing w:after="0"/>
              <w:rPr>
                <w:sz w:val="15"/>
                <w:szCs w:val="15"/>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3"/>
          </w:tcPr>
          <w:p>
            <w:pPr>
              <w:ind w:left="446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gridSpan w:val="2"/>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60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140" w:type="dxa"/>
            <w:vAlign w:val="bottom"/>
            <w:gridSpan w:val="5"/>
          </w:tcPr>
          <w:p>
            <w:pPr>
              <w:ind w:left="37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400" w:type="dxa"/>
            <w:vAlign w:val="bottom"/>
            <w:gridSpan w:val="4"/>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4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Certification of Chief Executive Officer pursuant to Rule 13a-14(a).</w:t>
            </w:r>
          </w:p>
        </w:tc>
        <w:tc>
          <w:tcPr>
            <w:tcW w:w="3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w w:val="93"/>
              </w:rPr>
              <w:t>Certification of Chief Financial Officer pursuant to Rule 13a-14(a).</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2002.</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2002.</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20" w:type="dxa"/>
            <w:vAlign w:val="bottom"/>
            <w:gridSpan w:val="3"/>
          </w:tcPr>
          <w:p>
            <w:pPr>
              <w:spacing w:after="0"/>
              <w:rPr>
                <w:sz w:val="20"/>
                <w:szCs w:val="20"/>
                <w:color w:val="auto"/>
              </w:rPr>
            </w:pPr>
            <w:r>
              <w:rPr>
                <w:rFonts w:ascii="Arial" w:cs="Arial" w:eastAsia="Arial" w:hAnsi="Arial"/>
                <w:sz w:val="18"/>
                <w:szCs w:val="18"/>
                <w:color w:val="auto"/>
                <w:w w:val="99"/>
              </w:rPr>
              <w:t>XBRL Taxonomy Extension Presentation Linkbase Document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3"/>
          </w:tcPr>
          <w:p>
            <w:pPr>
              <w:ind w:left="446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-4291330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-4291330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0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60" w:firstLine="656"/>
        <w:spacing w:after="0" w:line="342" w:lineRule="auto"/>
        <w:tabs>
          <w:tab w:leader="none" w:pos="107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140" w:firstLine="656"/>
        <w:spacing w:after="0" w:line="264" w:lineRule="auto"/>
        <w:tabs>
          <w:tab w:leader="none" w:pos="10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80" w:firstLine="656"/>
        <w:spacing w:after="0" w:line="277" w:lineRule="auto"/>
        <w:tabs>
          <w:tab w:leader="none" w:pos="10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0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00" w:val="left"/>
          <w:tab w:leader="none" w:pos="624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27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0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60" w:firstLine="656"/>
        <w:spacing w:after="0" w:line="342" w:lineRule="auto"/>
        <w:tabs>
          <w:tab w:leader="none" w:pos="107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140" w:firstLine="656"/>
        <w:spacing w:after="0" w:line="264" w:lineRule="auto"/>
        <w:tabs>
          <w:tab w:leader="none" w:pos="108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80" w:firstLine="656"/>
        <w:spacing w:after="0" w:line="277" w:lineRule="auto"/>
        <w:tabs>
          <w:tab w:leader="none" w:pos="10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08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Supernus Pharmaceuticals, Inc. (the “Company”) on Form 10-Q for the period ended June 30, 2017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81"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620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June 30, 2017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6"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620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Roman"/>
      <w:start w:val="3"/>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2019-12-29T05:45:23Z</dcterms:created>
  <dcterms:modified xsi:type="dcterms:W3CDTF">2019-12-29T05:45:23Z</dcterms:modified>
</cp:coreProperties>
</file>