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76">
        <w:r>
          <w:rPr>
            <w:rFonts w:ascii="Arial" w:cs="Arial" w:eastAsia="Arial" w:hAnsi="Arial"/>
            <w:sz w:val="22"/>
            <w:szCs w:val="22"/>
            <w:u w:val="single" w:color="auto"/>
            <w:color w:val="0000EE"/>
          </w:rPr>
          <w:t>ITEM 8. FINANCIAL STATEMENTS AND SUPPLEMENTARY DATA.</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70" w:lineRule="exact"/>
        <w:rPr>
          <w:sz w:val="24"/>
          <w:szCs w:val="24"/>
          <w:color w:val="auto"/>
        </w:rPr>
      </w:pPr>
    </w:p>
    <w:p>
      <w:pPr>
        <w:ind w:left="960" w:right="760" w:hanging="655"/>
        <w:spacing w:after="0" w:line="256" w:lineRule="auto"/>
        <w:tabs>
          <w:tab w:leader="none" w:pos="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001-35518</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16" w:lineRule="exact"/>
        <w:rPr>
          <w:sz w:val="24"/>
          <w:szCs w:val="24"/>
          <w:color w:val="auto"/>
        </w:rPr>
      </w:pPr>
    </w:p>
    <w:p>
      <w:pPr>
        <w:ind w:left="960" w:hanging="614"/>
        <w:spacing w:after="0" w:line="256" w:lineRule="auto"/>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TRANSMISSION REPORT PURSUANT TO SECTION 13 OR 15(d) OF THE SECURITIES EXCHANGE ACT OF 1934</w:t>
      </w:r>
    </w:p>
    <w:p>
      <w:pPr>
        <w:spacing w:after="0" w:line="204" w:lineRule="exact"/>
        <w:rPr>
          <w:sz w:val="24"/>
          <w:szCs w:val="24"/>
          <w:color w:val="auto"/>
        </w:rPr>
      </w:pPr>
    </w:p>
    <w:p>
      <w:pPr>
        <w:ind w:left="3180"/>
        <w:spacing w:after="0"/>
        <w:tabs>
          <w:tab w:leader="none" w:pos="68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SUPERNUS PHARMACEUTICALS,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240" w:type="dxa"/>
            <w:vAlign w:val="bottom"/>
          </w:tcPr>
          <w:p>
            <w:pPr>
              <w:jc w:val="center"/>
              <w:ind w:right="752"/>
              <w:spacing w:after="0"/>
              <w:rPr>
                <w:sz w:val="20"/>
                <w:szCs w:val="20"/>
                <w:color w:val="auto"/>
              </w:rPr>
            </w:pPr>
            <w:r>
              <w:rPr>
                <w:rFonts w:ascii="Arial" w:cs="Arial" w:eastAsia="Arial" w:hAnsi="Arial"/>
                <w:sz w:val="14"/>
                <w:szCs w:val="14"/>
                <w:b w:val="1"/>
                <w:bCs w:val="1"/>
                <w:color w:val="auto"/>
                <w:w w:val="87"/>
              </w:rPr>
              <w:t>Delaware</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tcPr>
          <w:p>
            <w:pPr>
              <w:jc w:val="right"/>
              <w:ind w:right="332"/>
              <w:spacing w:after="0"/>
              <w:rPr>
                <w:sz w:val="20"/>
                <w:szCs w:val="20"/>
                <w:color w:val="auto"/>
              </w:rPr>
            </w:pPr>
            <w:r>
              <w:rPr>
                <w:rFonts w:ascii="Arial" w:cs="Arial" w:eastAsia="Arial" w:hAnsi="Arial"/>
                <w:sz w:val="14"/>
                <w:szCs w:val="14"/>
                <w:b w:val="1"/>
                <w:bCs w:val="1"/>
                <w:color w:val="auto"/>
              </w:rPr>
              <w:t>20-2590184</w:t>
            </w:r>
          </w:p>
        </w:tc>
      </w:tr>
      <w:tr>
        <w:trPr>
          <w:trHeight w:val="149"/>
        </w:trPr>
        <w:tc>
          <w:tcPr>
            <w:tcW w:w="4820" w:type="dxa"/>
            <w:vAlign w:val="bottom"/>
            <w:gridSpan w:val="2"/>
          </w:tcPr>
          <w:p>
            <w:pPr>
              <w:jc w:val="center"/>
              <w:ind w:left="1692"/>
              <w:spacing w:after="0" w:line="149" w:lineRule="exact"/>
              <w:rPr>
                <w:sz w:val="20"/>
                <w:szCs w:val="20"/>
                <w:color w:val="auto"/>
              </w:rPr>
            </w:pPr>
            <w:r>
              <w:rPr>
                <w:rFonts w:ascii="Arial" w:cs="Arial" w:eastAsia="Arial" w:hAnsi="Arial"/>
                <w:sz w:val="14"/>
                <w:szCs w:val="14"/>
                <w:color w:val="auto"/>
                <w:w w:val="90"/>
              </w:rPr>
              <w:t>(State or other jurisdiction of</w:t>
            </w: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0" w:type="dxa"/>
            <w:vAlign w:val="bottom"/>
          </w:tcPr>
          <w:p>
            <w:pPr>
              <w:jc w:val="center"/>
              <w:ind w:left="29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820" w:type="dxa"/>
            <w:vAlign w:val="bottom"/>
            <w:gridSpan w:val="2"/>
          </w:tcPr>
          <w:p>
            <w:pPr>
              <w:jc w:val="center"/>
              <w:ind w:left="1692"/>
              <w:spacing w:after="0"/>
              <w:rPr>
                <w:sz w:val="20"/>
                <w:szCs w:val="20"/>
                <w:color w:val="auto"/>
              </w:rPr>
            </w:pPr>
            <w:r>
              <w:rPr>
                <w:rFonts w:ascii="Arial" w:cs="Arial" w:eastAsia="Arial" w:hAnsi="Arial"/>
                <w:sz w:val="14"/>
                <w:szCs w:val="14"/>
                <w:color w:val="auto"/>
                <w:w w:val="88"/>
              </w:rPr>
              <w:t>incorporation or organization)</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tcPr>
          <w:p>
            <w:pPr>
              <w:jc w:val="center"/>
              <w:ind w:left="292"/>
              <w:spacing w:after="0"/>
              <w:rPr>
                <w:sz w:val="20"/>
                <w:szCs w:val="20"/>
                <w:color w:val="auto"/>
              </w:rPr>
            </w:pPr>
            <w:r>
              <w:rPr>
                <w:rFonts w:ascii="Arial" w:cs="Arial" w:eastAsia="Arial" w:hAnsi="Arial"/>
                <w:sz w:val="14"/>
                <w:szCs w:val="14"/>
                <w:color w:val="auto"/>
                <w:w w:val="90"/>
              </w:rPr>
              <w:t>Identification Number)</w:t>
            </w:r>
          </w:p>
        </w:tc>
      </w:tr>
      <w:tr>
        <w:trPr>
          <w:trHeight w:val="366"/>
        </w:trPr>
        <w:tc>
          <w:tcPr>
            <w:tcW w:w="4820" w:type="dxa"/>
            <w:vAlign w:val="bottom"/>
            <w:gridSpan w:val="2"/>
          </w:tcPr>
          <w:p>
            <w:pPr>
              <w:jc w:val="center"/>
              <w:ind w:left="1692"/>
              <w:spacing w:after="0"/>
              <w:rPr>
                <w:sz w:val="20"/>
                <w:szCs w:val="20"/>
                <w:color w:val="auto"/>
              </w:rPr>
            </w:pPr>
            <w:r>
              <w:rPr>
                <w:rFonts w:ascii="Arial" w:cs="Arial" w:eastAsia="Arial" w:hAnsi="Arial"/>
                <w:sz w:val="14"/>
                <w:szCs w:val="14"/>
                <w:b w:val="1"/>
                <w:bCs w:val="1"/>
                <w:color w:val="auto"/>
                <w:w w:val="87"/>
              </w:rPr>
              <w:t>1550 East Gude Drive, Rockville,</w:t>
            </w:r>
          </w:p>
        </w:tc>
        <w:tc>
          <w:tcPr>
            <w:tcW w:w="1420" w:type="dxa"/>
            <w:vAlign w:val="bottom"/>
            <w:gridSpan w:val="2"/>
          </w:tcPr>
          <w:p>
            <w:pPr>
              <w:jc w:val="center"/>
              <w:ind w:left="272"/>
              <w:spacing w:after="0"/>
              <w:rPr>
                <w:sz w:val="20"/>
                <w:szCs w:val="20"/>
                <w:color w:val="auto"/>
              </w:rPr>
            </w:pPr>
            <w:r>
              <w:rPr>
                <w:rFonts w:ascii="Arial" w:cs="Arial" w:eastAsia="Arial" w:hAnsi="Arial"/>
                <w:sz w:val="14"/>
                <w:szCs w:val="14"/>
                <w:b w:val="1"/>
                <w:bCs w:val="1"/>
                <w:color w:val="auto"/>
                <w:w w:val="87"/>
              </w:rPr>
              <w:t>(301) 838-2500</w:t>
            </w:r>
          </w:p>
        </w:tc>
        <w:tc>
          <w:tcPr>
            <w:tcW w:w="820" w:type="dxa"/>
            <w:vAlign w:val="bottom"/>
          </w:tcPr>
          <w:p>
            <w:pPr>
              <w:spacing w:after="0"/>
              <w:rPr>
                <w:sz w:val="24"/>
                <w:szCs w:val="24"/>
                <w:color w:val="auto"/>
              </w:rPr>
            </w:pPr>
          </w:p>
        </w:tc>
        <w:tc>
          <w:tcPr>
            <w:tcW w:w="1800" w:type="dxa"/>
            <w:vAlign w:val="bottom"/>
          </w:tcPr>
          <w:p>
            <w:pPr>
              <w:jc w:val="right"/>
              <w:ind w:right="492"/>
              <w:spacing w:after="0"/>
              <w:rPr>
                <w:sz w:val="20"/>
                <w:szCs w:val="20"/>
                <w:color w:val="auto"/>
              </w:rPr>
            </w:pPr>
            <w:r>
              <w:rPr>
                <w:rFonts w:ascii="Arial" w:cs="Arial" w:eastAsia="Arial" w:hAnsi="Arial"/>
                <w:sz w:val="14"/>
                <w:szCs w:val="14"/>
                <w:b w:val="1"/>
                <w:bCs w:val="1"/>
                <w:color w:val="auto"/>
              </w:rPr>
              <w:t>20850</w:t>
            </w:r>
          </w:p>
        </w:tc>
      </w:tr>
      <w:tr>
        <w:trPr>
          <w:trHeight w:val="151"/>
        </w:trPr>
        <w:tc>
          <w:tcPr>
            <w:tcW w:w="2580" w:type="dxa"/>
            <w:vAlign w:val="bottom"/>
          </w:tcPr>
          <w:p>
            <w:pPr>
              <w:spacing w:after="0"/>
              <w:rPr>
                <w:sz w:val="13"/>
                <w:szCs w:val="13"/>
                <w:color w:val="auto"/>
              </w:rPr>
            </w:pPr>
          </w:p>
        </w:tc>
        <w:tc>
          <w:tcPr>
            <w:tcW w:w="2240" w:type="dxa"/>
            <w:vAlign w:val="bottom"/>
          </w:tcPr>
          <w:p>
            <w:pPr>
              <w:jc w:val="center"/>
              <w:ind w:right="752"/>
              <w:spacing w:after="0" w:line="151" w:lineRule="exact"/>
              <w:rPr>
                <w:sz w:val="20"/>
                <w:szCs w:val="20"/>
                <w:color w:val="auto"/>
              </w:rPr>
            </w:pPr>
            <w:r>
              <w:rPr>
                <w:rFonts w:ascii="Arial" w:cs="Arial" w:eastAsia="Arial" w:hAnsi="Arial"/>
                <w:sz w:val="14"/>
                <w:szCs w:val="14"/>
                <w:b w:val="1"/>
                <w:bCs w:val="1"/>
                <w:color w:val="auto"/>
              </w:rPr>
              <w:t>MD</w:t>
            </w:r>
          </w:p>
        </w:tc>
        <w:tc>
          <w:tcPr>
            <w:tcW w:w="2240" w:type="dxa"/>
            <w:vAlign w:val="bottom"/>
            <w:gridSpan w:val="3"/>
          </w:tcPr>
          <w:p>
            <w:pPr>
              <w:jc w:val="center"/>
              <w:ind w:right="392"/>
              <w:spacing w:after="0" w:line="151" w:lineRule="exact"/>
              <w:rPr>
                <w:sz w:val="20"/>
                <w:szCs w:val="20"/>
                <w:color w:val="auto"/>
              </w:rPr>
            </w:pPr>
            <w:r>
              <w:rPr>
                <w:rFonts w:ascii="Arial" w:cs="Arial" w:eastAsia="Arial" w:hAnsi="Arial"/>
                <w:sz w:val="14"/>
                <w:szCs w:val="14"/>
                <w:color w:val="auto"/>
                <w:w w:val="85"/>
              </w:rPr>
              <w:t>(Registrant's telephone number,</w:t>
            </w:r>
          </w:p>
        </w:tc>
        <w:tc>
          <w:tcPr>
            <w:tcW w:w="1800" w:type="dxa"/>
            <w:vAlign w:val="bottom"/>
          </w:tcPr>
          <w:p>
            <w:pPr>
              <w:jc w:val="center"/>
              <w:ind w:left="292"/>
              <w:spacing w:after="0" w:line="151" w:lineRule="exact"/>
              <w:rPr>
                <w:sz w:val="20"/>
                <w:szCs w:val="20"/>
                <w:color w:val="auto"/>
              </w:rPr>
            </w:pPr>
            <w:r>
              <w:rPr>
                <w:rFonts w:ascii="Arial" w:cs="Arial" w:eastAsia="Arial" w:hAnsi="Arial"/>
                <w:sz w:val="14"/>
                <w:szCs w:val="14"/>
                <w:color w:val="auto"/>
                <w:w w:val="91"/>
              </w:rPr>
              <w:t>(zip code)</w:t>
            </w:r>
          </w:p>
        </w:tc>
      </w:tr>
      <w:tr>
        <w:trPr>
          <w:trHeight w:val="149"/>
        </w:trPr>
        <w:tc>
          <w:tcPr>
            <w:tcW w:w="2580" w:type="dxa"/>
            <w:vAlign w:val="bottom"/>
          </w:tcPr>
          <w:p>
            <w:pPr>
              <w:spacing w:after="0"/>
              <w:rPr>
                <w:sz w:val="12"/>
                <w:szCs w:val="12"/>
                <w:color w:val="auto"/>
              </w:rPr>
            </w:pPr>
          </w:p>
        </w:tc>
        <w:tc>
          <w:tcPr>
            <w:tcW w:w="2240" w:type="dxa"/>
            <w:vAlign w:val="bottom"/>
          </w:tcPr>
          <w:p>
            <w:pPr>
              <w:jc w:val="center"/>
              <w:ind w:right="752"/>
              <w:spacing w:after="0" w:line="149" w:lineRule="exact"/>
              <w:rPr>
                <w:sz w:val="20"/>
                <w:szCs w:val="20"/>
                <w:color w:val="auto"/>
              </w:rPr>
            </w:pPr>
            <w:r>
              <w:rPr>
                <w:rFonts w:ascii="Arial" w:cs="Arial" w:eastAsia="Arial" w:hAnsi="Arial"/>
                <w:sz w:val="14"/>
                <w:szCs w:val="14"/>
                <w:color w:val="auto"/>
                <w:w w:val="88"/>
              </w:rPr>
              <w:t>(Address of Principal</w:t>
            </w:r>
          </w:p>
        </w:tc>
        <w:tc>
          <w:tcPr>
            <w:tcW w:w="2240" w:type="dxa"/>
            <w:vAlign w:val="bottom"/>
            <w:gridSpan w:val="3"/>
          </w:tcPr>
          <w:p>
            <w:pPr>
              <w:jc w:val="center"/>
              <w:ind w:right="392"/>
              <w:spacing w:after="0" w:line="149" w:lineRule="exact"/>
              <w:rPr>
                <w:sz w:val="20"/>
                <w:szCs w:val="20"/>
                <w:color w:val="auto"/>
              </w:rPr>
            </w:pPr>
            <w:r>
              <w:rPr>
                <w:rFonts w:ascii="Arial" w:cs="Arial" w:eastAsia="Arial" w:hAnsi="Arial"/>
                <w:sz w:val="14"/>
                <w:szCs w:val="14"/>
                <w:color w:val="auto"/>
                <w:w w:val="87"/>
              </w:rPr>
              <w:t>including area code)</w:t>
            </w:r>
          </w:p>
        </w:tc>
        <w:tc>
          <w:tcPr>
            <w:tcW w:w="1800" w:type="dxa"/>
            <w:vAlign w:val="bottom"/>
          </w:tcPr>
          <w:p>
            <w:pPr>
              <w:spacing w:after="0"/>
              <w:rPr>
                <w:sz w:val="12"/>
                <w:szCs w:val="12"/>
                <w:color w:val="auto"/>
              </w:rPr>
            </w:pPr>
          </w:p>
        </w:tc>
      </w:tr>
      <w:tr>
        <w:trPr>
          <w:trHeight w:val="172"/>
        </w:trPr>
        <w:tc>
          <w:tcPr>
            <w:tcW w:w="2580" w:type="dxa"/>
            <w:vAlign w:val="bottom"/>
          </w:tcPr>
          <w:p>
            <w:pPr>
              <w:spacing w:after="0"/>
              <w:rPr>
                <w:sz w:val="14"/>
                <w:szCs w:val="14"/>
                <w:color w:val="auto"/>
              </w:rPr>
            </w:pPr>
          </w:p>
        </w:tc>
        <w:tc>
          <w:tcPr>
            <w:tcW w:w="2240" w:type="dxa"/>
            <w:vAlign w:val="bottom"/>
          </w:tcPr>
          <w:p>
            <w:pPr>
              <w:jc w:val="center"/>
              <w:ind w:right="752"/>
              <w:spacing w:after="0"/>
              <w:rPr>
                <w:sz w:val="20"/>
                <w:szCs w:val="20"/>
                <w:color w:val="auto"/>
              </w:rPr>
            </w:pPr>
            <w:r>
              <w:rPr>
                <w:rFonts w:ascii="Arial" w:cs="Arial" w:eastAsia="Arial" w:hAnsi="Arial"/>
                <w:sz w:val="14"/>
                <w:szCs w:val="14"/>
                <w:color w:val="auto"/>
                <w:w w:val="90"/>
              </w:rPr>
              <w:t>Executive Offices)</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65"/>
        </w:trPr>
        <w:tc>
          <w:tcPr>
            <w:tcW w:w="48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9"/>
        </w:trPr>
        <w:tc>
          <w:tcPr>
            <w:tcW w:w="2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NAME OF EACH EXCHANGE ON</w:t>
            </w:r>
          </w:p>
        </w:tc>
      </w:tr>
      <w:tr>
        <w:trPr>
          <w:trHeight w:val="149"/>
        </w:trPr>
        <w:tc>
          <w:tcPr>
            <w:tcW w:w="25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0" w:type="dxa"/>
            <w:vAlign w:val="bottom"/>
          </w:tcPr>
          <w:p>
            <w:pPr>
              <w:jc w:val="center"/>
              <w:ind w:right="752"/>
              <w:spacing w:after="0" w:line="149" w:lineRule="exact"/>
              <w:rPr>
                <w:sz w:val="20"/>
                <w:szCs w:val="20"/>
                <w:color w:val="auto"/>
              </w:rPr>
            </w:pPr>
            <w:r>
              <w:rPr>
                <w:rFonts w:ascii="Arial" w:cs="Arial" w:eastAsia="Arial" w:hAnsi="Arial"/>
                <w:sz w:val="14"/>
                <w:szCs w:val="14"/>
                <w:b w:val="1"/>
                <w:bCs w:val="1"/>
                <w:color w:val="auto"/>
              </w:rPr>
              <w:t>WHICH</w:t>
            </w:r>
          </w:p>
        </w:tc>
      </w:tr>
      <w:tr>
        <w:trPr>
          <w:trHeight w:val="161"/>
        </w:trPr>
        <w:tc>
          <w:tcPr>
            <w:tcW w:w="2580" w:type="dxa"/>
            <w:vAlign w:val="bottom"/>
          </w:tcPr>
          <w:p>
            <w:pPr>
              <w:spacing w:after="0"/>
              <w:rPr>
                <w:sz w:val="14"/>
                <w:szCs w:val="14"/>
                <w:color w:val="auto"/>
              </w:rPr>
            </w:pPr>
          </w:p>
        </w:tc>
        <w:tc>
          <w:tcPr>
            <w:tcW w:w="2240" w:type="dxa"/>
            <w:vAlign w:val="bottom"/>
            <w:tcBorders>
              <w:bottom w:val="single" w:sz="8" w:color="auto"/>
            </w:tcBorders>
          </w:tcPr>
          <w:p>
            <w:pPr>
              <w:jc w:val="center"/>
              <w:ind w:left="312"/>
              <w:spacing w:after="0"/>
              <w:rPr>
                <w:sz w:val="20"/>
                <w:szCs w:val="20"/>
                <w:color w:val="auto"/>
              </w:rPr>
            </w:pPr>
            <w:r>
              <w:rPr>
                <w:rFonts w:ascii="Arial" w:cs="Arial" w:eastAsia="Arial" w:hAnsi="Arial"/>
                <w:sz w:val="14"/>
                <w:szCs w:val="14"/>
                <w:b w:val="1"/>
                <w:bCs w:val="1"/>
                <w:color w:val="auto"/>
                <w:w w:val="97"/>
              </w:rPr>
              <w:t>TITLE OF EACH CLASS:</w:t>
            </w:r>
          </w:p>
        </w:tc>
        <w:tc>
          <w:tcPr>
            <w:tcW w:w="38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772"/>
              <w:spacing w:after="0"/>
              <w:rPr>
                <w:sz w:val="20"/>
                <w:szCs w:val="20"/>
                <w:color w:val="auto"/>
              </w:rPr>
            </w:pPr>
            <w:r>
              <w:rPr>
                <w:rFonts w:ascii="Arial" w:cs="Arial" w:eastAsia="Arial" w:hAnsi="Arial"/>
                <w:sz w:val="14"/>
                <w:szCs w:val="14"/>
                <w:b w:val="1"/>
                <w:bCs w:val="1"/>
                <w:color w:val="auto"/>
                <w:w w:val="96"/>
              </w:rPr>
              <w:t>REGISTERED:</w:t>
            </w:r>
          </w:p>
        </w:tc>
      </w:tr>
      <w:tr>
        <w:trPr>
          <w:trHeight w:val="166"/>
        </w:trPr>
        <w:tc>
          <w:tcPr>
            <w:tcW w:w="2580" w:type="dxa"/>
            <w:vAlign w:val="bottom"/>
          </w:tcPr>
          <w:p>
            <w:pPr>
              <w:spacing w:after="0"/>
              <w:rPr>
                <w:sz w:val="14"/>
                <w:szCs w:val="14"/>
                <w:color w:val="auto"/>
              </w:rPr>
            </w:pPr>
          </w:p>
        </w:tc>
        <w:tc>
          <w:tcPr>
            <w:tcW w:w="2240" w:type="dxa"/>
            <w:vAlign w:val="bottom"/>
          </w:tcPr>
          <w:p>
            <w:pPr>
              <w:jc w:val="center"/>
              <w:ind w:left="292"/>
              <w:spacing w:after="0"/>
              <w:rPr>
                <w:sz w:val="20"/>
                <w:szCs w:val="20"/>
                <w:color w:val="auto"/>
              </w:rPr>
            </w:pPr>
            <w:r>
              <w:rPr>
                <w:rFonts w:ascii="Arial" w:cs="Arial" w:eastAsia="Arial" w:hAnsi="Arial"/>
                <w:sz w:val="14"/>
                <w:szCs w:val="14"/>
                <w:color w:val="auto"/>
                <w:w w:val="86"/>
              </w:rPr>
              <w:t>Common Stock, $0.001 Par Value</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20" w:type="dxa"/>
            <w:vAlign w:val="bottom"/>
            <w:gridSpan w:val="2"/>
          </w:tcPr>
          <w:p>
            <w:pPr>
              <w:jc w:val="center"/>
              <w:spacing w:after="0"/>
              <w:rPr>
                <w:sz w:val="20"/>
                <w:szCs w:val="20"/>
                <w:color w:val="auto"/>
              </w:rPr>
            </w:pPr>
            <w:r>
              <w:rPr>
                <w:rFonts w:ascii="Arial" w:cs="Arial" w:eastAsia="Arial" w:hAnsi="Arial"/>
                <w:sz w:val="14"/>
                <w:szCs w:val="14"/>
                <w:color w:val="auto"/>
                <w:w w:val="91"/>
              </w:rPr>
              <w:t>The NASDAQ Stock Market LLC</w:t>
            </w:r>
          </w:p>
        </w:tc>
      </w:tr>
      <w:tr>
        <w:trPr>
          <w:trHeight w:val="354"/>
        </w:trPr>
        <w:tc>
          <w:tcPr>
            <w:tcW w:w="4820" w:type="dxa"/>
            <w:vAlign w:val="bottom"/>
            <w:gridSpan w:val="2"/>
          </w:tcPr>
          <w:p>
            <w:pPr>
              <w:spacing w:after="0"/>
              <w:rPr>
                <w:sz w:val="20"/>
                <w:szCs w:val="20"/>
                <w:color w:val="auto"/>
              </w:rPr>
            </w:pPr>
            <w:r>
              <w:rPr>
                <w:rFonts w:ascii="Arial" w:cs="Arial" w:eastAsia="Arial" w:hAnsi="Arial"/>
                <w:sz w:val="14"/>
                <w:szCs w:val="14"/>
                <w:color w:val="auto"/>
                <w:w w:val="92"/>
              </w:rPr>
              <w:t xml:space="preserve">SECURITIES REGISTERED PURSUANT TO SECTION 12(g) OF THE ACT: </w:t>
            </w:r>
            <w:r>
              <w:rPr>
                <w:rFonts w:ascii="Arial" w:cs="Arial" w:eastAsia="Arial" w:hAnsi="Arial"/>
                <w:sz w:val="14"/>
                <w:szCs w:val="14"/>
                <w:b w:val="1"/>
                <w:bCs w:val="1"/>
                <w:color w:val="auto"/>
                <w:w w:val="92"/>
              </w:rPr>
              <w:t>NONE</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9"/>
        </w:trPr>
        <w:tc>
          <w:tcPr>
            <w:tcW w:w="7060" w:type="dxa"/>
            <w:vAlign w:val="bottom"/>
            <w:gridSpan w:val="5"/>
          </w:tcPr>
          <w:p>
            <w:pPr>
              <w:ind w:left="280"/>
              <w:spacing w:after="0"/>
              <w:rPr>
                <w:sz w:val="20"/>
                <w:szCs w:val="20"/>
                <w:color w:val="auto"/>
              </w:rPr>
            </w:pPr>
            <w:r>
              <w:rPr>
                <w:rFonts w:ascii="Arial" w:cs="Arial" w:eastAsia="Arial" w:hAnsi="Arial"/>
                <w:sz w:val="14"/>
                <w:szCs w:val="14"/>
                <w:color w:val="auto"/>
                <w:w w:val="88"/>
              </w:rPr>
              <w:t>Indicate by check mark if the registrant is a well-known seasoned issuer, as defined in Rule 405 of the Securities Act. Yes o</w:t>
            </w:r>
          </w:p>
        </w:tc>
        <w:tc>
          <w:tcPr>
            <w:tcW w:w="180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365"/>
        </w:trPr>
        <w:tc>
          <w:tcPr>
            <w:tcW w:w="7060" w:type="dxa"/>
            <w:vAlign w:val="bottom"/>
            <w:gridSpan w:val="5"/>
          </w:tcPr>
          <w:p>
            <w:pPr>
              <w:ind w:left="280"/>
              <w:spacing w:after="0"/>
              <w:rPr>
                <w:sz w:val="20"/>
                <w:szCs w:val="20"/>
                <w:color w:val="auto"/>
              </w:rPr>
            </w:pPr>
            <w:r>
              <w:rPr>
                <w:rFonts w:ascii="Arial" w:cs="Arial" w:eastAsia="Arial" w:hAnsi="Arial"/>
                <w:sz w:val="14"/>
                <w:szCs w:val="14"/>
                <w:color w:val="auto"/>
                <w:w w:val="87"/>
              </w:rPr>
              <w:t>Indicate by check mark if the registrant is not required to file reports pursuant to Section 13 or Section 15(d) of the Act. Yes o</w:t>
            </w:r>
          </w:p>
        </w:tc>
        <w:tc>
          <w:tcPr>
            <w:tcW w:w="180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78" w:lineRule="exact"/>
        <w:rPr>
          <w:sz w:val="24"/>
          <w:szCs w:val="24"/>
          <w:color w:val="auto"/>
        </w:rPr>
      </w:pPr>
    </w:p>
    <w:p>
      <w:pPr>
        <w:ind w:right="100" w:firstLine="270"/>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right="120" w:firstLine="270"/>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79" w:lineRule="exact"/>
        <w:rPr>
          <w:sz w:val="24"/>
          <w:szCs w:val="24"/>
          <w:color w:val="auto"/>
        </w:rPr>
      </w:pPr>
    </w:p>
    <w:p>
      <w:pPr>
        <w:ind w:right="380" w:firstLine="270"/>
        <w:spacing w:after="0" w:line="239"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93" w:lineRule="exact"/>
        <w:rPr>
          <w:sz w:val="24"/>
          <w:szCs w:val="24"/>
          <w:color w:val="auto"/>
        </w:rPr>
      </w:pPr>
    </w:p>
    <w:p>
      <w:pPr>
        <w:ind w:right="440" w:firstLine="27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685" w:right="239" w:bottom="0" w:gutter="0" w:footer="0" w:header="0"/>
        </w:sectPr>
      </w:pPr>
    </w:p>
    <w:p>
      <w:pPr>
        <w:spacing w:after="0" w:line="168" w:lineRule="exact"/>
        <w:rPr>
          <w:sz w:val="24"/>
          <w:szCs w:val="24"/>
          <w:color w:val="auto"/>
        </w:rPr>
      </w:pPr>
    </w:p>
    <w:p>
      <w:pPr>
        <w:ind w:left="42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92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1080"/>
        <w:spacing w:after="0"/>
        <w:rPr>
          <w:sz w:val="20"/>
          <w:szCs w:val="20"/>
          <w:color w:val="auto"/>
        </w:rPr>
      </w:pPr>
      <w:r>
        <w:rPr>
          <w:rFonts w:ascii="Arial" w:cs="Arial" w:eastAsia="Arial" w:hAnsi="Arial"/>
          <w:sz w:val="14"/>
          <w:szCs w:val="14"/>
          <w:color w:val="auto"/>
        </w:rPr>
        <w:t>Non-accelerated filer o</w:t>
      </w:r>
    </w:p>
    <w:p>
      <w:pPr>
        <w:jc w:val="center"/>
        <w:ind w:right="1080"/>
        <w:spacing w:after="0" w:line="221" w:lineRule="auto"/>
        <w:rPr>
          <w:sz w:val="20"/>
          <w:szCs w:val="20"/>
          <w:color w:val="auto"/>
        </w:rPr>
      </w:pPr>
      <w:r>
        <w:rPr>
          <w:rFonts w:ascii="Arial" w:cs="Arial" w:eastAsia="Arial" w:hAnsi="Arial"/>
          <w:sz w:val="14"/>
          <w:szCs w:val="14"/>
          <w:color w:val="auto"/>
        </w:rPr>
        <w:t>(Do not check if a</w:t>
      </w:r>
    </w:p>
    <w:p>
      <w:pPr>
        <w:jc w:val="center"/>
        <w:ind w:right="108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348" w:lineRule="exact"/>
        <w:rPr>
          <w:sz w:val="24"/>
          <w:szCs w:val="24"/>
          <w:color w:val="auto"/>
        </w:rPr>
      </w:pPr>
    </w:p>
    <w:p>
      <w:pPr>
        <w:sectPr>
          <w:pgSz w:w="11900" w:h="16838" w:orient="portrait"/>
          <w:cols w:equalWidth="0" w:num="4">
            <w:col w:w="2680" w:space="720"/>
            <w:col w:w="1940" w:space="720"/>
            <w:col w:w="2580" w:space="720"/>
            <w:col w:w="2060"/>
          </w:cols>
          <w:pgMar w:left="240" w:top="685" w:right="239" w:bottom="0" w:gutter="0" w:footer="0" w:header="0"/>
          <w:type w:val="continuous"/>
        </w:sectPr>
      </w:pPr>
    </w:p>
    <w:p>
      <w:pPr>
        <w:spacing w:after="0" w:line="15" w:lineRule="exact"/>
        <w:rPr>
          <w:sz w:val="24"/>
          <w:szCs w:val="24"/>
          <w:color w:val="auto"/>
        </w:rPr>
      </w:pPr>
    </w:p>
    <w:p>
      <w:pPr>
        <w:ind w:right="80" w:firstLine="270"/>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8" w:lineRule="exact"/>
        <w:rPr>
          <w:sz w:val="24"/>
          <w:szCs w:val="24"/>
          <w:color w:val="auto"/>
        </w:rPr>
      </w:pPr>
    </w:p>
    <w:p>
      <w:pPr>
        <w:ind w:left="280"/>
        <w:spacing w:after="0" w:line="138" w:lineRule="exact"/>
        <w:tabs>
          <w:tab w:leader="none" w:pos="62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252" w:lineRule="exact"/>
        <w:rPr>
          <w:sz w:val="24"/>
          <w:szCs w:val="24"/>
          <w:color w:val="auto"/>
        </w:rPr>
      </w:pPr>
    </w:p>
    <w:p>
      <w:pPr>
        <w:ind w:right="600" w:firstLine="263"/>
        <w:spacing w:after="0" w:line="239" w:lineRule="auto"/>
        <w:rPr>
          <w:sz w:val="20"/>
          <w:szCs w:val="20"/>
          <w:color w:val="auto"/>
        </w:rPr>
      </w:pPr>
      <w:r>
        <w:rPr>
          <w:rFonts w:ascii="Arial" w:cs="Arial" w:eastAsia="Arial" w:hAnsi="Arial"/>
          <w:sz w:val="14"/>
          <w:szCs w:val="14"/>
          <w:color w:val="auto"/>
        </w:rPr>
        <w:t>As of June 30, 2017, the aggregate market value of the common stock held by non-affiliates of the registrant based on the closing price of the common stock on The NASDAQ Global Market was $2,112,421,553.</w:t>
      </w:r>
    </w:p>
    <w:p>
      <w:pPr>
        <w:spacing w:after="0" w:line="193" w:lineRule="exact"/>
        <w:rPr>
          <w:sz w:val="24"/>
          <w:szCs w:val="24"/>
          <w:color w:val="auto"/>
        </w:rPr>
      </w:pPr>
    </w:p>
    <w:p>
      <w:pPr>
        <w:ind w:left="280"/>
        <w:spacing w:after="0"/>
        <w:rPr>
          <w:sz w:val="20"/>
          <w:szCs w:val="20"/>
          <w:color w:val="auto"/>
        </w:rPr>
      </w:pPr>
      <w:r>
        <w:rPr>
          <w:rFonts w:ascii="Arial" w:cs="Arial" w:eastAsia="Arial" w:hAnsi="Arial"/>
          <w:sz w:val="14"/>
          <w:szCs w:val="14"/>
          <w:color w:val="auto"/>
        </w:rPr>
        <w:t>The number of shares of the registrant's common stock outstanding as of February 19, 2018 was 51,537,138.</w:t>
      </w:r>
    </w:p>
    <w:p>
      <w:pPr>
        <w:sectPr>
          <w:pgSz w:w="11900" w:h="16838" w:orient="portrait"/>
          <w:cols w:equalWidth="0" w:num="1">
            <w:col w:w="11420"/>
          </w:cols>
          <w:pgMar w:left="240" w:top="685" w:right="239" w:bottom="0" w:gutter="0" w:footer="0" w:header="0"/>
          <w:type w:val="continuous"/>
        </w:sectPr>
      </w:pPr>
    </w:p>
    <w:bookmarkStart w:id="1" w:name="page2"/>
    <w:bookmarkEnd w:id="1"/>
    <w:p>
      <w:pPr>
        <w:jc w:val="center"/>
        <w:ind w:right="-1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6" w:lineRule="exact"/>
        <w:rPr>
          <w:sz w:val="20"/>
          <w:szCs w:val="20"/>
          <w:color w:val="auto"/>
        </w:rPr>
      </w:pPr>
    </w:p>
    <w:p>
      <w:pPr>
        <w:ind w:firstLine="270"/>
        <w:spacing w:after="0" w:line="239" w:lineRule="auto"/>
        <w:rPr>
          <w:sz w:val="20"/>
          <w:szCs w:val="20"/>
          <w:color w:val="auto"/>
        </w:rPr>
      </w:pPr>
      <w:r>
        <w:rPr>
          <w:rFonts w:ascii="Arial" w:cs="Arial" w:eastAsia="Arial" w:hAnsi="Arial"/>
          <w:sz w:val="14"/>
          <w:szCs w:val="14"/>
          <w:color w:val="auto"/>
        </w:rPr>
        <w:t>Certain portions of the registrant's definitive Proxy Statement for its 2018 Annual Meeting of Stockholders, which will be filed with the Securities and Exchange Commission not later than 120 days after the end of the registrant's 2017 fiscal year end,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7"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20" w:type="dxa"/>
            <w:vAlign w:val="bottom"/>
            <w:gridSpan w:val="18"/>
          </w:tcPr>
          <w:p>
            <w:pPr>
              <w:jc w:val="center"/>
              <w:ind w:right="2520"/>
              <w:spacing w:after="0"/>
              <w:rPr>
                <w:sz w:val="20"/>
                <w:szCs w:val="20"/>
                <w:color w:val="auto"/>
              </w:rPr>
            </w:pPr>
            <w:r>
              <w:rPr>
                <w:rFonts w:ascii="Arial" w:cs="Arial" w:eastAsia="Arial" w:hAnsi="Arial"/>
                <w:sz w:val="18"/>
                <w:szCs w:val="18"/>
                <w:b w:val="1"/>
                <w:bCs w:val="1"/>
                <w:color w:val="auto"/>
                <w:w w:val="97"/>
              </w:rPr>
              <w:t>SUPERNUS PHARMACEUTICALS, INC.</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80" w:type="dxa"/>
            <w:vAlign w:val="bottom"/>
            <w:gridSpan w:val="16"/>
          </w:tcPr>
          <w:p>
            <w:pPr>
              <w:jc w:val="center"/>
              <w:ind w:right="3380"/>
              <w:spacing w:after="0"/>
              <w:rPr>
                <w:sz w:val="20"/>
                <w:szCs w:val="20"/>
                <w:color w:val="auto"/>
              </w:rPr>
            </w:pPr>
            <w:r>
              <w:rPr>
                <w:rFonts w:ascii="Arial" w:cs="Arial" w:eastAsia="Arial" w:hAnsi="Arial"/>
                <w:sz w:val="18"/>
                <w:szCs w:val="18"/>
                <w:b w:val="1"/>
                <w:bCs w:val="1"/>
                <w:color w:val="auto"/>
                <w:w w:val="96"/>
              </w:rPr>
              <w:t>FORM 10-K</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20" w:type="dxa"/>
            <w:vAlign w:val="bottom"/>
            <w:gridSpan w:val="18"/>
          </w:tcPr>
          <w:p>
            <w:pPr>
              <w:jc w:val="center"/>
              <w:ind w:right="2540"/>
              <w:spacing w:after="0"/>
              <w:rPr>
                <w:sz w:val="20"/>
                <w:szCs w:val="20"/>
                <w:color w:val="auto"/>
              </w:rPr>
            </w:pPr>
            <w:r>
              <w:rPr>
                <w:rFonts w:ascii="Arial" w:cs="Arial" w:eastAsia="Arial" w:hAnsi="Arial"/>
                <w:sz w:val="18"/>
                <w:szCs w:val="18"/>
                <w:b w:val="1"/>
                <w:bCs w:val="1"/>
                <w:color w:val="auto"/>
                <w:w w:val="88"/>
              </w:rPr>
              <w:t>For the Year Ended December 31, 2017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20" w:type="dxa"/>
            <w:vAlign w:val="bottom"/>
            <w:gridSpan w:val="18"/>
          </w:tcPr>
          <w:p>
            <w:pPr>
              <w:jc w:val="center"/>
              <w:ind w:right="2560"/>
              <w:spacing w:after="0"/>
              <w:rPr>
                <w:sz w:val="20"/>
                <w:szCs w:val="20"/>
                <w:color w:val="auto"/>
              </w:rPr>
            </w:pPr>
            <w:r>
              <w:rPr>
                <w:rFonts w:ascii="Arial" w:cs="Arial" w:eastAsia="Arial" w:hAnsi="Arial"/>
                <w:sz w:val="18"/>
                <w:szCs w:val="18"/>
                <w:b w:val="1"/>
                <w:bCs w:val="1"/>
                <w:color w:val="auto"/>
                <w:w w:val="96"/>
              </w:rPr>
              <w:t>TABLE OF CONTENTS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vMerge w:val="restart"/>
          </w:tcPr>
          <w:p>
            <w:pPr>
              <w:jc w:val="cente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PART I</w:t>
              </w:r>
            </w:hyperlink>
          </w:p>
        </w:tc>
        <w:tc>
          <w:tcPr>
            <w:tcW w:w="3960" w:type="dxa"/>
            <w:vAlign w:val="bottom"/>
            <w:gridSpan w:val="10"/>
            <w:vMerge w:val="restart"/>
          </w:tcPr>
          <w:p>
            <w:pPr>
              <w:spacing w:after="0"/>
              <w:rPr>
                <w:sz w:val="24"/>
                <w:szCs w:val="24"/>
                <w:color w:val="auto"/>
              </w:rPr>
            </w:pPr>
          </w:p>
        </w:tc>
        <w:tc>
          <w:tcPr>
            <w:tcW w:w="1480" w:type="dxa"/>
            <w:vAlign w:val="bottom"/>
            <w:gridSpan w:val="5"/>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0000EE"/>
            </w:tcBorders>
            <w:vMerge w:val="continue"/>
          </w:tcPr>
          <w:p>
            <w:pPr>
              <w:spacing w:after="0"/>
              <w:rPr>
                <w:sz w:val="14"/>
                <w:szCs w:val="14"/>
                <w:color w:val="auto"/>
              </w:rPr>
            </w:pPr>
          </w:p>
        </w:tc>
        <w:tc>
          <w:tcPr>
            <w:tcW w:w="3960" w:type="dxa"/>
            <w:vAlign w:val="bottom"/>
            <w:gridSpan w:val="10"/>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040" w:type="dxa"/>
            <w:vAlign w:val="bottom"/>
            <w:gridSpan w:val="31"/>
          </w:tcPr>
          <w:p>
            <w:pPr>
              <w:ind w:left="1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Item 1A.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7020" w:type="dxa"/>
            <w:vAlign w:val="bottom"/>
            <w:gridSpan w:val="25"/>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21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1B.</w:t>
              </w:r>
            </w:hyperlink>
          </w:p>
        </w:tc>
        <w:tc>
          <w:tcPr>
            <w:tcW w:w="8040" w:type="dxa"/>
            <w:vAlign w:val="bottom"/>
            <w:gridSpan w:val="31"/>
          </w:tcPr>
          <w:p>
            <w:pPr>
              <w:ind w:left="12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Unresolved Staff Comments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2.</w:t>
              </w:r>
            </w:hyperlink>
          </w:p>
        </w:tc>
        <w:tc>
          <w:tcPr>
            <w:tcW w:w="1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Properties</w:t>
              </w:r>
            </w:hyperlink>
          </w:p>
        </w:tc>
        <w:tc>
          <w:tcPr>
            <w:tcW w:w="5920" w:type="dxa"/>
            <w:vAlign w:val="bottom"/>
            <w:gridSpan w:val="18"/>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3.</w:t>
              </w:r>
            </w:hyperlink>
          </w:p>
        </w:tc>
        <w:tc>
          <w:tcPr>
            <w:tcW w:w="8040" w:type="dxa"/>
            <w:vAlign w:val="bottom"/>
            <w:gridSpan w:val="31"/>
          </w:tcPr>
          <w:p>
            <w:pPr>
              <w:ind w:left="12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4.</w:t>
              </w:r>
            </w:hyperlink>
          </w:p>
        </w:tc>
        <w:tc>
          <w:tcPr>
            <w:tcW w:w="8040" w:type="dxa"/>
            <w:vAlign w:val="bottom"/>
            <w:gridSpan w:val="31"/>
          </w:tcPr>
          <w:p>
            <w:pPr>
              <w:ind w:left="120"/>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12"/>
          </w:tcPr>
          <w:p>
            <w:pPr>
              <w:jc w:val="center"/>
              <w:ind w:right="3940"/>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PART II</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5.</w:t>
              </w:r>
            </w:hyperlink>
          </w:p>
        </w:tc>
        <w:tc>
          <w:tcPr>
            <w:tcW w:w="8040" w:type="dxa"/>
            <w:vAlign w:val="bottom"/>
            <w:gridSpan w:val="31"/>
          </w:tcPr>
          <w:p>
            <w:pPr>
              <w:ind w:left="120"/>
              <w:spacing w:after="0" w:line="196"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Market For Registrant's Common Equity, Related Stockholder Matters and Issuer Purchase of Equity</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58">
              <w:r>
                <w:rPr>
                  <w:rFonts w:ascii="Arial" w:cs="Arial" w:eastAsia="Arial" w:hAnsi="Arial"/>
                  <w:sz w:val="18"/>
                  <w:szCs w:val="18"/>
                  <w:color w:val="0000EE"/>
                  <w:w w:val="85"/>
                </w:rPr>
                <w:t>Securities</w:t>
              </w:r>
            </w:hyperlink>
          </w:p>
        </w:tc>
        <w:tc>
          <w:tcPr>
            <w:tcW w:w="6220" w:type="dxa"/>
            <w:vAlign w:val="bottom"/>
            <w:tcBorders>
              <w:top w:val="single" w:sz="8" w:color="0000EE"/>
            </w:tcBorders>
            <w:gridSpan w:val="25"/>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6.</w:t>
              </w:r>
            </w:hyperlink>
          </w:p>
        </w:tc>
        <w:tc>
          <w:tcPr>
            <w:tcW w:w="8040" w:type="dxa"/>
            <w:vAlign w:val="bottom"/>
            <w:gridSpan w:val="31"/>
          </w:tcPr>
          <w:p>
            <w:pPr>
              <w:ind w:left="120"/>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Selected Financial Data</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Item 7.</w:t>
              </w:r>
            </w:hyperlink>
          </w:p>
        </w:tc>
        <w:tc>
          <w:tcPr>
            <w:tcW w:w="8040" w:type="dxa"/>
            <w:vAlign w:val="bottom"/>
            <w:gridSpan w:val="31"/>
          </w:tcPr>
          <w:p>
            <w:pPr>
              <w:ind w:left="120"/>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Item 7A.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20" w:type="dxa"/>
            <w:vAlign w:val="bottom"/>
            <w:gridSpan w:val="3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Quantitative and Qualitative Disclosures about Market Risk</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8.</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Financial Statements and Supplementary Data</w:t>
              </w:r>
            </w:hyperlink>
          </w:p>
        </w:tc>
        <w:tc>
          <w:tcPr>
            <w:tcW w:w="3720" w:type="dxa"/>
            <w:vAlign w:val="bottom"/>
            <w:gridSpan w:val="6"/>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Item 9.</w:t>
              </w:r>
            </w:hyperlink>
          </w:p>
        </w:tc>
        <w:tc>
          <w:tcPr>
            <w:tcW w:w="8040" w:type="dxa"/>
            <w:vAlign w:val="bottom"/>
            <w:gridSpan w:val="31"/>
          </w:tcPr>
          <w:p>
            <w:pPr>
              <w:ind w:left="120"/>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Changes in and Disagreements with Accountants on Accounting and Financial Disclosure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109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w w:val="92"/>
              </w:rPr>
            </w:pPr>
            <w:hyperlink w:anchor="page110">
              <w:r>
                <w:rPr>
                  <w:rFonts w:ascii="Arial" w:cs="Arial" w:eastAsia="Arial" w:hAnsi="Arial"/>
                  <w:sz w:val="18"/>
                  <w:szCs w:val="18"/>
                  <w:color w:val="0000EE"/>
                  <w:w w:val="92"/>
                </w:rPr>
                <w:t>Item 9A.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10"/>
          </w:tcPr>
          <w:p>
            <w:pPr>
              <w:spacing w:after="0" w:line="196" w:lineRule="exact"/>
              <w:rPr>
                <w:rFonts w:ascii="Arial" w:cs="Arial" w:eastAsia="Arial" w:hAnsi="Arial"/>
                <w:sz w:val="18"/>
                <w:szCs w:val="18"/>
                <w:color w:val="0000EE"/>
                <w:w w:val="86"/>
              </w:rPr>
            </w:pPr>
            <w:hyperlink w:anchor="page110">
              <w:r>
                <w:rPr>
                  <w:rFonts w:ascii="Arial" w:cs="Arial" w:eastAsia="Arial" w:hAnsi="Arial"/>
                  <w:sz w:val="18"/>
                  <w:szCs w:val="18"/>
                  <w:color w:val="0000EE"/>
                  <w:w w:val="86"/>
                </w:rPr>
                <w:t>Controls and Procedures</w:t>
              </w:r>
            </w:hyperlink>
          </w:p>
        </w:tc>
        <w:tc>
          <w:tcPr>
            <w:tcW w:w="6180" w:type="dxa"/>
            <w:vAlign w:val="bottom"/>
            <w:gridSpan w:val="20"/>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109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top w:val="single" w:sz="8" w:color="0000EE"/>
            </w:tcBorders>
            <w:gridSpan w:val="4"/>
          </w:tcPr>
          <w:p>
            <w:pPr>
              <w:spacing w:after="0" w:line="196" w:lineRule="exact"/>
              <w:rPr>
                <w:rFonts w:ascii="Arial" w:cs="Arial" w:eastAsia="Arial" w:hAnsi="Arial"/>
                <w:sz w:val="18"/>
                <w:szCs w:val="18"/>
                <w:color w:val="0000EE"/>
                <w:w w:val="92"/>
              </w:rPr>
            </w:pPr>
            <w:hyperlink w:anchor="page112">
              <w:r>
                <w:rPr>
                  <w:rFonts w:ascii="Arial" w:cs="Arial" w:eastAsia="Arial" w:hAnsi="Arial"/>
                  <w:sz w:val="18"/>
                  <w:szCs w:val="18"/>
                  <w:color w:val="0000EE"/>
                  <w:w w:val="92"/>
                </w:rPr>
                <w:t>Item 9B.</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Other Information</w:t>
              </w:r>
            </w:hyperlink>
          </w:p>
        </w:tc>
        <w:tc>
          <w:tcPr>
            <w:tcW w:w="6180" w:type="dxa"/>
            <w:vAlign w:val="bottom"/>
            <w:gridSpan w:val="20"/>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3"/>
              </w:rPr>
            </w:pPr>
            <w:hyperlink w:anchor="page112">
              <w:r>
                <w:rPr>
                  <w:rFonts w:ascii="Arial" w:cs="Arial" w:eastAsia="Arial" w:hAnsi="Arial"/>
                  <w:sz w:val="18"/>
                  <w:szCs w:val="18"/>
                  <w:color w:val="0000EE"/>
                  <w:w w:val="73"/>
                </w:rPr>
                <w:t>111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6"/>
          </w:tcPr>
          <w:p>
            <w:pPr>
              <w:jc w:val="center"/>
              <w:spacing w:after="0"/>
              <w:rPr>
                <w:rFonts w:ascii="Arial" w:cs="Arial" w:eastAsia="Arial" w:hAnsi="Arial"/>
                <w:sz w:val="18"/>
                <w:szCs w:val="18"/>
                <w:color w:val="0000EE"/>
                <w:w w:val="94"/>
              </w:rPr>
            </w:pPr>
            <w:hyperlink w:anchor="page113">
              <w:r>
                <w:rPr>
                  <w:rFonts w:ascii="Arial" w:cs="Arial" w:eastAsia="Arial" w:hAnsi="Arial"/>
                  <w:sz w:val="18"/>
                  <w:szCs w:val="18"/>
                  <w:color w:val="0000EE"/>
                  <w:w w:val="94"/>
                </w:rPr>
                <w:t>PART III</w:t>
              </w:r>
            </w:hyperlink>
          </w:p>
        </w:tc>
        <w:tc>
          <w:tcPr>
            <w:tcW w:w="390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13">
              <w:r>
                <w:rPr>
                  <w:rFonts w:ascii="Arial" w:cs="Arial" w:eastAsia="Arial" w:hAnsi="Arial"/>
                  <w:sz w:val="18"/>
                  <w:szCs w:val="18"/>
                  <w:color w:val="0000EE"/>
                  <w:w w:val="82"/>
                </w:rPr>
                <w:t>Item 10.</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920" w:type="dxa"/>
            <w:vAlign w:val="bottom"/>
            <w:gridSpan w:val="30"/>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Directors, Executive Officers and Corporate Governance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112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13">
              <w:r>
                <w:rPr>
                  <w:rFonts w:ascii="Arial" w:cs="Arial" w:eastAsia="Arial" w:hAnsi="Arial"/>
                  <w:sz w:val="18"/>
                  <w:szCs w:val="18"/>
                  <w:color w:val="0000EE"/>
                  <w:w w:val="82"/>
                </w:rPr>
                <w:t>Item 11.</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22"/>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Executive Compensation</w:t>
              </w:r>
            </w:hyperlink>
          </w:p>
        </w:tc>
        <w:tc>
          <w:tcPr>
            <w:tcW w:w="3920" w:type="dxa"/>
            <w:vAlign w:val="bottom"/>
            <w:gridSpan w:val="8"/>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112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13">
              <w:r>
                <w:rPr>
                  <w:rFonts w:ascii="Arial" w:cs="Arial" w:eastAsia="Arial" w:hAnsi="Arial"/>
                  <w:sz w:val="18"/>
                  <w:szCs w:val="18"/>
                  <w:color w:val="0000EE"/>
                  <w:w w:val="82"/>
                </w:rPr>
                <w:t>Item 12.</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360" w:type="dxa"/>
            <w:vAlign w:val="bottom"/>
            <w:gridSpan w:val="28"/>
          </w:tcPr>
          <w:p>
            <w:pPr>
              <w:spacing w:after="0" w:line="196"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Security Ownership of Certain Owners and Management and Related Stockholder Matters</w:t>
              </w:r>
            </w:hyperlink>
          </w:p>
        </w:tc>
        <w:tc>
          <w:tcPr>
            <w:tcW w:w="1560" w:type="dxa"/>
            <w:vAlign w:val="bottom"/>
            <w:gridSpan w:val="2"/>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112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13">
              <w:r>
                <w:rPr>
                  <w:rFonts w:ascii="Arial" w:cs="Arial" w:eastAsia="Arial" w:hAnsi="Arial"/>
                  <w:sz w:val="18"/>
                  <w:szCs w:val="18"/>
                  <w:color w:val="0000EE"/>
                  <w:w w:val="82"/>
                </w:rPr>
                <w:t>Item 13.</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360" w:type="dxa"/>
            <w:vAlign w:val="bottom"/>
            <w:gridSpan w:val="28"/>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Certain Relationships and Related Transactions, and Director Independence</w:t>
              </w:r>
            </w:hyperlink>
          </w:p>
        </w:tc>
        <w:tc>
          <w:tcPr>
            <w:tcW w:w="1560" w:type="dxa"/>
            <w:vAlign w:val="bottom"/>
            <w:gridSpan w:val="2"/>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112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14">
              <w:r>
                <w:rPr>
                  <w:rFonts w:ascii="Arial" w:cs="Arial" w:eastAsia="Arial" w:hAnsi="Arial"/>
                  <w:sz w:val="18"/>
                  <w:szCs w:val="18"/>
                  <w:color w:val="0000EE"/>
                  <w:w w:val="82"/>
                </w:rPr>
                <w:t>Item 14.</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5320" w:type="dxa"/>
            <w:vAlign w:val="bottom"/>
            <w:gridSpan w:val="25"/>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Principal Accounting Fees and Services</w:t>
              </w:r>
            </w:hyperlink>
          </w:p>
        </w:tc>
        <w:tc>
          <w:tcPr>
            <w:tcW w:w="2600" w:type="dxa"/>
            <w:vAlign w:val="bottom"/>
            <w:gridSpan w:val="5"/>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113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0000EE"/>
            </w:tcBorders>
            <w:gridSpan w:val="7"/>
          </w:tcPr>
          <w:p>
            <w:pPr>
              <w:jc w:val="center"/>
              <w:spacing w:after="0"/>
              <w:rPr>
                <w:rFonts w:ascii="Arial" w:cs="Arial" w:eastAsia="Arial" w:hAnsi="Arial"/>
                <w:sz w:val="18"/>
                <w:szCs w:val="18"/>
                <w:color w:val="0000EE"/>
                <w:w w:val="94"/>
              </w:rPr>
            </w:pPr>
            <w:hyperlink w:anchor="page115">
              <w:r>
                <w:rPr>
                  <w:rFonts w:ascii="Arial" w:cs="Arial" w:eastAsia="Arial" w:hAnsi="Arial"/>
                  <w:sz w:val="18"/>
                  <w:szCs w:val="18"/>
                  <w:color w:val="0000EE"/>
                  <w:w w:val="94"/>
                </w:rPr>
                <w:t>PART IV</w:t>
              </w:r>
            </w:hyperlink>
          </w:p>
        </w:tc>
        <w:tc>
          <w:tcPr>
            <w:tcW w:w="390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15">
              <w:r>
                <w:rPr>
                  <w:rFonts w:ascii="Arial" w:cs="Arial" w:eastAsia="Arial" w:hAnsi="Arial"/>
                  <w:sz w:val="18"/>
                  <w:szCs w:val="18"/>
                  <w:color w:val="0000EE"/>
                  <w:w w:val="82"/>
                </w:rPr>
                <w:t>Item 15.</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14"/>
          </w:tcPr>
          <w:p>
            <w:pPr>
              <w:spacing w:after="0" w:line="196" w:lineRule="exact"/>
              <w:rPr>
                <w:rFonts w:ascii="Arial" w:cs="Arial" w:eastAsia="Arial" w:hAnsi="Arial"/>
                <w:sz w:val="18"/>
                <w:szCs w:val="18"/>
                <w:color w:val="0000EE"/>
                <w:w w:val="87"/>
              </w:rPr>
            </w:pPr>
            <w:hyperlink w:anchor="page115">
              <w:r>
                <w:rPr>
                  <w:rFonts w:ascii="Arial" w:cs="Arial" w:eastAsia="Arial" w:hAnsi="Arial"/>
                  <w:sz w:val="18"/>
                  <w:szCs w:val="18"/>
                  <w:color w:val="0000EE"/>
                  <w:w w:val="87"/>
                </w:rPr>
                <w:t>Exhibits, Financial Statement Schedules</w:t>
              </w:r>
            </w:hyperlink>
          </w:p>
        </w:tc>
        <w:tc>
          <w:tcPr>
            <w:tcW w:w="5080" w:type="dxa"/>
            <w:vAlign w:val="bottom"/>
            <w:gridSpan w:val="16"/>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114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5080" w:type="dxa"/>
            <w:vAlign w:val="bottom"/>
            <w:gridSpan w:val="1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115">
              <w:r>
                <w:rPr>
                  <w:rFonts w:ascii="Arial" w:cs="Arial" w:eastAsia="Arial" w:hAnsi="Arial"/>
                  <w:sz w:val="18"/>
                  <w:szCs w:val="18"/>
                  <w:color w:val="0000EE"/>
                  <w:w w:val="82"/>
                </w:rPr>
                <w:t>Item 16.</w:t>
              </w:r>
            </w:hyperlink>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8"/>
          </w:tcPr>
          <w:p>
            <w:pPr>
              <w:spacing w:after="0" w:line="196" w:lineRule="exact"/>
              <w:rPr>
                <w:rFonts w:ascii="Arial" w:cs="Arial" w:eastAsia="Arial" w:hAnsi="Arial"/>
                <w:sz w:val="18"/>
                <w:szCs w:val="18"/>
                <w:color w:val="0000EE"/>
                <w:w w:val="89"/>
              </w:rPr>
            </w:pPr>
            <w:hyperlink w:anchor="page115">
              <w:r>
                <w:rPr>
                  <w:rFonts w:ascii="Arial" w:cs="Arial" w:eastAsia="Arial" w:hAnsi="Arial"/>
                  <w:sz w:val="18"/>
                  <w:szCs w:val="18"/>
                  <w:color w:val="0000EE"/>
                  <w:w w:val="89"/>
                </w:rPr>
                <w:t>Form 10-K Summary</w:t>
              </w:r>
            </w:hyperlink>
          </w:p>
        </w:tc>
        <w:tc>
          <w:tcPr>
            <w:tcW w:w="1320" w:type="dxa"/>
            <w:vAlign w:val="bottom"/>
            <w:gridSpan w:val="6"/>
          </w:tcPr>
          <w:p>
            <w:pPr>
              <w:spacing w:after="0"/>
              <w:rPr>
                <w:sz w:val="17"/>
                <w:szCs w:val="17"/>
                <w:color w:val="auto"/>
              </w:rPr>
            </w:pPr>
          </w:p>
        </w:tc>
        <w:tc>
          <w:tcPr>
            <w:tcW w:w="5080" w:type="dxa"/>
            <w:vAlign w:val="bottom"/>
            <w:gridSpan w:val="16"/>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114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SIGNATURES</w:t>
              </w:r>
            </w:hyperlink>
          </w:p>
        </w:tc>
        <w:tc>
          <w:tcPr>
            <w:tcW w:w="6400" w:type="dxa"/>
            <w:vAlign w:val="bottom"/>
            <w:gridSpan w:val="22"/>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top w:val="single" w:sz="8" w:color="0000EE"/>
            </w:tcBorders>
            <w:gridSpan w:val="6"/>
          </w:tcPr>
          <w:p>
            <w:pPr>
              <w:spacing w:after="0"/>
              <w:rPr>
                <w:sz w:val="24"/>
                <w:szCs w:val="24"/>
                <w:color w:val="auto"/>
              </w:rPr>
            </w:pPr>
          </w:p>
        </w:tc>
        <w:tc>
          <w:tcPr>
            <w:tcW w:w="2880" w:type="dxa"/>
            <w:vAlign w:val="bottom"/>
            <w:gridSpan w:val="14"/>
          </w:tcPr>
          <w:p>
            <w:pPr>
              <w:jc w:val="center"/>
              <w:ind w:left="2272"/>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content requires otherwise, the words "Supernus," "we," "our" and "the Company" refer to Supernus Pharmaceuticals, Inc. and its subsidiary.</w:t>
      </w:r>
    </w:p>
    <w:p>
      <w:pPr>
        <w:spacing w:after="0" w:line="24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are the owners of various U.S. federal trademark registrations(®) and registration applications(™), including the following marks referred to in this Annual Report on Form 10-K pursuant to applicable U.S. intellectual property laws: "Supernus®," "Oxtellar XR®," "Trokendi XR®," "Microtrol®," "Solutrol®," and the registered Supernus Pharmaceuticals logo.</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All other trademarks or trade names referred to in this Annual Report are the property of their respective owners. Solely for convenience, the trademarks and trade names in this Annual Report on Form 10-K are referred to without the ® and </w:t>
      </w:r>
      <w:r>
        <w:rPr>
          <w:rFonts w:ascii="Arial" w:cs="Arial" w:eastAsia="Arial" w:hAnsi="Arial"/>
          <w:sz w:val="18"/>
          <w:szCs w:val="18"/>
          <w:i w:val="1"/>
          <w:iCs w:val="1"/>
          <w:color w:val="auto"/>
        </w:rPr>
        <w:t>TM</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the Securities Exchange Act of 1934 and the Securities Act of 1933, that involve risks and uncertainties. Forward-looking statements convey our current expectations or forecasts of future events. All statements contained in this Annual Report other than statements of historical fact are forward-looking statements. Forward-looking statements include statements regarding our future financial position, business strategy, budgets, projected costs, plans and objectives of management for future operations. The words "may," "continue," "estimate," "intend," "plan," "will," "believe," "project," "expect," "seek," "anticipate," "should," "could," "would," "potential," or the negative of those terms and similar expressions may identify forward-looking statements, but the absence of these words does not necessarily mean that a statement is not forward-looking. You should not place undue reliance on these forward-looking statements, which speak only as of the date of this report. All of these forward-looking statements are based on information available to us at this time, and we assume no obligation to update any of these statements. Actual results could differ from those projected in these forward-looking statements as a result of many factors, including those identified in the "Business," "Risk Factors," "Management's Discussion and Analysis of Financial Condition and Results of Operations" sections and elsewhere in this Annual Report on Form 10-K. We urge you to review and consider the various disclosures made by us in this report, and those detailed from time to time in our filings with the Securities and Exchange Commission, that attempt to advise you of the risks and factors that may affect our future results.</w:t>
      </w:r>
    </w:p>
    <w:p>
      <w:pPr>
        <w:spacing w:after="0" w:line="1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are a specialty pharmaceutical company focused on developing and commercializing products for the treatment of central nervous system (CNS) diseases.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Oxtellar XR and Trokendi XR are the first once-daily extended release oxcarbazepine and topiramate products indicated for the treatment of epilepsy in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market. In April 2017, we launched Trokendi XR as a new product for prophylaxis of migraine headache in adults and adolescents.</w:t>
      </w:r>
    </w:p>
    <w:p>
      <w:pPr>
        <w:spacing w:after="0" w:line="21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we are developing multiple product candidates in psychiatry to address significant unmet medical needs and market opportunities. We are developing SPN-810 (molindone hydrochloride) initially to treat impulsive aggression (IA) in children and adolescents who have attention deficit hyperactivity disorder (ADHD). We plan to subsequently develop SPN-810 for the treatment of IA in other CNS diseases, such as autism, post traumatic stress disorder (PTSD), bipolar disorder, schizophrenia, and some forms of dementia. There are currently no approved products in the U.S. indicated for the treatment of IA. We are developing SPN-812 (viloxazine hydrochloride) as a novel non-stimulant candidate to treat patients who have ADHD.</w:t>
      </w:r>
    </w:p>
    <w:p>
      <w:pPr>
        <w:spacing w:after="0" w:line="17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extensive expertise in product development has been built over the past 25 years: initially as a stand-alone development organization, then as a U.S. subsidiary of Shire plc and, upon our acquisition of substantially all of the assets of Shire Laboratories Inc. in late 2005, as Supernus Pharmaceuticals. We market our products in the United States through our own specialty sales force and seek strategic collaborations with other pharmaceutical companies to license our products outside the United States.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www.supernus.com</w:t>
      </w:r>
      <w:r>
        <w:rPr>
          <w:rFonts w:ascii="Arial" w:cs="Arial" w:eastAsia="Arial" w:hAnsi="Arial"/>
          <w:sz w:val="18"/>
          <w:szCs w:val="18"/>
          <w:color w:val="auto"/>
        </w:rPr>
        <w:t>. Through a link on the Investor Relations portion of our website, you can access our filings with the Securities and Exchange Commission (SEC). You may request, orally or in writing, a copy of these filings, which will be provided to you at no cost, by contacting our investor relations department at our principal executive offices, which are located at 1550 East Gude Drive,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20850. Information contained on our website is not a part of this Annual Report on Form 10-K.</w:t>
      </w:r>
    </w:p>
    <w:p>
      <w:pPr>
        <w:spacing w:after="0" w:line="225"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Our net product revenues of $294.1 million in 2017 were driven by strong growth in prescriptions for Oxtellar XR and Trokendi XR. Total prescriptions as reported by IQVIA (formerly Intercontinenal Marketing Services (IMS)) have shown a steady year over year increase as shown in the following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6140450" cy="2881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4045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Source: IQVIA Monthly Prescriptions</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of year-end 2017, our products represented approximately 4.6% of the large and growing base of prescriptions for topiramate, and approximately 3.2% for oxcarbazepine (total annual prescriptions for the topiramate market and the oxcarbazepine market are 14.4 million and 4.6 million, respectively). We expect to continue to grow our revenues for Oxtellar XR and Trokendi XR by continuing to drive penetration in these markets. We believe these products with their current indications in the neurology market, have the potential to achieve combined peak net sales in excess of $500 million annually.</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developing SPN-810 as a novel treatment for IA in patients who have ADHD. SPN-810 has been granted fast-track designation by the U.S. Food and Drug Administration (FDA). Our first Phase III clinical trial (P301) is being conducted in pediatric patients under a Special Protocol Assessment (SPA), using a novel scale, developed by us, to measure IA. The second Phase III clinical trial (P302), which is also being conducted in pediatric patients, uses the same trial design of P301, except that under the SPA, an interim analysis was conducted in the P301 trial when one-half of the patients (146 patients) reached randomization. The purpose of the interim analysis was to assess the efficacy of the doses being tested and allow for optimization of the trial design of both trials. The interim analysis has been completed and both trials will continue through completion. The results of the interim analysis led to our discontinuing the 18 mg dose arm. Moving forward, all new patients in each of the two trials will be randomized to either the 36 mg dose arm or placebo until the predetermined total number of patients are enrolled in each of the two trials. We expect patient enrollment to continue through mid-2018, with data from the trials anticipated by the first quarter of 2019. In addition, a Phase III trial for SPN-810 treating IA in adolescents who have ADHD is anticipated to start mid-2018. We do not expect this trial to materially affect the timing for filing the New Drug Application (NDA) for SPN-810.</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developing SPN-812 as a novel non-stimulant treatment for ADHD. We initiated four Phase III clinical trials in 2017. The program consists of four three-arm, placebo-controlled trials: two of which are pediatric trials and two of which are adolescent trials. We expect patient enrollment to continue through mid-2018 and to have data from this Phase III program available by the first quarter of 2019.</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 successful track record of developing and launching novel products by applying proprietary technologies to known drugs, to improve existing therapies and to expand the treatment to new indications. Our key proprietary technology platforms include: Microtrol, Solutrol and EnSoTrol. These technologies have been utilized to create ten marketed products, including Trokendi XR and Oxtellar XR, Adderall XR (developed for Shire), Intuniv (developed for Shire), Mydayis (developed for Shire), and Orenitram (developed for United Therapeutics Corporation), as well as our key product candidates SPN-810 and SPN-812.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Product Candidates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current portfolio of novel products and product candidates.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Product</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Indication</w:t>
            </w:r>
          </w:p>
        </w:tc>
        <w:tc>
          <w:tcPr>
            <w:tcW w:w="96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r>
      <w:tr>
        <w:trPr>
          <w:trHeight w:val="201"/>
        </w:trPr>
        <w:tc>
          <w:tcPr>
            <w:tcW w:w="2060" w:type="dxa"/>
            <w:vAlign w:val="bottom"/>
          </w:tcPr>
          <w:p>
            <w:pPr>
              <w:jc w:val="center"/>
              <w:spacing w:after="0" w:line="201" w:lineRule="exact"/>
              <w:rPr>
                <w:sz w:val="20"/>
                <w:szCs w:val="20"/>
                <w:color w:val="auto"/>
              </w:rPr>
            </w:pPr>
            <w:r>
              <w:rPr>
                <w:rFonts w:ascii="Arial" w:cs="Arial" w:eastAsia="Arial" w:hAnsi="Arial"/>
                <w:sz w:val="18"/>
                <w:szCs w:val="18"/>
                <w:color w:val="auto"/>
                <w:w w:val="93"/>
              </w:rPr>
              <w:t>Oxtellar XR</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jc w:val="center"/>
              <w:spacing w:after="0" w:line="201" w:lineRule="exact"/>
              <w:rPr>
                <w:sz w:val="20"/>
                <w:szCs w:val="20"/>
                <w:color w:val="auto"/>
              </w:rPr>
            </w:pPr>
            <w:r>
              <w:rPr>
                <w:rFonts w:ascii="Arial" w:cs="Arial" w:eastAsia="Arial" w:hAnsi="Arial"/>
                <w:sz w:val="18"/>
                <w:szCs w:val="18"/>
                <w:color w:val="auto"/>
                <w:w w:val="91"/>
              </w:rPr>
              <w:t>Epilepsy</w:t>
            </w:r>
          </w:p>
        </w:tc>
        <w:tc>
          <w:tcPr>
            <w:tcW w:w="960" w:type="dxa"/>
            <w:vAlign w:val="bottom"/>
          </w:tcPr>
          <w:p>
            <w:pPr>
              <w:spacing w:after="0"/>
              <w:rPr>
                <w:sz w:val="17"/>
                <w:szCs w:val="17"/>
                <w:color w:val="auto"/>
              </w:rPr>
            </w:pPr>
          </w:p>
        </w:tc>
        <w:tc>
          <w:tcPr>
            <w:tcW w:w="2260" w:type="dxa"/>
            <w:vAlign w:val="bottom"/>
          </w:tcPr>
          <w:p>
            <w:pPr>
              <w:jc w:val="center"/>
              <w:spacing w:after="0" w:line="201" w:lineRule="exact"/>
              <w:rPr>
                <w:sz w:val="20"/>
                <w:szCs w:val="20"/>
                <w:color w:val="auto"/>
              </w:rPr>
            </w:pPr>
            <w:r>
              <w:rPr>
                <w:rFonts w:ascii="Arial" w:cs="Arial" w:eastAsia="Arial" w:hAnsi="Arial"/>
                <w:sz w:val="18"/>
                <w:szCs w:val="18"/>
                <w:color w:val="auto"/>
                <w:w w:val="89"/>
              </w:rPr>
              <w:t>In the market</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3"/>
              </w:rPr>
              <w:t>Trokendi XR</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Epilepsy</w:t>
            </w:r>
          </w:p>
        </w:tc>
        <w:tc>
          <w:tcPr>
            <w:tcW w:w="9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In the market</w:t>
            </w:r>
          </w:p>
        </w:tc>
      </w:tr>
      <w:tr>
        <w:trPr>
          <w:trHeight w:val="216"/>
        </w:trPr>
        <w:tc>
          <w:tcPr>
            <w:tcW w:w="2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Migraine*</w:t>
            </w:r>
          </w:p>
        </w:tc>
        <w:tc>
          <w:tcPr>
            <w:tcW w:w="9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In the market</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0"/>
              </w:rPr>
              <w:t>SPN-810</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IA**</w:t>
            </w:r>
          </w:p>
        </w:tc>
        <w:tc>
          <w:tcPr>
            <w:tcW w:w="9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Phase III</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0"/>
              </w:rPr>
              <w:t>SPN-812</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ADHD</w:t>
            </w:r>
          </w:p>
        </w:tc>
        <w:tc>
          <w:tcPr>
            <w:tcW w:w="9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Phase III</w:t>
            </w:r>
          </w:p>
        </w:tc>
      </w:tr>
      <w:tr>
        <w:trPr>
          <w:trHeight w:val="222"/>
        </w:trPr>
        <w:tc>
          <w:tcPr>
            <w:tcW w:w="2060" w:type="dxa"/>
            <w:vAlign w:val="bottom"/>
          </w:tcPr>
          <w:p>
            <w:pPr>
              <w:jc w:val="center"/>
              <w:spacing w:after="0"/>
              <w:rPr>
                <w:sz w:val="20"/>
                <w:szCs w:val="20"/>
                <w:color w:val="auto"/>
              </w:rPr>
            </w:pPr>
            <w:r>
              <w:rPr>
                <w:rFonts w:ascii="Arial" w:cs="Arial" w:eastAsia="Arial" w:hAnsi="Arial"/>
                <w:sz w:val="18"/>
                <w:szCs w:val="18"/>
                <w:color w:val="auto"/>
                <w:w w:val="90"/>
              </w:rPr>
              <w:t>SPN-809</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Depression</w:t>
            </w:r>
          </w:p>
        </w:tc>
        <w:tc>
          <w:tcPr>
            <w:tcW w:w="9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Phase II ready</w:t>
            </w:r>
          </w:p>
        </w:tc>
      </w:tr>
      <w:tr>
        <w:trPr>
          <w:trHeight w:val="110"/>
        </w:trPr>
        <w:tc>
          <w:tcPr>
            <w:tcW w:w="20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60" w:type="dxa"/>
            <w:vAlign w:val="bottom"/>
          </w:tcPr>
          <w:p>
            <w:pPr>
              <w:spacing w:after="0"/>
              <w:rPr>
                <w:sz w:val="9"/>
                <w:szCs w:val="9"/>
                <w:color w:val="auto"/>
              </w:rPr>
            </w:pPr>
          </w:p>
        </w:tc>
      </w:tr>
    </w:tbl>
    <w:p>
      <w:pPr>
        <w:spacing w:after="0" w:line="221" w:lineRule="exact"/>
        <w:rPr>
          <w:sz w:val="20"/>
          <w:szCs w:val="20"/>
          <w:color w:val="auto"/>
        </w:rPr>
      </w:pPr>
    </w:p>
    <w:p>
      <w:pPr>
        <w:ind w:left="2260" w:hanging="540"/>
        <w:spacing w:after="0"/>
        <w:tabs>
          <w:tab w:leader="none" w:pos="2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Prophylaxis of migraine headache in adults and adolescents.</w:t>
      </w:r>
    </w:p>
    <w:p>
      <w:pPr>
        <w:spacing w:after="0" w:line="252" w:lineRule="exact"/>
        <w:rPr>
          <w:sz w:val="20"/>
          <w:szCs w:val="20"/>
          <w:color w:val="auto"/>
        </w:rPr>
      </w:pPr>
    </w:p>
    <w:p>
      <w:pPr>
        <w:ind w:left="2260" w:right="180" w:hanging="540"/>
        <w:spacing w:after="0" w:line="268" w:lineRule="auto"/>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Initial program is in patients with ADHD, with plans to add other indications, such as IA in patients with autism, PTSD, bipolar disorder, schizophrenia, and some forms of dementia.</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continuing to expand our intellectual property portfolio to provide additional protection for our technologies, products, and product candidates. We currently have eight U.S. patents issued covering Oxtellar XR and nine U.S. patents issued covering Trokendi XR, with the patents expiring no earlier than 2027 for each product.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vision is to be a leading specialty pharmaceutical company developing and commercializing new medicines in neurology and psychiatry. Key elements of our strategy to achieve this vision are to:</w:t>
      </w:r>
    </w:p>
    <w:p>
      <w:pPr>
        <w:spacing w:after="0" w:line="199" w:lineRule="exact"/>
        <w:rPr>
          <w:sz w:val="20"/>
          <w:szCs w:val="20"/>
          <w:color w:val="auto"/>
        </w:rPr>
      </w:pPr>
    </w:p>
    <w:p>
      <w:pPr>
        <w:ind w:left="1080" w:right="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Drive growth and profitability. </w:t>
      </w:r>
      <w:r>
        <w:rPr>
          <w:rFonts w:ascii="Arial" w:cs="Arial" w:eastAsia="Arial" w:hAnsi="Arial"/>
          <w:sz w:val="18"/>
          <w:szCs w:val="18"/>
          <w:color w:val="auto"/>
        </w:rPr>
        <w:t>We will continue to drive the prescription growth of Trokendi XR and Oxtellar XR by continuing to dedicate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resources in the United States.</w:t>
      </w:r>
    </w:p>
    <w:p>
      <w:pPr>
        <w:spacing w:after="0" w:line="199"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Advance our pipeline toward commercialization. </w:t>
      </w:r>
      <w:r>
        <w:rPr>
          <w:rFonts w:ascii="Arial" w:cs="Arial" w:eastAsia="Arial" w:hAnsi="Arial"/>
          <w:sz w:val="16"/>
          <w:szCs w:val="16"/>
          <w:color w:val="auto"/>
        </w:rPr>
        <w:t>We are continuing with the Phase III clinical trials for SPN-810, a novel treatment for IA in</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who have ADHD and with the Phase III clinical trials for SPN-812, a novel non-stimulant treatment for ADHD.</w:t>
      </w:r>
    </w:p>
    <w:p>
      <w:pPr>
        <w:spacing w:after="0" w:line="166" w:lineRule="exact"/>
        <w:rPr>
          <w:rFonts w:ascii="Arial" w:cs="Arial" w:eastAsia="Arial" w:hAnsi="Arial"/>
          <w:sz w:val="16"/>
          <w:szCs w:val="16"/>
          <w:color w:val="auto"/>
        </w:rPr>
      </w:pPr>
    </w:p>
    <w:p>
      <w:pPr>
        <w:ind w:left="1080" w:hanging="532"/>
        <w:spacing w:after="0" w:line="298"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Target strategic business development opportunities. </w:t>
      </w:r>
      <w:r>
        <w:rPr>
          <w:rFonts w:ascii="Arial" w:cs="Arial" w:eastAsia="Arial" w:hAnsi="Arial"/>
          <w:sz w:val="16"/>
          <w:szCs w:val="16"/>
          <w:color w:val="auto"/>
        </w:rPr>
        <w:t>We are actively exploring a broad range of strategic opportunities that fit well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strong presence in CNS while also exploring other specialty pharmaceutical areas such as orphan or rare diseases. These strategic options include: in-licensing products and/or entering into development collaborations with commercialization rights; opportunities that leverage and/or expand our sales force call points for our marketed products and product candidates; co-development partnerships outside the U.S. for our pipeline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40"/>
        <w:spacing w:after="0" w:line="268" w:lineRule="auto"/>
        <w:rPr>
          <w:sz w:val="20"/>
          <w:szCs w:val="20"/>
          <w:color w:val="auto"/>
        </w:rPr>
      </w:pPr>
      <w:r>
        <w:rPr>
          <w:rFonts w:ascii="Arial" w:cs="Arial" w:eastAsia="Arial" w:hAnsi="Arial"/>
          <w:sz w:val="18"/>
          <w:szCs w:val="18"/>
          <w:color w:val="auto"/>
        </w:rPr>
        <w:t>products; and growth opportunities through value-creating and transformative merger and acquisition transactions, including both commercial stage and development stage products.</w:t>
      </w:r>
    </w:p>
    <w:p>
      <w:pPr>
        <w:spacing w:after="0" w:line="199" w:lineRule="exact"/>
        <w:rPr>
          <w:sz w:val="20"/>
          <w:szCs w:val="20"/>
          <w:color w:val="auto"/>
        </w:rPr>
      </w:pPr>
    </w:p>
    <w:p>
      <w:pPr>
        <w:ind w:left="1080" w:right="1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Continue to grow our pipeline. </w:t>
      </w:r>
      <w:r>
        <w:rPr>
          <w:rFonts w:ascii="Arial" w:cs="Arial" w:eastAsia="Arial" w:hAnsi="Arial"/>
          <w:sz w:val="18"/>
          <w:szCs w:val="18"/>
          <w:color w:val="auto"/>
        </w:rPr>
        <w:t>We plan to continue to evaluate and develop additional CNS product candidates that we believe have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potential through our internal research and development efforts.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Neurology Portfolio</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Oxtellar XR is the first once-daily extended release oxcarbazepine product indicated for patients with epilepsy, and Trokendi XR is the first once-daily extended release topiramate product indicated for patients with epilepsy and prophylaxis of migraine in the U.S. market. These products differ from the immediate release products by offering once-daily dosing and unique pharmacokinetic profiles which we believe can have very positive clinical effects for many patients. We believe a once-daily dosing regimen improves adherence, making it more probable that patients maintain sufficient levels of medication in their bloodstreams to protect against seizures. In addition, we believe that the unique smooth and steady pharmacokinetic profiles of our once-daily formulations reduce the peak to trough blood level fluctuations, typically associated with immediate release products, and that may result in increased adverse events (AEs), more side effects and decreased efficacy.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Epilepsy Overview</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Epilepsy is a complex neurological disorder characterized by spontaneous recurrence of unprovoked seizures, which are sudden surges of electrical activity in the brain that impair a person's mental and/or physical abilities.</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Compliance with drug treatment regimens is critically important to achieving effective control for patients with epilepsy. Non-compliance with anti-epileptic drug (AED) therapy is a serious issue and remains the most common cause of breakthrough seizures for patients. Not only is taking all prescribed doses critical to control breakthrough seizures, but the timing of when patients take their prescribed doses can also be crucial.</w:t>
      </w:r>
    </w:p>
    <w:p>
      <w:pPr>
        <w:spacing w:after="0" w:line="16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believe extended release products, and in particular Trokendi XR and Oxtellar XR, may offer important advantages in the treatment of epilepsy. The release profiles of extended release products can produce more consistent and steadier plasma concentrations as compared to immediate release products, potentially resulting in fewer side effects, better tolerability, fewer emergency room visits, and improved efficacy. Improved tolerability may help patients improve adherence, have fewer breakthrough seizures and, correspondingly, help patients enjoy a better quality of life.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Migraine Overview</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Approximately 1 in 7 Americans, roughly 38 million individuals, are affected by migraine. The World Health Organization categorizes migraine as one of the most disabling medical illnesses worldwide.</w:t>
      </w:r>
    </w:p>
    <w:p>
      <w:pPr>
        <w:spacing w:after="0" w:line="18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Migraine is a painful complex neurological disorder, consisting of recurring, painful attacks that can significantly disrupt time with loved ones, education, and careers. Migraine headaches are often characterized by throbbing pain, extreme sensitivity to light or sound, and, potentially, nausea and vomiting.</w:t>
      </w:r>
    </w:p>
    <w:p>
      <w:pPr>
        <w:spacing w:after="0" w:line="13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believe extended release products, and in particular Trokendi XR, may offer important advantages for treatment of migraine. The release profiles of extended release products can produce more consistent and steadier plasma concentrations as compared to immediate release products, potentially resulting in fewer side effects, better tolerability, fewer emergency room visits, and improved efficacy. Improved tolerability may help patients improve adherence, have fewer breakthrough migraines and, correspondingly, help patients enjoy a better quality of life.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Trokendi XR</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Trokendi XR is a once-daily extended release topiramate product indicated for patients with epilepsy and for prevention of migraine headache in the U.S. market, and is designed to improve patient adherence over the current immediate release products which must be taken multiple times per day. Trokendi XR is indicated for initial monotherapy in patients 6 years of age and older with partial onset or primary generalized tonic-clonic seizures, as add-on therapy in patients 6 years of age and older with partial onset or primary generalized tonic-clonic seizures or with seizures associated with Lennox-Gastaut syndrome, and for prophylaxis of migraine headaches in adults and adolescents 12 years of age and older. Trokendi XR's pharmacokinetic profile results in lower peak plasma concentrations, higher trough plasma concentrations, and slower plasma uptake rates. This results in smoother and more consistent plasma concentrations than immediate release topiramate formulations can deliver. We believe that such a profile mitigates blood level fluctuations that are frequently associated with many side effects, which mitigates the likelihood of breakthrough seizures and migraine headaches that patients can suffer when taking immediate release products. Side effects may lead patients to skip doses, which could place them at higher risk for breakthrough seizures and migraine headaches.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Oxtellar XR</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Oxtellar XR is the only once-daily extended release oxcarbazepine product indicated in the U.S. for adjunctive treatment of patients with epilepsy. Oxtellar XR is indicated for add-on, adjunctive or concomitant therapy of partial seizures in adults and in children 6 years to 17 years of age. With its novel pharmacokinetic profile showing lower peak plasma concentrations, a slower rate of plasma input, and smoother and more consistent blood levels compared to immediate release products, we believe Oxtellar XR improves the tolerability of oxcarbazepine and thereby reduces side effects. In addition, Oxtellar XR once-per-day dosing is designed to improve patient adherence compared to the current immediate release products that must be taken multiple times per day.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We have established a commercial organization in the U.S. to support current and future sales of Oxtellar XR and Trokendi XR. We believe our current sales force of over 200 sales representatives is effectively targeting healthcare providers, primarily neurologists, to support and grow our epilepsy and migraine franchise. Simultaneously promoting two neurology products allows us to leverage our commercial infrastructure with these prescribers.</w:t>
      </w:r>
    </w:p>
    <w:p>
      <w:pPr>
        <w:spacing w:after="0" w:line="1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Assuming we obtain FDA approval for the product candidates currently in our pipeline, we anticipate adding sales representatives to market our products to the relevant population of physicians, primarily psychiatrists.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We currently depend on third-party commercial manufacturing organizations (CMOs) for all manufacturing operations, including production of raw materials, dosage form product, and product packaging. This encompasses product for commercial use, as well as product for preclinical research and clinical trials.</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have entered into agreements with leading CMOs headquartered in North America, including Patheon Pharmaceuticals, Inc., Packaging Coordinators, Inc. and Catalent Pharma Solutions, for the manufacture and packaging of the final commercial products Oxtellar XR and Trokendi XR. These CMOs offer a comprehensive range of contract manufacturing and packaging services. Commercial products as well as our product candidates are sourced from single third-party suppliers.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do not own or operate manufacturing facilities for the production of any of our product candidates beyond Phase II clinical trials, nor do we have plans to develop our own manufacturing operations for Phase III clinical materials or commercial products in the foreseeable future. We currently employ internal resources to manage our manufacturing contractors.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Epilepsy Competition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Trokendi XR competes with all immediate release and extended release topiramate products, including Topamax, Qudexy XR, and their related generic products as well as other anti-epileptic products. Oxtellar XR competes with all immediate release oxcarbazepine products, including Trileptal and its related generic products as well as other anti-epileptic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Migraine Competition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Trokendi XR competes with all immediate release and extended release topiramate products, as well as other products used for the prevention of migraine headaches, such as Botox, beta-blockers, valproic acid, amitriptyline. Several calcitonin gene related peptide products are anticipated to be launched starting in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Psychiatry Portfolio</w:t>
      </w:r>
    </w:p>
    <w:p>
      <w:pPr>
        <w:spacing w:after="0" w:line="23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Our psychiatry portfolio includes three product candidates for the treatment of psychiatric disorders. The most advanced product candidate, SPN-810, has fast track status and is expected to be the first product approved for treatment of IA. SPN-812 and SPN-809 employ the same active ingredient, and are being developed for ADHD and depression, respectively. Phase III clinical trials were initiated in 2017 for SPN-812 and SPN-809 is Phase II ready.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IA Overview</w:t>
      </w:r>
    </w:p>
    <w:p>
      <w:pPr>
        <w:spacing w:after="0" w:line="225" w:lineRule="exact"/>
        <w:rPr>
          <w:sz w:val="20"/>
          <w:szCs w:val="20"/>
          <w:color w:val="auto"/>
        </w:rPr>
      </w:pPr>
    </w:p>
    <w:p>
      <w:pPr>
        <w:jc w:val="both"/>
        <w:ind w:right="680"/>
        <w:spacing w:after="0" w:line="259" w:lineRule="auto"/>
        <w:rPr>
          <w:sz w:val="20"/>
          <w:szCs w:val="20"/>
          <w:color w:val="auto"/>
        </w:rPr>
      </w:pPr>
      <w:r>
        <w:rPr>
          <w:rFonts w:ascii="Arial" w:cs="Arial" w:eastAsia="Arial" w:hAnsi="Arial"/>
          <w:sz w:val="18"/>
          <w:szCs w:val="18"/>
          <w:color w:val="auto"/>
        </w:rPr>
        <w:t>The ADHD market represented roughly 75 million prescriptions in 2017, growing 3% over 2016. By 2020, we project that the ADHD market will reach approximately 81.5 million prescriptions. Of these 81.5 million prescriptions, roughly one-third will be written for patients with IA or with IA and other comorbidities.</w:t>
      </w:r>
    </w:p>
    <w:p>
      <w:pPr>
        <w:spacing w:after="0" w:line="1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IA is not limited to individuals with ADHD. We believe, based on our market research that IA occurs in patients with other CNS disorders, including autism, Alzheimer's, bipolar disorder, PTSD, oppositional defiant disorder, conduct disorder, and intermittent explosive disorder. Market research we have conducted indicates that the prevalence of IA in autistic children and adolescents is approximately 45%, and the prevalence of IA in children and adolescents with bipolar disorder is approximately 60%.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ADHD Overview</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ADHD is a common CNS disorder characterized by developmentally inappropriate levels of inattention, hyperactivity, and impulsivity. ADHD affects an estimated 6% to 9% of all school-age children and 3% to 5% of adults in the United States(1). An estimated 50% of children with ADHD continue to meet criteria for ADHD into adolescence(2). The ADHD market is projected to grow at 3% annually, to approximately 81.5 million prescriptions by 2020. For the year ended December 31, 2017, according to data from IQVIA, the U.S. market for ADHD prescription drugs was $9.8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903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Dopheide, J.A., </w:t>
      </w:r>
      <w:r>
        <w:rPr>
          <w:rFonts w:ascii="Arial" w:cs="Arial" w:eastAsia="Arial" w:hAnsi="Arial"/>
          <w:sz w:val="18"/>
          <w:szCs w:val="18"/>
          <w:i w:val="1"/>
          <w:iCs w:val="1"/>
          <w:color w:val="auto"/>
        </w:rPr>
        <w:t>Attention-Deficit- Hyperactivity Disorder: An Update</w:t>
      </w:r>
      <w:r>
        <w:rPr>
          <w:rFonts w:ascii="Arial" w:cs="Arial" w:eastAsia="Arial" w:hAnsi="Arial"/>
          <w:sz w:val="18"/>
          <w:szCs w:val="18"/>
          <w:color w:val="auto"/>
        </w:rPr>
        <w:t xml:space="preserve">, published June 2009 in </w:t>
      </w:r>
      <w:r>
        <w:rPr>
          <w:rFonts w:ascii="Arial" w:cs="Arial" w:eastAsia="Arial" w:hAnsi="Arial"/>
          <w:sz w:val="18"/>
          <w:szCs w:val="18"/>
          <w:i w:val="1"/>
          <w:iCs w:val="1"/>
          <w:color w:val="auto"/>
        </w:rPr>
        <w:t>Pharmacotherapy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Floet, A.M.W., </w:t>
      </w:r>
      <w:r>
        <w:rPr>
          <w:rFonts w:ascii="Arial" w:cs="Arial" w:eastAsia="Arial" w:hAnsi="Arial"/>
          <w:sz w:val="18"/>
          <w:szCs w:val="18"/>
          <w:i w:val="1"/>
          <w:iCs w:val="1"/>
          <w:color w:val="auto"/>
        </w:rPr>
        <w:t>Attention- Deficit/Hyperactivity Disorder</w:t>
      </w:r>
      <w:r>
        <w:rPr>
          <w:rFonts w:ascii="Arial" w:cs="Arial" w:eastAsia="Arial" w:hAnsi="Arial"/>
          <w:sz w:val="18"/>
          <w:szCs w:val="18"/>
          <w:color w:val="auto"/>
        </w:rPr>
        <w:t xml:space="preserve">, published February 2010 in </w:t>
      </w:r>
      <w:r>
        <w:rPr>
          <w:rFonts w:ascii="Arial" w:cs="Arial" w:eastAsia="Arial" w:hAnsi="Arial"/>
          <w:sz w:val="18"/>
          <w:szCs w:val="18"/>
          <w:i w:val="1"/>
          <w:iCs w:val="1"/>
          <w:color w:val="auto"/>
        </w:rPr>
        <w:t>Pediatrics in Review</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Diagnosis of ADHD requires a comprehensive clinical evaluation based on identifying patients who exhibit the core symptoms of inattention, hyperactivity, and impulsivity. Although many children may be inattentive, hyperactive or impulsive, the level of severity and degree of functional impairment, as well as considerations of what may be behind the underlying symptoms, determine which children meet the diagnosis and should be treated for ADHD.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Treatments for IA in Patients with ADHD</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Currently, there are no approved medications in the U.S. for the treatment of IA. IA is a characteristic of individuals who spontaneously react more strongly than normal to stimuli by committing verbal or physical acts against other people, property, or themselves. Based on our discussions with medical experts, the current treatment options for IA in patients with ADHD include psychosocial interventions, such as school-based or family-based behavioral therapies, which are usually not wholly effective. In the large, multisite Multimodal Treatment Study of Children with ADHD(3), a seminal clinical trial designed by experts from key stakeholder communities such as the National Institute of Mental Health, researchers observed that after 14 months of either ADHD medication-only or a regimen that combined ADHD medication with behavioral interventions, 44% of those children with ADHD (or 26% of the total sample size in the trial) who initially exhibited aggression still had what can be described as IA at the end of the trial. This demonstrates that psychosocial interventions may not work for a large percentage of children with ADHD who exhibit aggressive behaviors.</w:t>
      </w:r>
    </w:p>
    <w:p>
      <w:pPr>
        <w:spacing w:after="0" w:line="17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response, doctors have also tried to treat this group with off-label use of prescription medicines, such as mood stabilizers, stimulants and anti-psychotic drugs. Results have varied, but anti-psychotic drugs appear to have the best therapeutic potential. Unfortunately, many of these agents are associated with adverse effects, including obesity, dyskinesia, lipid abnormalities, marked increases in prolactin, and increase in diabetes, which is of particular concern when treating pediatric populations.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SPN-810 (molindone hydrochloride)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developing SPN-810 (molindone hydrochloride) as a novel treatment for IA in patients who have ADHD and who are being treated with standard ADHD medication. During 2014, the FDA granted fast track designation for SPN-810 for the treatment of IA in ADHD patients being treated with standard ADHD medication. The fast track designation allows for more frequent interactions with the FDA, for the early submission of some sections of the marketing application, and carries the potential for an expedited review category for the NDA. Currently, we and the FDA have a SPA for the conduct of our Phase III clinical trial (P301) for SPN-810, using a novel scale to measure IA that was developed by us. We initiated two Phase III clinical trials in 2015 (P301 and P302) that continue to enroll patients through mid-2018, with data from the trials anticipated by the first quarter of 2019. In addition, a Phase III trial for SPN-810 treating IA in adolescents who have ADHD is anticipated to start mid-2018.</w:t>
      </w:r>
    </w:p>
    <w:p>
      <w:pPr>
        <w:spacing w:after="0" w:line="17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Molindone hydrochloride was previously marketed in the United States as an anti-psychotic drug to treat schizophrenia under the trade name Moban, albeit at much higher dosages (up to 225mg/day) than we are using in our development program (18 and 36 mg/day). Moban has not been commercially available since 2010 and the FDA has confirmed that the withdrawal from the market was not due to issues with safety or efficacy. Molindone hydrochloride is differentiated from other anti-psychotic drugs in that it is less likely to be associated with weight gain and, in preclinical models, has not caused increases in prolactin levels as seen with other anti-psychotic drugs.</w:t>
      </w:r>
    </w:p>
    <w:p>
      <w:pPr>
        <w:spacing w:after="0" w:line="19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addition, we believe the lower doses tested for the proposed indication of IA in ADHD should be better tolerated than the higher doses approved to treat schizophrenia. The Phase IIb trial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1903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0" w:right="64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MTA Cooperative Group, </w:t>
      </w:r>
      <w:r>
        <w:rPr>
          <w:rFonts w:ascii="Arial" w:cs="Arial" w:eastAsia="Arial" w:hAnsi="Arial"/>
          <w:sz w:val="18"/>
          <w:szCs w:val="18"/>
          <w:i w:val="1"/>
          <w:iCs w:val="1"/>
          <w:color w:val="auto"/>
        </w:rPr>
        <w:t>A 14-month randomized clinical trial of treatment strategies for attention- deficit/hyperactivity disorder</w:t>
      </w:r>
      <w:r>
        <w:rPr>
          <w:rFonts w:ascii="Arial" w:cs="Arial" w:eastAsia="Arial" w:hAnsi="Arial"/>
          <w:sz w:val="18"/>
          <w:szCs w:val="18"/>
          <w:color w:val="auto"/>
        </w:rPr>
        <w:t xml:space="preserve">, published December 1999 in </w:t>
      </w:r>
      <w:r>
        <w:rPr>
          <w:rFonts w:ascii="Arial" w:cs="Arial" w:eastAsia="Arial" w:hAnsi="Arial"/>
          <w:sz w:val="18"/>
          <w:szCs w:val="18"/>
          <w:i w:val="1"/>
          <w:iCs w:val="1"/>
          <w:color w:val="auto"/>
        </w:rPr>
        <w:t>Archives of General Psychiatry</w:t>
      </w:r>
      <w:r>
        <w:rPr>
          <w:rFonts w:ascii="Arial" w:cs="Arial" w:eastAsia="Arial" w:hAnsi="Arial"/>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SPN-810, which included 121 patients, showed that there was no difference in weight gain between patients treated with SPN-810 and those treated with placebo. If we are successful in developing SPN-810 as a novel treatment for IA in patients who have ADHD, we may then develop the product as a candidate for treating other indications; e.g., patients with IA in autism, PTSD, bipolar disorder, schizophrenia, and some forms of dementia. In the aggregate, we believe the addressable market for SPN-810 is greater than $6.3 billion, including $3.2 billion in ADHD, $0.8 billion in autism and $2.3 billion in PTSD.</w:t>
      </w:r>
    </w:p>
    <w:p>
      <w:pPr>
        <w:spacing w:after="0" w:line="16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are developing an intellectual property position regarding the novel synthesis process for the active ingredient, its novel use in IA, and novel formulations. Patents, if issued, could expire from 2029 to 2033. We have one patent issued each in the U.S., Canada, Mexico, Europe, Australia and Japan, covering modified release formulations of molindone hydrochloride. In another patent family, covering the novel process of synthesis of the active ingredient, we have three patents issued in the U.S, and one patent issued each in Europe, Japan, and Australia. The third patent family, covering use of molindone hydrochloride in treating IA, includes two patents issued in Japan and one patent issued in the U.S. We own all of the pending patent applications.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SPN-810 Development Program</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completed a Phase IIb multicenter, randomized, double-blind, placebo-controlled trial in the United States in pediatric subjects 6 to 12 years of age diagnosed with ADHD and with IA that is not controlled by optimal stimulant and behavioral therapy. The primary objective of the study was to assess the effect of SPN-810 in reducing IA as measured by the Retrospective-Modified Overt Aggression Scale (R-MOAS) after at least three weeks of treatment. Secondary endpoints included the rate of remission of IA and measurement of the effectiveness of SPN-810 on the Clinical Global Impression (CGI) and ADHD scales as well as evaluation of the safety and tolerability of the drug. Patients who completed the study were offered the opportunity to continue into an open-label phase of six months duration.</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Analysis of treatment was performed using both parametric and non-parametric statistical methods. The parametric method assumes that data are normally distributed. Under this method, mean results of each treatment group at the end of three weeks of treatment were compared to the baseline R-MOAS score for each of the four dose groups (high, medium, low and placebo) using the t-test. The non-parametric method does not assume that data are normally distributed. Under this method, the median results of the change in R-MOAS score from baseline at the end of three weeks of treatment were computed for each of the four dose groups (high, medium, low and placebo). These were compared using the Wilcoxon Rank-sum test. Statistical analyses were performed to compare the median of each of the treatment groups: high, medium, and low versus placebo at the end of three weeks of treatment. The change in score from baseline to visit 10 was used as the outcome variable. There was a statistically significant difference between the low dose and placebo (p=0.031) and also between the medium dose and placebo (p=0.024) at the a=0.05 level. There was no statistically significant difference between the high dose and placebo. Both the medium dose and low dose were superior to placebo. These results convinced us that both low and medium doses were effective. This range of doses is being further evaluated in Phase III clinical trials.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secondary efficacy variable was the proportion of children whose impulsive aggressive behavior remitted, with remission defined as R-MOAS £ 10 at the end of the study. Low and medium doses of SPN-810 showed statistically significant results versus placebo, with the percent of patients who experienced remission of impulsive aggressive behavior of 51.9% (p=0.009) and 40.0% (p=0.043), respectively.</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CGI results (Severity and Improvement) are consistent with the findings on the R-MOAS scale, in that notable improvement (reduction in severity) occurred primarily in the low dose and medium dose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groups. Scores on SNAP-IV Hyperactivity and Impulsivity items did not exhibit statistically significant differences across treatment groups, indicating that efficacy against IA was specific, rather than being efficacious against the underlying ADHD. Numerical trends in SNAP-IV Oppositional Defiant Disorder scores, while not always significant, consistently favored the low dose and medium dose groups over placebo.</w:t>
      </w:r>
    </w:p>
    <w:p>
      <w:pPr>
        <w:spacing w:after="0" w:line="19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SPN-810 was well tolerated throughout the study across all doses. Sedation was the most frequently reported adverse reaction, with two subjects (7%) reporting this event in each of the four treatment groups, including the placebo group. The next most frequently reported adverse reaction was increased appetite with two subjects (7%) reporting this event in each of the three active treatment groups and one subject (3%) in the placebo group.</w:t>
      </w:r>
    </w:p>
    <w:p>
      <w:pPr>
        <w:spacing w:after="0" w:line="161"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 two serious AEs that occurred were not drug-related. One patient in the low dose arm and two patients in the medium dose arm had severe AEs that were considered either possibly or definitely related to the drug. Six patients in total discontinued the study because of AEs in the active treatment arms: one in low dose; two in medium dose; and three in the high dose arm. AEs requiring dose reduction were infrequent.</w:t>
      </w:r>
    </w:p>
    <w:p>
      <w:pPr>
        <w:spacing w:after="0" w:line="16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frequency of AEs associated with extra-pyramidal symptoms was also low and the events were reversible. The data are too sparse to evaluate dose-related aspects of these reports; thus, no clear dose-response relationship can be assessed. SPN-810 exhibited a very good safety and tolerability profile, with low incidence of AEs, and no unexpected, life threatening, or dose-limiting safety issues.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SPN-812 (viloxazine hydrochloride)</w:t>
      </w:r>
    </w:p>
    <w:p>
      <w:pPr>
        <w:spacing w:after="0" w:line="22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ADHD affects 6% to 9% of all school-age children and 3% to 5% of all adults. Current non-stimulant treatments for ADHD account for about 8% of the total ADHD prescriptions in the U.S. As a novel non-stimulant, SPN-812 has the potential to address a $2.5 billion market opportunity for the treatment of ADHD with non-stimulants. SPN-812, a norepinepherine reuptake inhibitor, would provide an additional option to the few non-stimulant therapies currently available. We believe that SPN-812 could be more effective than other non-stimulant therapies due to its unique pharmacological profile.</w:t>
      </w:r>
    </w:p>
    <w:p>
      <w:pPr>
        <w:spacing w:after="0" w:line="16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We expect SPN-812, if approved, to have five year market exclusivity, given its new chemical entity (NCE) status in the U.S. We are developing an intellectual property position regarding the novel synthesis process for the active ingredient, its novel use in ADHD and its novel extended release delivery.</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Patents, if issued, could expire from 2029 to 2033. We have one patent issued each in Europe and Canada, covering a method of treating ADHD using viloxazine. In another family, covering the novel process of active ingredient synthesis, we have two patents issued each in the U.S. and in Mexico, and one patent issued each in Europe, Japan, and Australia. We have three patents issued in the U.S. covering modified release formulations of viloxazine, and one patent issued in Australia. We own all of the pending patent applications.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SPN-812 Development Program</w:t>
      </w:r>
    </w:p>
    <w:p>
      <w:pPr>
        <w:spacing w:after="0" w:line="225"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We are developing SPN-812 as a novel non-stimulant treatment for ADHD. Subsequent to the end of Phase II meeting with the FDA in June 2017, we initiated four Phase III clinical trials in 2017. The program consists of four three-arm, placebo-controlled trials: two of which are pediatric trials and two of which are adolescent trials. We expect patient enrollment to continue through mid-2018 and to have data from this Phase III program available by the first quarter of 2019.</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During 2016, we completed a Phase IIb dose ranging trial and announced topline results. The trial met the primary endpoint, demonstrating that SPN-812 at daily doses of 400 mg, 300 mg, and 200 mg achieved a statistically significant improvement in the symptoms of ADHD when compared to placebo. At the end of the SPN-812 study, 400 mg, 300 mg and 200 mg doses were statistically significant compared to placebo in meeting the primary endpoint. With respect to the primary endpoint, patients receiving SPN-812 400 mg, 300 mg and 200 mg had a –19.0 point change (p=0.021), –18.6 point change (p=0.027) and a –18.4 point change (p=0.031) from baseline, respectively, as compared to –10.5 for placebo. All SPN-812 doses tested in the trial were well tolerated. Of the patients treated with SPN-812, only 6.7% discontinued due to an AE. In addition, 87% of patients who completed the trial elected to enroll in the ongoing open-label extension.</w:t>
      </w:r>
    </w:p>
    <w:p>
      <w:pPr>
        <w:spacing w:after="0" w:line="159"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treatment groups for SPN-812 using 400 mg, 300 mg and 200 mg showed a standardized mean effect size of 0.63, 0.60 and 0.55 compared to placebo, respectively. Patients receiving SPN-812 using 100 mg had a 16.7 average mean change from baseline in the primary endpoint and a standardized mean effect size of 0.46 compared to placebo, which did not quite reach statistical significance (p=0.089) in this relatively low number of patients.</w:t>
      </w:r>
    </w:p>
    <w:p>
      <w:pPr>
        <w:spacing w:after="0" w:line="16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addition, patients treated with SPN-812 using 400 mg, 300 mg and 200 mg met the Clinical Global Impression Severity (CGI-S) secondary endpoint with p-values of 0.014, 0.015 and 0.031, respectively, as compared to placebo.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SPN-809 (viloxazine hydrochloride)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SPN-809 is a novel once-daily product candidate for the treatment of depression. SPN-809 is based on the same active ingredient as SPN-812. We currently have an open investigational new drug application (IND) for SPN-809 as a treatment for depression, the indication for which the active ingredient in SPN-809 was approved and marketed in Europe for many years. It was never approved in the U.S.</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Because SPN-809 contains the same active ingredient as SPN-812, we expect that many of our activities related to the development of SPN-812 will also benefit the development of SPN-809.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ADHD Competition</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Competition in the U.S. ADHD market has increased with the commercial launch of several products in recent years, including the launch of generic versions of branded drugs, such as Adderall XR. Shire plc is one of the leaders in the U.S. ADHD market with three products: Vyvanse, a stimulant prodrug product launched in 2007; Intuniv, a non-stimulant treatment launched in November 2009; and Adderall XR, an extended release stimulant treatment designed to provide once-daily dosing. Other stimulant products for the treatment of ADHD in the U.S. market include the following once-daily formulations: Mydayis, Concerta, Metadate CD, Ritalin LA, Focalin XR, Daytrana, and Adzenys XR-ODT, Cotempla XR ODT, and Aptensio XR. Other non-stimulants are Strattera and Kapvay. We are also aware of clinical development efforts by several other organizations including, Sunovion, Ironshore/Highland, and Otsuka to develop additional treatment options for ADHD. Sunovion recently filed its non-stimulant product, dasotraline, with the FDA in September of 2017 for treatment of adults, children and adolescents with ADHD. FDA approval decision is anticipated in summer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a successful track record of developing novel extended release products by applying proprietary technologies to known drugs to improve existing therapies and to enable the treatment of new indications. Our key proprietary technology platforms include Microtrol, Solutrol and EnSoTrol. These technologies create novel, customized product profiles designed to enhance efficacy, reduce the frequency of dosing, and improve patient compliance and tolerability. We have employed our technologies in the development of a total of nine products that are currently on the market, including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Trokendi XR and Oxtellar XR, along with eight products being marketed by our partners. Trokendi XR uses the Microtrol multiparticulate delivery platform and Oxtellar XR uses the Solutrol matrix delivery platform. EnSoTrol was utilized to develop Orenitram, an oral formulation of treprostinil diethanolamine, or treprostinil, which was launched by United Therapeutics Corporation in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Exclusivity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been building and continue to build our intellectual property portfolio relating to our products and product candidates, including Oxtellar XR and Trokendi XR. We seek patent protection, where appropriate, in the United States and internationally for our products and product candidates. Our policy is to protect our innovations and proprietary products by, among other things, filing patent applications in the U.S. and abroad (including Europe, Canada and other countries when appropriate). We also rely on trade secrets, know-how, continuing technological innovation and in-licensing opportunities to develop and maintain our proprietary position.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technology.</w:t>
      </w:r>
    </w:p>
    <w:p>
      <w:pPr>
        <w:spacing w:after="0" w:line="1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success will depend significantly on our ability to obtain and maintain patent and other proprietary protection for the technologies and products we consider important to our business, defend our patents, preserve the confidentiality of our trade secrets and operate our business without infringing the patents and proprietary rights of third parties.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have established and continue to build proprietary positions for Oxtellar XR, Trokendi XR, our pipeline product candidates and our technologies in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abroad.</w:t>
      </w:r>
    </w:p>
    <w:p>
      <w:pPr>
        <w:spacing w:after="0" w:line="219"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Patents for both Oxtellar XR and Trokendi XR have received numerous Paragraph IV Notice Letters and we have filed claims for infringement of our patents against the third-parties. For more information, please see Part I, Item 3—Legal Proceedings contained in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extended release oxcarbazepine patent portfolio currently includes eleven U.S. patents, eight of which cover Oxtellar XR. We have also obtained two patents each for extended release oxcarbazepine in Europe and Australia, and one patent each in Canada, Japan, China, and Mexico. In addition, we have certain pending U.S. patent applications that cover various extended release formulations containing oxcarbazepine. The eight issued U.S. patents covering Oxtellar XR will expire no earlier than 2027. We own all of the issued patents and the pending patent applications.</w:t>
      </w:r>
    </w:p>
    <w:p>
      <w:pPr>
        <w:spacing w:after="0" w:line="167"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In addition to the patents and patent applications relating to Oxtellar XR, we currently have nine U.S. patents that cover Trokendi XR. We have one patent issued each in Mexico, Australia, Japan and Canada for extended release topiramate. We also have two patents issued in Europe for extended release topiramate. The nine issued U.S. patents covering Trokendi XR will expire no earlier than 2027. We own all of the issued patents and pending patent applications.</w:t>
      </w:r>
    </w:p>
    <w:p>
      <w:pPr>
        <w:spacing w:after="0" w:line="14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patent portfolio also contains patent applications relating to our other pipeline products. We have four families of pending U.S. non-provisional and foreign counterpart patent applications relating to our SPN-810 product candidate. Patents, if issued, could have terms expiring from 2029 to 2033. We have one patent issued each in the U.S., Canada, Mexico, Europe, Australia and Japan, covering modified release formulations of molindone hydrochloride. In another patent family, covering the novel process of synthesis of the active ingredient, we have three patents issued in the U.S, and one patent issued each in Europe, Japan, and Australia. The third patent family, covering use of molindone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hydrochloride in treating IA, includes two patents issued in Japan and one patent issued in the U.S. We own all of the pending patent applications.</w:t>
      </w:r>
    </w:p>
    <w:p>
      <w:pPr>
        <w:spacing w:after="0" w:line="24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With regard to our SPN-812 product candidate, we have three families of pending U.S. non-provisional and foreign counterpart patent applications. Patents, if issued, could expire from 2029 to 2033. We have one patent issued each in Europe and Canada, covering a method of treating ADHD using viloxazine. In another family, covering the novel process of active ingredient synthesis, we have two patents issued each in the U.S. and in Mexico, and one patent issued each in Europe, Japan, and Australia. We have three patents issued in the U.S. covering modified release formulations of viloxazine, and one patent issued in Australia. We own all of the pending patent applications. We own all of the issued patents and the pending patent applications.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The United States patent system permits the filing of provisional and non-provisional patent applications. A non-provisional patent application is examined by the United States Patent and Trademark Office (USPTO), and can mature into a patent once the USPTO determines that the claimed invention meets the standards for patentability. A provisional patent application is not examined for patentability, and automatically expires 12 months after its filing date. As a result, a provisional patent application cannot mature into a patent. The requirements for filing a provisional patent application are not as strict as those for filing a non-provisional patent application. Provisional applications are often used, among other things, to establish an early filing date for a subsequent non-provisional patent application. The term of individual patents depends upon the legal term of the patents in the countries in which they are obtained. In most countries in which we file, the patent term is 20 years from the earliest date of filing a non-provisional patent application. In the U.S., a patent's term may be lengthened by patent term adjustment (PTA), which compensates a patentee for administrative delays by the USPTO in granting a patent. In view of a recent court decision, the USPTO is under greater scrutiny regarding its calculations of PTAs because the USPTO erred in calculating the PTA in that case, which resulted in denying the patentee a portion of the patent term to which it was entitled. Alternatively, a patent's term may be shortened if a patent is terminally disclaimed over another patent.</w:t>
      </w:r>
    </w:p>
    <w:p>
      <w:pPr>
        <w:spacing w:after="0" w:line="1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evaluating the patentability of a claimed invention, the filing date of a non-provisional patent application is used by the USPTO to determine what information is prior art. If certain requirements are satisfied, a non-provisional patent application can claim the benefit of the filing date of an earlier filed provisional patent application. As a result, the filing date accorded by the provisional patent application may supersede information that otherwise could preclude the patentability of an invention.</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term of a patent that covers a FDA-approved drug may also be eligible for patent term extension (PTE), which permits patent term restoration as compensation for the patent term lost during the FDA regulatory review process. The Drug Price Competition and Patent Term Restoration Act of 1984, or the Hatch-Waxman Amendments, permits a PTE of up to five years beyond the expiration of the patent. The length of the PTE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pharmaceutical products receive FDA or other regulatory approval, we may be able to apply for PTEs on patents covering those products. Depending upon the timing, duration and specifics of FDA approval of our SPN-810 and SPN-812 product candidates and issuance of a U.S. patent we may obtain a U.S. patent, that is eligible for limited patent term restoration.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Intellectual Property Rights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seek trademark protection in the U.S. and internationally where available and when appropriate. We have filed for trademark protection for several marks, which we use in connection with our pharmaceutical research and development collaborations as well as with products. We are the owner of various U.S. federal trademark registrations (®) and registration applications (™), including the following marks referred to in this Annual Report on Form 10-K pursuant to applicable U.S. intellectual property laws: "Supernus®," "Microtrol®," "Solutrol®," "Trokendi XR®," "Oxtellar XR®," and the registered Supernus Pharmaceuticals logo.</w:t>
      </w:r>
    </w:p>
    <w:p>
      <w:pPr>
        <w:spacing w:after="0" w:line="1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From time to time, we may find it necessary or prudent to obtain licenses from third party intellectual property holders. Where licenses are readily available at reasonable cost, such licenses are considered a normal cost of doing business. In other instances, however, we may use the results of freedom-to-operate inquiries and internal analyses to guide our early-stage research away from areas where we are likely to encounter obstacles in the form of third party intellectual property. For example, where a third party holds relevant intellectual property and is a direct competitor, a license might not be available on commercially reasonable terms or available at all. We strive to identify potential third party intellectual property issues in the early stages of our research programs, in order to minimize the cost and disruption of resolving such issues.</w:t>
      </w:r>
    </w:p>
    <w:p>
      <w:pPr>
        <w:spacing w:after="0" w:line="19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To protect our competitive position, it may be necessary to enforce our patent rights through litigation against infringing third parties. We presently have a lawsuit pending against TWi Pharmaceuticals Inc. to enforce our patent rights concerning Oxtellar XR patents. See Part I, Item 3—Legal Proceedings. Litigation to enforce our own patent rights is subject to uncertainties that cannot be quantified in advance. In an adverse outcome in litigation, we could be prevented from commercializing a product or using certain aspects of our technology platforms as a result of patent infringement claims asserted against us. This could have a material adverse effect on our business. In addition, litigation involving our patents carries the risk that one or more of our patents will be held invalid (in whole or in part, on a claim-by-claim basis) or held unenforceable. Such an adverse court ruling could allow third parties to commercialize products or use technologies that are similar to ours, and then compete directly with us, without payment to us. See "Risk Factors—If we are sued for infringing intellectual property rights of third parties, it could be costly and time consuming to defend such a suit. An unfavorable outcome in that litigation could have a material adverse effect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In-Licensing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Afecta Pharmaceuticals, Inc.</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two license agreements with Afecta Pharmaceuticals, Inc. (Afecta) pursuant to which we obtained exclusive worldwide rights to selected product candidates, including an exclusive license to SPN-810. We may pay up to $300,000 upon the achievement of certain milestones. If a product candidate is successfully developed and commercialized, we will be obligated to pay royalties to Afecta based on worldwide net product sales at a rate in the low-single digits.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Rune HealthCare Limited</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have a purchase and sale agreement with Rune HealthCare Limited (Rune) where we obtained the exclusive worldwide rights to a product concept from Rune for SPN-809. If we receive approval to market and sell any products covered by the agreement, we will be obligated to pay royalties to Rune based on worldwide net sales, at a rate in the low-single digits.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 Information and Inventions Assignment Agreements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require our employees, temporary employees and consultants to execute confidentiality agreements upon the commencement of employment, consulting or collaborative relationships with us. These agreements provide that all confidential information developed or made known during the course of the relationship with us be kept confidential and not disclosed to third parties except in specific circumstances. The agreements provide that all inventions resulting from work performed for us or relating to our business and conceived or completed by the individual during employment or assignment, as applicable, shall be our exclusive property to the extent permitted by applicable law.</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seek to protect our products, product candidates and our technologies through a combination of patents, trade secrets, proprietary know-how, FDA exclusivity and contractual restrictions on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results of product development, preclinical studies and clinical trials, along with descriptions of the manufacturing process, analytical tests conducted on the drug, proposed labeling and other relevant information are submitted to the FDA as part of an NDA for a new drug. The NDA requests approval to market the product. The submission of an NDA is subject to the payment of a substantial user fee, although a waiver of such fee may be obtained under certain limited circumstances.</w:t>
      </w:r>
    </w:p>
    <w:p>
      <w:pPr>
        <w:spacing w:after="0" w:line="19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NDAs are either standard 505(b)(1) or 505(b)(2) applications. For a standard 505(b)(1) application, all pertinent information must be part of the regulatory submission under that NDA number. For a 505(b)(2) application, the FDA permits the submission of an NDA where at least some of the information required for approval comes from clinical trials not conducted by or for the applicant and for which the applicant has not obtained a right of reference. The FDA interprets Section 505(b)(2) of the Federal Food, Drug, and Cosmetic Act (FDCA) to permit the applicant to rely upon the FDA's previous findings of safety and effectiveness for an approved product. The FDA requires submission of information needed to support any changes to a previously approved drug, such as published data or new studies conducted by the applicant, including bioavailability or bioequivalence studies, or clinical trials demonstrating safety and effectiveness. The FDA may then approve the new product candidate for all or some of the label indications for which the referenced product has been approved, as well as for any new indication sought by the Section 505(b)(2) applicant.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 the NDA submissions for our product candidates, we intend to follow the 505(b)(2) development pathway when appropriate.</w:t>
      </w:r>
    </w:p>
    <w:p>
      <w:pPr>
        <w:spacing w:after="0" w:line="225"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 xml:space="preserve">In addition, under the Pediatric Research Equity Act of 2003 Pediatric research equity act (PREA), which was reauthorized under the Food and Drug Administration Safety and Innovation Act of 2012, an NDA must contain, </w:t>
      </w:r>
      <w:r>
        <w:rPr>
          <w:rFonts w:ascii="Arial" w:cs="Arial" w:eastAsia="Arial" w:hAnsi="Arial"/>
          <w:sz w:val="16"/>
          <w:szCs w:val="16"/>
          <w:i w:val="1"/>
          <w:iCs w:val="1"/>
          <w:color w:val="auto"/>
        </w:rPr>
        <w:t>a priori</w:t>
      </w:r>
      <w:r>
        <w:rPr>
          <w:rFonts w:ascii="Arial" w:cs="Arial" w:eastAsia="Arial" w:hAnsi="Arial"/>
          <w:sz w:val="16"/>
          <w:szCs w:val="16"/>
          <w:color w:val="auto"/>
        </w:rPr>
        <w:t>, or propose clinical work that supports the product's use in all relevant pediatric subpopulations. The FDA may grant deferrals for submission of data or full or partial waivers of the data requirements.</w:t>
      </w:r>
    </w:p>
    <w:p>
      <w:pPr>
        <w:spacing w:after="0" w:line="16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Pursuant to the FDA's approval of Oxtellar XR, we committed to the conduct of four pediatric post-marketing studies; however, the FDA granted a waiver for the pediatric study requirements for ages birth to one month and a deferral for submission of post-marketing assessments for children one month to six years of age. Pursuant to the FDA's approval of Trokendi XR, the FDA granted a deferral for submission of post-marketing pediatric studies in the following categories:</w:t>
      </w:r>
    </w:p>
    <w:p>
      <w:pPr>
        <w:spacing w:after="0" w:line="1" w:lineRule="exact"/>
        <w:rPr>
          <w:sz w:val="20"/>
          <w:szCs w:val="20"/>
          <w:color w:val="auto"/>
        </w:rPr>
      </w:pPr>
    </w:p>
    <w:p>
      <w:pPr>
        <w:jc w:val="both"/>
        <w:ind w:firstLine="8"/>
        <w:spacing w:after="0" w:line="255"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adjunctive therapy in partial onset seizures (POS) for children one month to less than six years of age, (2) initial monotherapy in POS and primary generalized tonic-clonic (PGTC) for children two years to less than ten years of age, and (3) adjunctive therapy in PGTC and adjunctive therapy in Lennox-Gastaut Syndrome from two years to less than six years of age.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Since our product approvals, we have gained more knowledge about our abilities to create formulations, and programs that would enable us to meet our deferred pediatric commitments, and we have identified a need to renegotiate the commitments made at the time of NDA approvals for both Oxtellar XR and Trokendi XR. Supernus is actively interfacing with the FDA on these programs and these commitments.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505(b)(2) New Drug Applications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 the extent that a Section 505(b)(2) NDA relies on clinical trials conducted for a previously approved drug product or the FDA's prior findings of safety and effectiveness for a previously approved drug product, the Section 505(b)(2) applicant must submit patent certifications in its Section 505(b)(2) application with respect to any patents for the approved product on which the application relies that are listed in the FDA's publication, Approved Drug Products with Therapeutic Equivalence Evaluations, commonly referred to as the Orange Book. Specifically, the applicant must certify for each listed patent that (1) the required patent information has not been filed; (2) the listed patent has expired; (3) the listed patent has not expired, but will expire on a particular date and approval is not sought until after patent expiration; or (4) the listed patent is invalid, unenforceable or will not be infringed by the proposed new product. A certification that the new product will not infringe the previously approved product's listed patent or that such patent is invalid or unenforceable is known as a Paragraph IV certification. If the applicant does not challenge one or more listed patents through a Paragraph IV certification, the FDA will not approve the Section 505(b)(2) NDA application until all the listed patents claiming the referenced product have expired. Further, the FDA will also not approve, as applicable, a Section 505(b)(2) NDA application until any non-patent exclusivity, such as, for example, five-year exclusivity for obtaining approval of an NCE, three year exclusivity for an approval based on new clinical trials, or pediatric exclusivity, listed in the Orange Book for the referenced product, has expired.</w:t>
      </w:r>
    </w:p>
    <w:p>
      <w:pPr>
        <w:spacing w:after="0" w:line="18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 section 505(b)(2) NDA applicant must send notice of the Paragraph IV certification to the owner of the referenced NDA for the previously approved product and relevant patent holders within 20 days after the Section 505(b)(2) NDA has been accepted for filing by the FDA. If the relevant patent holder elects to initiate litigation, the Section 505(b)(2) applicant may invest a significant amount of time and expense in the development of its product only to be subject to significant delay and patent litigation before its product may be commercialized. Alternatively, if the NDA applicant or relevant patent holder does not file a patent infringement lawsuit within the specified 45 day period, the FDA may approve the Section 505(b)(2) application at any time.</w:t>
      </w:r>
    </w:p>
    <w:p>
      <w:pPr>
        <w:spacing w:after="0" w:line="17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Notwithstanding the approval of many products by the FDA pursuant to Section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NDA that we submit.</w:t>
      </w:r>
    </w:p>
    <w:p>
      <w:pPr>
        <w:spacing w:after="0" w:line="161"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IV testing which involves clinical trials designed to further assess a drug's safety and effectiveness after NDA approval and may require testing and surveillance programs to monitor the safety of approved products that have been commercialized.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some of our U.S. patents may be eligible for limited patent term extension under the Hatch-Waxman Amendments. The Hatch-Waxman Amendments permit a patent term restoration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and within sixty days of approval of the drug. The USPTO, in consultation with the FDA, reviews and approves the application for any patent term extension or restoration.</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Market exclusivity provisions under the FDCA can also delay the submission or the approval of certain applications. The FDCA provides a five-year period of non-patent marketing exclusivity within the United States to the first applicant to gain approval of an NDA for an NCE. A drug is an NCE if the FDA has not previously approved any other new drug containing the same active pharmaceutical ingredient (API) or active moiety, which is the molecule or ion responsible for the therapeutic action of the drug substance. During the exclusivity period, the FDA may not accept for review an abbreviated new drug application (ANDA) or a Section 505(b)(2) NDA submitted by another company for another version of such drug where the applicant does not own or have a legal right of reference to all the data required for approval. As an alternative to submission via 505(b)(2) approval, an applicant may choose to submit a full Section 505(b)(1) NDA, but such an NDA applicant would be required to conduct its own preclinical and adequate, well-controlled clinical trials to demonstrate safety and effectiveness. Further, a Section 505(b)(2) application may be submitted after four years if it contains a Paragraph IV certification.</w:t>
      </w:r>
    </w:p>
    <w:p>
      <w:pPr>
        <w:spacing w:after="0" w:line="17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FDCA also provides three years of marketing exclusivity for an NDA, Section 505(b)(2) NDA, or supplement to an existing NDA if new clinical investigations (other than bioavailability studies) that were conducted or sponsored by the applicant are deemed by the FDA to be essential to the approval of the application. Such clinical trials may, for example, support new indications, dosages, routes of administration or strengths of an existing drug, or for a new use, if the new clinical investigations that were conducted or sponsored by the applicant are determined by the FDA to be essential to the approval of the application. This exclusivity, sometimes referred to as clinical investigation exclusivity, prevents the FDA from approving an application under Section 505(b)(2) for the same conditions of use associated with the new clinical investigations before the expiration of three years from the date of approval. Such three-year exclusivity, however, would not prevent the approval of another application if the applicant submits a Section 505(b)(1) NDA and has conducted its own adequate, well-controlled clinical trials demonstrating safety and efficacy, nor would it prevent approval of a generic product or Section 505(b)(2) product that did not incorporate the exclusivity-protected changes of the approved drug product. The FDCA, FDA regulations and other applicable regulations and policies provide incentives to manufacturers to create modified, non-infringing versions of a drug to facilitate the approval of an ANDA or other application for generic substitutes.</w:t>
      </w:r>
    </w:p>
    <w:p>
      <w:pPr>
        <w:spacing w:after="0" w:line="393"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Pediatric exclusivity is another type of exclusivity granted in the U.S. Pediatric exclusivity, if granted, provides an additional six months of exclusivity to be attached to any existing exclusivity (e.g., three or five year exclusivity) or patent protection for a drug. This six month exclusivity, which runs from the end of other exclusivity protection or patent delay, may be granted based on the voluntary completion of a pediatric trial in accordance with an FDA-issued "Written Request" for such a trial. The current pediatric exclusivity provision was reauthorized in September 2007.</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majority of our product sales are to wholesalers and distributors who, in turn, sell the products to pharmacies, hospitals and other customers. Three customers, AmerisourceBergen Drug Corporation, Cardinal Health, Inc. and McKesson Corporation, individually accounted for more than 10% of our total revenue in 2017, and collectively accounted for 97% of our total revenue in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2017, we employed 422 full-time employees; 90 employees are engaged in research and development activities and 332 employees are engaged in selling, general and administrative activities. We consider relations with our employees to be good. None of our employees is represented by a labor union.</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Investing in our common stock involves a high degree of risk. Before making an investment decision, you should carefully consider the risks described below with all of the other information we include in this report and the additional information in the other reports we file with the Securities and Exchange Commission (the "SEC" or the "Commission"). These risks may result in material harm to our business, our financial condition, and results of operations. In this eventuality, the market price of our common stock may decline and you could lose part or all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commercial success of Oxtellar XR and Trokendi XR.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substantial amount of our resources are focused on expanding the revenue generated by our approved products in the U.S., Oxtellar XR and Trokendi XR.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generate significant product revenue from sales of Oxtellar XR and Trokendi XR in the near term will depend on, among other things, our ability to:</w:t>
      </w:r>
    </w:p>
    <w:p>
      <w:pPr>
        <w:spacing w:after="0" w:line="262"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Defend our patents and intellectual property from competition, including generics;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commercial manufacturing arrangements with third-party manufacturers;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Produce, through a validated process, sufficiently large quantities of inventory of our products to meet demand;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maintain a wide variety of internal sales, distribution and marketing capabilities sufficient to sustain revenue growth;</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maintain and grow widespread acceptance of our products from physicians, health care payors, patients, pharmacists and the medical community;</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Properly price and obtain adequate reimbursement coverage of these products by governmental authorities, private health insurers, managed care organizations and other third-party payors;</w:t>
      </w:r>
    </w:p>
    <w:p>
      <w:pPr>
        <w:spacing w:after="0" w:line="199"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compliance with ongoing FDA labeling, packaging, storage, advertising, promotion, recordkeeping, safety and other post-market requirements;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approval from the FDA to expand the labeling of our approved products for additional indications;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Adequately protect against and effectively respond to any claims by holders of patents and other intellectual property rights that our products infringe their rights; and</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Adequately protect against and effectively respond to any unanticipated adverse effects or unfavorable publicity that develops with respect to our products, as well as respond to the emergence of new or existing competitive products, which may be proven to be more clinically effective and cost-effective.</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There are no guarantees that we will be successful in completing these tasks. We will need to continue investing substantial financial and management resources to maintain our commercial sales and marketing infrastructure and to recruit and train qualified marketing, sales and other personnel. In addition, we have expressed certain long term revenue expectations. If we cannot achieve those revenue expectations with respect to Oxtellar XR and Trokendi XR, this could result in a material adverse impact on our anticipated revenue, earnings and liquidity.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Increases in sales of Oxtellar XR or Trokendi XR may slow for a variety of reasons, including competing products or safety issues. If we are not successful in broadening the current commercial acceptance of either Oxtellar XR or Trokendi XR, our business would be harmed.</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Any increase in sales of Oxtellar XR and Trokendi XR will be dependent on several factors, including our ability to educate physicians and to increase physician awareness and acceptance of the benefits and cost-effectiveness of our products relative to competing products. Our ability to increase market acceptance of any of our products or gain market acceptance of approved product candidates among physicians, patients, health care payors and the medical community will depend on a number of factors, including:</w:t>
      </w:r>
    </w:p>
    <w:p>
      <w:pPr>
        <w:spacing w:after="0" w:line="211"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Acceptable evidence of safety and efficacy;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prevalence, nature, and severity of any adverse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alternative treatments;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Oxtellar XR and Trokendi XR will be subject to continual review by the FDA. We cannot assure that newly discovered or reported safety issues will not arise. With the use of any newly marketed drug by a wider patient population, serious AEs may occur from time to time that initially do not appear to relate to the drug itself. Any safety issues could cause us to suspend or cease marketing of our approved products, cause us to modify how we market our approved products, subject us to substantial liabilities and adversely affect our revenues and financial condition. In the event of a withdrawal of either Oxtellar XR or Trokendi XR from the market, our revenues would decline significantly and our business would be seriously harmed and could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involved in lawsuits to protect or enforce our patents, which could be expensive, time consuming and unsuccessful.</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Competitors may infringe our patents. To counter infringement or unauthorized use, we may be required to file infringement claims, which can be expensive and time consuming. For example, we are involved in several matters related to Paragraph IV Certification Notice Letters that we have received in connection with our products and our collaborators' products. In connection with an ANDA, a Paragraph IV Certification Notice Letter notifies the FDA that one or more patents listed in the FDA's Orange Book is alleged to be invalid, unenforceable or will not be infringed by the ANDA product. These matters include claims related to Oxtellar XR and Trokendi XR, and are discussed in Part I, Item 3—Legal Proceedings.</w:t>
      </w:r>
    </w:p>
    <w:p>
      <w:pPr>
        <w:spacing w:after="0" w:line="170"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In any infringement proceeding, including the foregoing,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 at risk of not issuing.</w:t>
      </w:r>
    </w:p>
    <w:p>
      <w:pPr>
        <w:spacing w:after="0" w:line="14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Interference proceedings brought by the USPTO may be necessary to determine the priority of inventions with respect to our patents and patent applications or those of our collaborators. An unfavorable outcome could require us to cease using the technology or to attempt to license rights to it from the prevailing party. Our business could be harmed if a prevailing party does not offer us a license on terms that are acceptable to us or at all. Litigation or interference proceedings may fail. Even if successful, litigation may result in substantial costs and distraction of our management and other employees. We may not be able to prevent, alone or with our collaborators, misappropriation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proprietary rights, particularly in countries where the laws may not protect those rights as fully as in the United States.</w:t>
      </w:r>
    </w:p>
    <w:p>
      <w:pPr>
        <w:spacing w:after="0" w:line="225"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addition, there could be public announcements of the results of hearings, motions or other interim proceeding or developments. If securities analysts or investors perceive these results to be negative, or perceive that the presence or continuation of these cases creates a level of uncertainty regarding our ability to increase or sustain products sales, it could have a substantial adverse effect on the price of our common stock. There can be no assurance that our product candidates will not be subject to the same risks.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obtaining regulatory approval of our product candidates and for additional indications for existing products.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ability to successfully commercialize any of our product candidates and to obtain additional indications for existing products will depend on, among other things, our ability to:</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complete our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Receive marketing approvals from the FDA;</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Produce, through a validated process, sufficiently large quantities of our product candidates to permit successful clinical development and commercialization;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commercial manufacturing arrangements with third-party manufacturers;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 and maintain strong sales, distribution and marketing capabilities sufficient to commercially launch our product candidates;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Secure acceptance of our product candidates from physicians, health care payors, pharmacies, wholesalers, patients and the medical community;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Manage our spending as costs and expenses increase due to undertaking clinical trials and commercially launching product candidates.</w:t>
      </w: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are no guarantees that we will be successful in completing these tasks. If we are unable to successfully complete these tasks, we may not be able to commercialize any of our other product candidates in a timely manner, or at all, in which case we may be unable to maximize our revenues. In addition, if we experience unanticipated delays or problems, development costs could substantially increase and our business, financial condition and results of operations would likely be adversely affected.</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clinical trials for our product candidates may fail to demonstrate acceptable levels of safety, efficacy or any other requirements, which could prevent or significantly delay regulatory approval.</w:t>
      </w:r>
    </w:p>
    <w:p>
      <w:pPr>
        <w:spacing w:after="0" w:line="186"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We may be unable to sufficiently demonstrate the safety and efficacy of our product candidates to obtain regulatory approval. We must demonstrate, with substantial evidence gathered in well-controlled studies, to the satisfaction of the relevant regulatory authorities that each product candidate is safe and effective for use in the target indication. We may be required to conduct or perform additional studies or trials to adequately demonstrate safety and efficacy, which could prevent or significantly delay our receipt of regulatory approval, increase clinical costs, and, ultimately delay the commercialization of that product candidate.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Any product candidate that we in-license or acquire may require additional development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w:t>
      </w:r>
    </w:p>
    <w:p>
      <w:pPr>
        <w:spacing w:after="0" w:line="16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the results from the trials that we have completed for our product candidates may not be replicated in future trials. A number of companies in the pharmaceutical industry have suffered significant setbacks in advanced development, even after promising results in earlier trials. If our product candidates are not shown to be safe and effective, our clinical development programs might be terminated.</w:t>
      </w:r>
    </w:p>
    <w:p>
      <w:pPr>
        <w:spacing w:after="0" w:line="19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Delays or failures in the completion of clinical development of our product candidates would increase our costs and delay or limit our ability to generate revenues.</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Delays or failures in the completion of clinical trials for our product candidates could significantly raise our product development costs. We do not know whether current or planned trials will be completed on schedule, if at all. The commencement and completion of clinical development can be delayed or halted for a number of reasons, including:</w:t>
      </w:r>
    </w:p>
    <w:p>
      <w:pPr>
        <w:spacing w:after="0" w:line="208" w:lineRule="exact"/>
        <w:rPr>
          <w:sz w:val="20"/>
          <w:szCs w:val="20"/>
          <w:color w:val="auto"/>
        </w:rPr>
      </w:pPr>
    </w:p>
    <w:p>
      <w:pPr>
        <w:ind w:left="1080" w:right="1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CRO trial sites and investigators, the terms of which can be subject to extensive negotiation and may vary significantly;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or inadequate supply or quantity of a product candidate for use in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obtaining Investigational Research Board (IRB) or ethics committee approval to conduct a trial at a prospective site;</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recruiting and enrolling patients to participate in clinical trials for a variety of reasons, including competition from other programs for the treatment of similar conditions;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retaining patients who have enrolled in a clinical trial but may be prone to withdraw due to side effects from the therapy, lack of efficacy or personal issues;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holds;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trials may be delayed as a result of ambiguous or negative interim results.</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Clinical trials may be suspended or terminated by us, at a trial site by a Data Safety Monitoring Board (DSMB) or ethics committee overseeing the clinical trial, the FDA, or other regulatory authorities due to a number of factors, including:</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the trial protocols;</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Observations during inspection of the clinical trial operations or trial sites by the FDA or other regulatory authorities that ultimately result in the imposition of a clinical hold;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safety issues;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adequate funding to continue the trial.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Failure to conduct the clinical trial in accordance with regulatory requirements or the trial protocols may result in the inability to use the trial data to support product approval. Changes in regulatory requirements and guidance may occur, and we may need to amend clinical trial protocols to reflect these changes. Amendments may require us to resubmit our clinical trial protocols to IRBs or ethics committees for reexamination, which may adversely impact the costs, timing or successful completion of a clinical trial.</w:t>
      </w:r>
    </w:p>
    <w:p>
      <w:pPr>
        <w:spacing w:after="0" w:line="197" w:lineRule="exact"/>
        <w:rPr>
          <w:sz w:val="20"/>
          <w:szCs w:val="20"/>
          <w:color w:val="auto"/>
        </w:rPr>
      </w:pPr>
    </w:p>
    <w:p>
      <w:pPr>
        <w:ind w:right="340"/>
        <w:spacing w:after="0" w:line="335" w:lineRule="auto"/>
        <w:rPr>
          <w:sz w:val="20"/>
          <w:szCs w:val="20"/>
          <w:color w:val="auto"/>
        </w:rPr>
      </w:pPr>
      <w:r>
        <w:rPr>
          <w:rFonts w:ascii="Arial" w:cs="Arial" w:eastAsia="Arial" w:hAnsi="Arial"/>
          <w:sz w:val="15"/>
          <w:szCs w:val="15"/>
          <w:color w:val="auto"/>
        </w:rPr>
        <w:t>In addition, many of the factors that cause or lead to a delay in the commencement or completion of clinical trials may also ultimately lead to the denial of regulatory approval of our product candidates. If we experience delays in completion of, or if we terminate any of our clinical trials, our ability to obtain regulatory approval for our product candidates may be materially harmed, and our commercial prospects and ability to generate product revenues diminished.</w:t>
      </w:r>
    </w:p>
    <w:p>
      <w:pPr>
        <w:spacing w:after="0" w:line="14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products and product candidates may cause undesirable side effects or have other characteristics that limit their commercial potential or delay or prevent their regulatory approval.</w:t>
      </w:r>
    </w:p>
    <w:p>
      <w:pPr>
        <w:spacing w:after="0" w:line="1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Undesirable side effects caused by any of our product candidates could cause us or regulatory authorities to interrupt, delay or halt development and could result in the denial of regulatory approval by the FDA or other regulatory authorities, and result in potential product liability claims. Undesirable side effects caused by any of our products could cause regulatory authorities to temporarily or permanently halt product sales, which could have a material adverse effect on our business as a whole.</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Immediate release oxcarbazepine and topiramate products, which use the same APIs as Oxtellar XR and Trokendi XR, are known to cause various side effects, including but not limited to dizziness, paresthesia, headaches, cognitive deficiencies such as memory loss and speech impediment, digestive problems, somnolence, double vision, gingival enlargement, nausea, weight gain, oral malformation birth defects, visual field defects, infant small for gestational age and fatigue. The use of Oxtellar XR and Trokendi XR may cause similar side effects as compared to their reference products, or may cause additional or different side effects.</w:t>
      </w:r>
    </w:p>
    <w:p>
      <w:pPr>
        <w:spacing w:after="0" w:line="1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Products that were on the market and used the same API as our product candidates, SPN-810 and SPN-812, were known to cause various side effects, including but not limited to drowsiness, depression, hyperactivity, euphoria, extrapyramidal reactions, nausea, headache, diarrhea, vomiting, sleep difficulties, agitation, exacerbation of anxiety, sleepiness , mouth dryness, tachycardia, constipation, and urinary difficulties. The labels for those products also included precautions and warnings about, among other things, tardive dyskinesia, neuroleptic malignant syndrome, elevation of prolactin levels, convulsive events in patients that are treated for or have a prior history of epilepsy, inhibition of hepatic metabolism of certain drugs, risk of suicide before antidepressant clinical improvement, need for monitoring patients with cardiac, hepatic or renal insufficiency, or patients at risk for angle-closure glaucoma. The use of SPN-810 and SPN-812 may cause similar side effects as compared to these reference products, or may cause additional or different side effects.</w:t>
      </w:r>
    </w:p>
    <w:p>
      <w:pPr>
        <w:spacing w:after="0" w:line="1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our products cause side effects or if any of our product candidates receive marketing approval, and we or others later identify undesirable side effects caused by our products or product candidates, a number of potentially significant negative consequences could result, including:</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Regulatory authorities may withdraw approval of the product candidate or otherwise require us to take the approved product off the market;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a narrowing of the indication, on the product label;</w:t>
      </w:r>
    </w:p>
    <w:p>
      <w:pPr>
        <w:spacing w:after="0" w:line="238" w:lineRule="exact"/>
        <w:rPr>
          <w:rFonts w:ascii="Arial" w:cs="Arial" w:eastAsia="Arial" w:hAnsi="Arial"/>
          <w:sz w:val="18"/>
          <w:szCs w:val="18"/>
          <w:color w:val="auto"/>
        </w:rPr>
      </w:pPr>
    </w:p>
    <w:p>
      <w:pPr>
        <w:ind w:left="5620" w:right="240" w:hanging="5072"/>
        <w:spacing w:after="0" w:line="519" w:lineRule="auto"/>
        <w:tabs>
          <w:tab w:leader="none" w:pos="10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proper use of the medication and risks of side effects, for distribution to patients;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modify the product in some way;</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us to conduct additional clinical trials or costly post-marketing testing and surveillance to monitor the safety or efficacy of the product;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approved products may decrease significantly;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Any of these events could prevent us from achieving or maintaining the commercial success of our products and product candidates and could substantially increase commercialization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market and sell our product candidates, if approved, in the U.S.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plan on building our sales and marketing capabilities in the U.S. to commercialize our product candidates, if approved. We will build such capabilities by investing significant amounts of financial and management resources. Furthermore, the cost of establishing and maintaining marketing and sales capabilities may not be justifiable in light of the revenues generated by any of our product candidates.</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we are unable to establish and maintain adequate sales and marketing capabilities for our product candidates or are unable to do so in a timely manner, we may not be able to generate sufficient product revenues from these product candidates to be profitable.</w:t>
      </w:r>
    </w:p>
    <w:p>
      <w:pPr>
        <w:spacing w:after="0" w:line="18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Final marketing approval of any of our product candidates or additional indications for existing products by the FDA or other regulatory authorities may be delayed, limited, or denied, any of which would adversely affect our ability to generate operating revenues.</w:t>
      </w:r>
    </w:p>
    <w:p>
      <w:pPr>
        <w:spacing w:after="0" w:line="1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business depends on the successful development and commercialization of our product candidates. We are not permitted to market any of our product candidates in the U.S. until we receive approval of an NDA from the FDA, or, in any foreign jurisdiction, from the requisite authority. Satisfaction of regulatory requirements typically takes many years, is dependent upon the type, complexity and novelty of the product and requires the expenditure of substantial resources. We cannot predict whether or when we will obtain regulatory approval to commercialize our product candidates and we cannot, therefore, predict the timing of any future revenues from these product candidates.</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FDA has substantial discretion in the drug approval process, including the ability to delay, limit or deny approval of a product candidate or a prior approval supplement for many reasons. For example, the FDA:</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Could reject or delay the marketing application for an 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Could determine that we cannot rely on Section 505(b)(2) for any of our product candidates;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Could determine that the information provided by us was inadequate, contained clinical deficiencies or otherwise failed to demonstrate the safety and effectiveness of any of our product candidates for any indication;</w:t>
      </w:r>
    </w:p>
    <w:p>
      <w:pPr>
        <w:spacing w:after="0" w:line="199"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May not find the data from bioequivalence studies and/or clinical trials sufficient to support the submission of an NDA or to obtain marketing approval in the U.S., including any findings that the clinical and other benefits of our product candidates outweigh their safety risks;</w:t>
      </w:r>
    </w:p>
    <w:p>
      <w:pPr>
        <w:spacing w:after="0" w:line="152" w:lineRule="exact"/>
        <w:rPr>
          <w:rFonts w:ascii="Arial" w:cs="Arial" w:eastAsia="Arial" w:hAnsi="Arial"/>
          <w:sz w:val="16"/>
          <w:szCs w:val="16"/>
          <w:color w:val="auto"/>
        </w:rPr>
      </w:pPr>
    </w:p>
    <w:p>
      <w:pPr>
        <w:ind w:left="1080" w:right="140" w:hanging="532"/>
        <w:spacing w:after="0" w:line="30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May disagree with our trial design or our interpretation of data from preclinical studies, bioequivalence studies and/or clinical trials, or may change the requirements for approval even after it has reviewed and commented on the design for our trials, the outcome and measurement scale used in the trials, and the clinical protocols whether with or without a special protocol assessment process;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determine that we have identified the wrong reference listed drug or drugs or that approval of our Section 505(b)(2) application of our product candidate is blocked by patent or non-patent exclusivity of the reference listed drug or drugs;</w:t>
      </w:r>
    </w:p>
    <w:p>
      <w:pPr>
        <w:spacing w:after="0" w:line="212" w:lineRule="exact"/>
        <w:rPr>
          <w:rFonts w:ascii="Arial" w:cs="Arial" w:eastAsia="Arial" w:hAnsi="Arial"/>
          <w:sz w:val="18"/>
          <w:szCs w:val="18"/>
          <w:color w:val="auto"/>
        </w:rPr>
      </w:pPr>
    </w:p>
    <w:p>
      <w:pPr>
        <w:jc w:val="both"/>
        <w:ind w:left="1080" w:right="30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identify deficiencies in the manufacturing processes or facilities of third-party manufacturers with which we enter into agreements for the supply of raw materials, including the API or manufactured product candidates used in our product candidates, wherein those deficiencies may result in interruption in the ability to supply product;</w:t>
      </w:r>
    </w:p>
    <w:p>
      <w:pPr>
        <w:spacing w:after="0" w:line="207"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approve our product candidates for fewer or more limited indications than we request, or may grant approval contingent on the performance of costly post-approval clinical trials;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change its approval policies or adopt new regulations; or</w:t>
      </w:r>
    </w:p>
    <w:p>
      <w:pPr>
        <w:spacing w:after="0" w:line="25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May not approve the labeling claims that we believe are necessary or desirable for the successful commercialization of our product candidates, or may approve them with warnings and precautions that could limit the acceptance of our product candidates and their success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not approve the addition of new indications to the label of our existing products.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Notwithstanding the approval of many products by the FDA pursuant to Section 505(b)(1) and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application that we submit.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spacing w:after="0" w:line="17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are subject to uncertainty relating to payment or reimbursement policies which, if not favorable for our products or product candidates, could hinder or prevent our commercial success.</w:t>
      </w:r>
    </w:p>
    <w:p>
      <w:pPr>
        <w:spacing w:after="0" w:line="186" w:lineRule="exact"/>
        <w:rPr>
          <w:sz w:val="20"/>
          <w:szCs w:val="20"/>
          <w:color w:val="auto"/>
        </w:rPr>
      </w:pPr>
    </w:p>
    <w:p>
      <w:pPr>
        <w:jc w:val="both"/>
        <w:ind w:right="320"/>
        <w:spacing w:after="0" w:line="303" w:lineRule="auto"/>
        <w:rPr>
          <w:sz w:val="20"/>
          <w:szCs w:val="20"/>
          <w:color w:val="auto"/>
        </w:rPr>
      </w:pPr>
      <w:r>
        <w:rPr>
          <w:rFonts w:ascii="Arial" w:cs="Arial" w:eastAsia="Arial" w:hAnsi="Arial"/>
          <w:sz w:val="15"/>
          <w:szCs w:val="15"/>
          <w:color w:val="auto"/>
        </w:rPr>
        <w:t>Our ability or our collaborators' ability to successfully commercialize our products, including Oxtellar XR and Trokendi XR and our product candidates, will depend in part on the coverage and reimbursement levels set by governmental authorities, private health insurers, managed care organizations and other third-party payors. As a threshold for coverage and reimbursement, third-party payors generally require that drug products be approved for marketing by the FDA.</w:t>
      </w:r>
    </w:p>
    <w:p>
      <w:pPr>
        <w:spacing w:after="0" w:line="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Third-party payors also are increasingly challenging the effectiveness of and prices charged for medical products and services. Government authorities and these third-party payors have attempted to control costs, in some instances, by limiting coverage and the amount of reimbursement for particular medications or encouraging the use of lower-cost generic products. We cannot be sure that reimbursement will be available for any of the products that we develop and, if reimbursement is available, the level of reimbursement. Moreover, that level of reimbursement may change over time as a result of decisions made by payors. Reduced or partial payment or reduced reimbursement coverage could make our products or product candidates, including Oxtellar XR and Trokendi XR, less attractive to patients and prescribing physicians. We also may be required to sell our products or product candidates at a significant discount, which would adversely affect our ability to realize an appropriate return on our investment in our products or product candidates or to maintain profitability.</w:t>
      </w:r>
    </w:p>
    <w:p>
      <w:pPr>
        <w:spacing w:after="0" w:line="1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expect that private insurers and managed care organizations will consider the efficacy, cost effectiveness and safety of our products or product candidates, including Oxtellar XR and Trokendi XR, in determining whether to approve reimbursement for such products or product candidates and at what level. Moreover, they will consider the efficacy and cost effectiveness of comparable or competitive products in making reimbursement decisions for our products. Because each third-party payor individually approves payment or reimbursement, obtaining these approvals can be a time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consuming and expensive process that could require us to provide scientific or clinical support for the use of each of our products or product candidates separately to each third-party payor. In some cases, it could take several months or years before a particular private insurer or managed care organization reviews a particular product. We may ultimately be unsuccessful in obtaining coverage. Our competitors may have larger organizations, as well as existing business relationships with third-party payors relating to their products. Our business would be materially adversely affected if we do not receive approval for reimbursement of our products or product candidates from private insurers on a timely or satisfactory basis. Our products and product candidates may not be considered cost-effective, and coverage and reimbursement may not be available or sufficient to allow us to sell our products or product candidates on a profitable basis. Our business would also be adversely affected if private insurers, managed care organizations, the Medicare program or other reimbursing bodies or payors limit the indications for which our products or product candidates will be reimbursed.</w:t>
      </w:r>
    </w:p>
    <w:p>
      <w:pPr>
        <w:spacing w:after="0" w:line="17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some foreign jurisdictions, particularly Canada and Europe,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our products or product candidates, if approved, to other available therapies. If reimbursement for our products or product candidates is unavailable in any country in which reimbursement is sought, limited in scope or amount, or if pricing is set at unsatisfactory levels, our business could be materially harmed, and could be unprofitable.</w:t>
      </w:r>
    </w:p>
    <w:p>
      <w:pPr>
        <w:spacing w:after="0" w:line="19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addition, many managed care organizations negotiate the price of products and establish formularies which establish pricing and reimbursement levels. Exclusion of a product from a formulary can lead to its sharply reduced usage in the managed care organization's patient population. If our products or product candidates are not included within an adequate number of formularies or at adequate payment or reimbursement levels, or if those policies increasingly favor generic products, our market share and gross margins could be negatively affected, which would have a material adverse effect on our overall business and financial condition.</w:t>
      </w:r>
    </w:p>
    <w:p>
      <w:pPr>
        <w:spacing w:after="0" w:line="19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expect to experience pricing pressures due to potential healthcare reforms discussed elsewhere in this Annual Report on Form 10-K, as well as due to cost control measures instituted by health maintenance organizations.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develop successfully and market our product candidates would impair our ability to grow.</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part of our growth strategy, we intend to develop and market additional product candidates. We may spend several years completing our development of a particular current or future internal product candidate, during which process we can experience failure at any stage. The product candidates to which we allocate our resources may not be commercially successful. In addition, because our internal research capabilities are limited, we may be dependent upon pharmaceutical companies, academic scientists and other researchers to sell or license products or technology to us. The success of this strategy depends partly upon our ability to identify, select, discover and acquire promising pharmaceutical product candidates and approved products.</w:t>
      </w:r>
    </w:p>
    <w:p>
      <w:pPr>
        <w:spacing w:after="0" w:line="170"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The process of proposing, negotiating and implementing a license or acquiring a product candidate or approved product is lengthy and complex. Other companies, including some with substantially greater financial, marketing and sales resources, may compete with us for the license or the product candidate or approved product. We have limited resources, including financial resources, to identify and execute the acquisition or in-licensing of third-party products, businesses and technologies and to integrate them into our current infrastructure. Moreover, we may devote resources to potential acquisitions or in-licensing opportunities that are never completed, or we may fail to realize the anticipated benefits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such efforts. We may not be able to acquire the rights to additional product candidates on terms that we find acceptable, or at 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to develop acquired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Incurring substantial debt or dilutive issuances of securities or depletion of cash to pay for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Incurring higher than expected acquisition, integration, and operating costs;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Impairing relationships with key suppliers or customers of any acquired businesses due to changes in management and ownership;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retain and/or motivate key employees of any acquired businesses.</w:t>
      </w:r>
    </w:p>
    <w:p>
      <w:pPr>
        <w:spacing w:after="0" w:line="225" w:lineRule="exact"/>
        <w:rPr>
          <w:sz w:val="20"/>
          <w:szCs w:val="20"/>
          <w:color w:val="auto"/>
        </w:rPr>
      </w:pPr>
    </w:p>
    <w:p>
      <w:pPr>
        <w:ind w:right="640"/>
        <w:spacing w:after="0" w:line="370" w:lineRule="auto"/>
        <w:rPr>
          <w:sz w:val="20"/>
          <w:szCs w:val="20"/>
          <w:color w:val="auto"/>
        </w:rPr>
      </w:pPr>
      <w:r>
        <w:rPr>
          <w:rFonts w:ascii="Arial" w:cs="Arial" w:eastAsia="Arial" w:hAnsi="Arial"/>
          <w:sz w:val="15"/>
          <w:szCs w:val="15"/>
          <w:b w:val="1"/>
          <w:bCs w:val="1"/>
          <w:i w:val="1"/>
          <w:iCs w:val="1"/>
          <w:color w:val="auto"/>
        </w:rPr>
        <w:t>We rely on and will continue to rely on outsourcing arrangements for certain of our activities, including clinical research of our product candidates, manufacturing of our compounds and product candidates beyond Phase II clinical trials and the manufacturing of our commercial products.</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rely on outsourcing arrangements for some of our activities, including manufacturing, preclinical and clinical research, data collection and analysis, and electronic submission of regulatory filings. We may have limited control over these third parties and we cannot guarantee that they will perform their obligations in an effective, competent and timely manner. Our reliance on third parties, including third-party clinical research organizations (CROs) and CMOs, entails risks including, but not limited to:</w:t>
      </w:r>
    </w:p>
    <w:p>
      <w:pPr>
        <w:spacing w:after="0" w:line="224"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Non-compliance by third parties with regulatory and quality control standards;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Sanctions imposed by regulatory authorities if compounds supplied or manufactured by a third party supplier or manufacturer fail to comply with applicable regulatory standards;</w:t>
      </w:r>
    </w:p>
    <w:p>
      <w:pPr>
        <w:spacing w:after="0" w:line="199"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Possible breach of the agreements by the CROs or CMOs because of factors beyond our control or the insolvency or other financial difficulties of any of these third parties, labor unrest, natural disasters or other factors adversely affecting their ability to conduct their business;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Termination or non-renewal of an agreement by a third party, at a time that is inconvenient for us, for reasons not entirely under our control.</w:t>
      </w:r>
    </w:p>
    <w:p>
      <w:pPr>
        <w:spacing w:after="0" w:line="2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do not own or operate manufacturing facilities for the production of any of our products or product candidates beyond Phase II clinical trials, nor do we have plans in the foreseeable future to develop our own manufacturing operations for Phase III clinical materials or commercial products. We currently depend on third-party CMOs for all of our required raw materials and drug substance for our preclinical research and clinical trials. For Oxtellar XR and Trokendi XR, we currently rely on single source suppliers for raw materials, including API, and rely on third-party suppliers and manufacturers for the final commercial products. If any of these vendors are unable to perform their obligations to us, including due to violations of the FDA's requirements, our ability to meet regulatory requirements, projected timelines, necessary quality standards for successful manufacture of our development and commercialization product would be adversely affected. Further, if we were required to change vendors, it could result in delays in our regulatory approval efforts and significantly increase our costs. Accordingly, the loss of any of our current or future third-party manufacturers or suppliers could have a material adverse effect on our business, results of operations, financial condition and prospects.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entered into supply agreements for both Oxtellar XR and Trokendi XR with leading CMOs headquartered in North America for the manufacture of the final commercial products. However, there is a risk that the counterparties to these agreements will not perform their respective obligations or will terminate these agreements. We could also become embroiled in disputes with third party manufacturers for Oxtellar XR and Trokendi XR regarding the terms of our agreements, the performance of a CMO or intellectual property rights, any of which could disrupt the sales of our products and adversely affect our reputation and product revenue. In addition, we do not have contractual relationships for the manufacture of commercial supplies for all of our product candidates. The number of third-party manufacturers with the expertise, required regulatory approvals and facilities to manufacture drug substance and final drug product on a commercial scale is limited. Therefore, we may not be able to enter into such arrangements with third-party manufacturers in a timely manner, on acceptable terms, or at all. Failure to secure such contractual arrangements would harm the commercial prospects for our product candidates. Our costs could increase and our ability to generate revenues could be delayed.</w:t>
      </w:r>
    </w:p>
    <w:p>
      <w:pPr>
        <w:spacing w:after="0" w:line="174"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If other versions of extended or controlled release oxcarbazepine or topiramate are approved and successfully commercialized, our business could be materially harmed.</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Third parties have and may receive approval to manufacture and market their own versions of extended release oxcarbazepine or topiramate AEDs in the U.S. For example, Upsher-Smith launched Qudexy XR (extended release topiramate) and its own authorized generic, both of which compete with Trokendi XR. Since Trokendi XR was not granted marketing exclusivity by the FDA, we may not be able to prevent the submission or approval of another full NDA for any competitor's extended or controlled release topiramate product candidate. However, we do have the right to defend our products against third parties who may infringe or are infringing our patents.</w:t>
      </w:r>
    </w:p>
    <w:p>
      <w:pPr>
        <w:spacing w:after="0" w:line="19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addition, we are aware of companies who are marketing modified-release oxcarbazepine products outside of the U.S., such as Apydan, which is developed by Desitin Arzneimittel GmbH and requires twice-daily administration. If companies with modified-release oxcarbazepine products outside of the U.S. pursue or obtain approval of their products within the U.S., such competing products may limit the potential success of Oxtellar XR in the U.S., and our business and growth prospects would be materially impaired. Accordingly, if any third party is successful in obtaining approval to manufacture and market its own version of extended release oxcarbazepine or topiramate in the U.S., we may not be able to recover expenses incurred in connection with the development of or prospectively realize revenues from Oxtellar XR or Trokendi XR.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marketing exclusivity for our product candidates, our business may suffer.</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Under the Hatch-Waxman Amendments, three years of marketing exclusivity may be granted for the approval of new and supplemental NDAs, including Section 505(b)(2) applications, for, among other things, new indications, dosage forms, routes of administration, strengths of an existing drug or for a new use, if the new clinical investigations that were conducted or sponsored by the applicant are determined by the FDA to be essential to the approval of the application. This exclusivity, which is sometimes referred to as clinical investigation exclusivity, prevents the FDA from approving an application under Section 505(b)(2) for the same conditions of use associated with the new clinical investigations before the expiration of three years from the date of approval. Such exclusivity, however, would not prevent the approval of another application if the applicant submits a Section 505(b)(1) NDA and has conducted its own adequate, well-controlled clinical trials demonstrating safety and efficacy, nor would it prevent approval of a generic product or Section 505(b)(2) product that did not incorporate the exclusivity-protected changes of the approved drug product.</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Under the Hatch-Waxman Amendments, newly-approved drugs and indications may also benefit from a statutory period of non-patent marketing exclusivity. The Hatch-Waxman Amendments provide five-year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marketing exclusivity to the first applicant to gain approval of an NDA for an NCE, meaning that the FDA has not previously approved any other drug containing the same API, or active moiety, which is the molecule responsible for the action of the drug substance. Although protection under the Hatch-Waxman Amendments will not prevent the submission or approval of another full Section 505(b)(1) NDA, such an NDA applicant would be required to conduct its own preclinical and adequate, well-controlled clinical trials to demonstrate safety and effectiveness.</w:t>
      </w:r>
    </w:p>
    <w:p>
      <w:pPr>
        <w:spacing w:after="0" w:line="19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While the FDA granted a three year marketing exclusivity period for Oxtellar XR, it did not grant a similar marketing exclusivity period for Trokendi XR. If we are unable to obtain marketing exclusivity for our subsequent product candidates, then our competitors may obtain approval of competing products more easily than if we had such marketing exclusivity, and our future revenues could be reduced, possibly materially.</w:t>
      </w:r>
    </w:p>
    <w:p>
      <w:pPr>
        <w:spacing w:after="0" w:line="16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We face significant competition in attracting and retaining talented employees. Further, managing succession for, and retention of, key executives is critical to our success, and our failure to do so could have an adverse impact on our future performance.</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may not be able to attract or motivate qualified management and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and motivate necessary personnel to accomplish our business objectives, we may experience constraints that will significantly impede the achievement of our objectives.</w:t>
      </w:r>
    </w:p>
    <w:p>
      <w:pPr>
        <w:spacing w:after="0" w:line="19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Effective succession planning is also important to our long-term success. Failure to ensure effective transfer of knowledge and smooth transitions involving key employees and members of our management team could hinder our strategic planning and execution. In addition, our failure to adequately plan for succession of senior management and other key management roles or the failure of key employees to successfully transition into new roles could have a material adverse effect on our business and results of operations.</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are highly dependent on the development, regulatory, commercial and financial expertise of our management, particularly Jack A. Khattar, our President and Chief Executive Officer. Mr. Khattar has an employment agreement and other members of the senior management team have executive retention agreements, but these agreements do not guarantee the services of these executives will continue to be available to us. If we lose key members of our management team, we may not be able to find suitable replacements in a timely fashion, if at all. We cannot be certain that future management transitions will not disrupt our operations or generate concern among employees and those with whom we do business.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competition for personnel, our corporate offices are located in the greater Washington D.C. metropolitan area, an area that is characterized by a high cost of living. As such, we could have difficulty attracting experienced personnel to our Company and may be required to expend significant financial resources in our employee recruitment efforts.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competitors develop or market alternatives for treatments of our target indications, our commercial opportunities will be reduced or eliminated.</w:t>
      </w:r>
    </w:p>
    <w:p>
      <w:pPr>
        <w:spacing w:after="0" w:line="24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pharmaceutical industry is characterized by rapidly advancing technologies, intense competition and a strong emphasis on proprietary therapeutics. We face competition from a number of sources, some of which may target the same indications as our products and product candidates, including large pharmaceutical companies, smaller pharmaceutical companies, biotechnology companies, academic institutions, government agencies and private and public research institutions. The availability of new products or approval for new indications for existing products may limit the demand for and the price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able to charge for any of our products. We may be unable to differentiate our products from competitive offerings. In addition to competition with our currently marketed products, we anticipate that we will face intense competition when our pipeline product candidates are approved by regulatory authorities and we begin the commercialization process for these products.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are currently no marketed products and no known products in development for the treatment of IA in patients with ADHD, autism, or PTSD. However, the off-label use of risperidone (Risperdal) and aripiprazole (Abilify) to treat these conditions is common. These products are approved for irritability in autism which, as a result, may influence use of products to treat IA in patients with ADHD.</w:t>
      </w:r>
    </w:p>
    <w:p>
      <w:pPr>
        <w:spacing w:after="0" w:line="19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addition, we are aware of several companies that have various product candidates under development for ADHD which may compete with our SPN-812 product candidate. Such companies include Sunovion, Ironshore/Highland and Otsuka.</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new developments, including the development of other drug technologies, may render our products or product candidates obsolete or noncompetitive. As a result, our products and product candidates may become obsolete before we recover expenses incurred in connection with their development or realize revenues from commercialization. Further, many competitors have substantially greater:</w:t>
      </w:r>
    </w:p>
    <w:p>
      <w:pPr>
        <w:spacing w:after="0" w:line="208"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and development resources and experience, including personnel and technology;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Drug development, clinical trial and regulatory resources and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and marketing resources and experience;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and distribution resources and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 recognition;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Resources, experience and expertise in prosecution and enforcement of intellectual property rights.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we are able to or may obtain patent protection or other intellectual property rights that limit or block us from developing or commercializing our product candidates. Our competitors may also develop drugs that are more effective, more useful, better tolerated, subject to fewer or less severe side effects, more widely prescribed or accepted or less costly than ours and may also be more successful than us in manufacturing and marketing their products. If we are unable to compete effectively with the products of our competitors or if such competitors are successful in developing products that compete with any of our product candidates that are approved, our business, results of operations, financial condition and prospects may be materially and adversely affected. Mergers and acquisitions in the pharmaceutical industry may result in even more resources being concentrated at competitors. Competition may increase further as a result of advances made in the commercial applicability of technologies and greater availability of capital for investment.</w:t>
      </w:r>
    </w:p>
    <w:p>
      <w:pPr>
        <w:spacing w:after="0" w:line="1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products and our product candidates may be subject to restrictions or withdrawal from the market. We may be subject to penalties if we fail to comply with regulatory requirements.</w:t>
      </w:r>
    </w:p>
    <w:p>
      <w:pPr>
        <w:spacing w:after="0" w:line="18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Even though U.S. regulatory approval has been obtained for Trokendi XR and Oxtellar XR, the FDA may still impose significant restrictions on their indicated uses or marketing or impose ongoing requirements for costly post-approval studies. For example, both Trokendi XR and Oxtellar XR were approved on the basis of post-approval commitments, including that we develop additional age-appropriate formulations of the drugs and conduct post-approval clinical studies in accordance with certain timelines laid out in the approval letters. Although we have made significant efforts to meet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these timelines, in certain cases we have been unable to meet these timelines. The commitments required the creation of new drug product formulations, which we have not been able to accomplish in the original timeline. To date, the only consequence of our failure to meet our PREA commitment deadlines has been a notation on FDA websites devoted to making the status of PREA commitments publicly known. We are also required to conduct an additional post-approval study with respect to Trokendi XR for the treatment of prophylaxis of migraine. If we do not meet our post-marketing commitments and are unable to show good cause for our inability to adhere to the timetables laid out in the approval letters, the FDA could take enforcement action against us, including withdrawal of approval. While we believe that we can show good cause for our inability to meet the timelines for our post-approval study requirements, the FDA may disagree.</w:t>
      </w:r>
    </w:p>
    <w:p>
      <w:pPr>
        <w:spacing w:after="0" w:line="1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product candidates would also be, and our approved product and our collaborators' approved products are, subject to ongoing FDA requirements governing the labeling, packaging, storage, advertising, promotion, recordkeeping and submission of safety and other information. In addition, manufacturers of drug products and their facilities are subject to continual review and periodic inspections by the FDA and other regulatory authorities for compliance with current good manufacturing practice (cGMP) regulations. If we, our collaborators or a regulatory authority discovers previously unknown problems with a product, including side effects that are unanticipated in severity or frequency, or problems with the facility where the product is manufactured, a regulatory authority may impose restrictions on that product or the manufacturer, including requiring withdrawal of the product from the market or suspension of manufacturing. If we or our collaborators, or our or our collaborators' approved products or product candidates, or the manufacturing facilities for our or our collaborators' approved products or product candidates fail to comply with applicable regulatory requirements, a regulatory authority may:</w:t>
      </w:r>
    </w:p>
    <w:p>
      <w:pPr>
        <w:spacing w:after="0" w:line="186"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ongoing bioequivalence and/or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Impose restrictions on operations, including costly new manufacturing requirements, or suspension of production for a sustained period of time;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Seize or detain products or require us to initiate a product recall.</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addition, our product labeling, advertising and promotion of our approved products, are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Notwithstanding, physicians may nevertheless prescribe our products to their patients in a manner that is inconsistent with the approved label, which is known as "off label use". The FDA and other authorities actively enforce the laws and regulations prohibiting the promotion of off-label uses, and a company that is found to have promoted off-label uses may be subject to significant sanctions. For example, on October 31, 2016 the FDA sent us an untitled letter alleging that certain marketing claims made in a promotional video for Oxtellar XR suggested that the drug was intended for uses outside its FDA-approved label. Following receipt of the untitled letter, we removed the promotional video in question and revised other promotional materials for Oxtellar XR as a precautionary measure, and FDA closed the matter. The federal government has levied large civil and criminal fines against companies for alleged improper promotion and has enjoined several companies from engaging in off-label promotion. If we are found to have promoted off-label uses, we may be enjoined from such</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off-label promotion and become subject to significant liability, which would have an adverse effect on our reputation, business and revenues, if any.</w:t>
      </w:r>
    </w:p>
    <w:p>
      <w:pPr>
        <w:spacing w:after="0" w:line="2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Further, the FDA's policies may change and additional government regulations may be enacted that could affect our products or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If we fail to produce our products and product candidates in the volumes that we require on a timely basis, or fail to comply with stringent regulations applicable to pharmaceutical drug manufacturers, we may face delays in the development and commercialization of our products and product candidates, or be required to withdraw products from the market.</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do not currently own or operate manufacturing facilities for the production of any of our products or for the commercial production of our product candidates, nor do we have plans to develop our own manufacturing operations for commercial products in the foreseeable future. We currently depend on third-party contract manufacturers for the supply of the APIs for our products and product candidates, including drug substance for our preclinical research and clinical trials. For Oxtellar XR and Trokendi XR, we currently rely on single source suppliers for raw materials, including API. We rely on single manufacturers to produce and package final dosage forms. Any future curtailment in the availability of raw materials could result in production or other delays with consequent adverse business effects. In addition, because regulatory authorities must generally approve raw material sources for pharmaceutical products, changes in raw material suppliers may result in production delays or higher raw material costs.</w:t>
      </w:r>
    </w:p>
    <w:p>
      <w:pPr>
        <w:spacing w:after="0" w:line="17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manufacture of pharmaceutical products requires significant expertise and capital investment, including the development of advanced manufacturing techniques and process controls. Pharmaceutical companies often encounter difficulties in manufacturing, particularly in scaling up production of their products. These problems include manufacturing difficulties relating to production costs and yields, quality control, stability of the product and quality assurance testing, shortages of qualified personnel, as well as compliance with federal, state and foreign regulations. If we are unable to demonstrate stability in accordance with commercial requirements, or if our manufacturers were to encounter difficulties or otherwise fail to comply with their obligations to us, our ability to maintain or obtain FDA approval and to market our products and product candidates, respectively, would be jeopardized. In addition, any delay or interruption in producing clinical trial supplies could delay or prohibit the completion of our clinical trials, increase the costs associated with conducting our clinical trials and, depending upon the period of delay, require us to commence new trials at significant additional expense, or to terminate a trial.</w:t>
      </w:r>
    </w:p>
    <w:p>
      <w:pPr>
        <w:spacing w:after="0" w:line="17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Manufacturers of pharmaceutical products need to comply with cGMP requirements and other requirements as enforced by the FDA, including electronic tracking and submission. These requirements include quality control, quality assurance and the maintenance of records and documentation. Manufacturers of our products and product candidates may be unable to comply with these cGMP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products or product candidates is compromised due to failure to adhere to applicable laws or for other reasons, we may not be able to obtain regulatory approval for such product candidate or successfully commercialize such products, and we may be held liable for any injuries sustained as a result. Any of these factors could cause a delay in clinical development, regulatory submissions, approvals or commercialization of our product candidates, entail higher costs or result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our being unable to effectively commercialize our product candidates. Furthermore, if we fail to obtain the required commercial quantities on a timely basis from our suppliers and at commercially reasonable prices, we may be unable to meet demand for our approved products, and consequently lose potential revenues.</w:t>
      </w:r>
    </w:p>
    <w:p>
      <w:pPr>
        <w:spacing w:after="0" w:line="139"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b w:val="1"/>
          <w:bCs w:val="1"/>
          <w:i w:val="1"/>
          <w:iCs w:val="1"/>
          <w:color w:val="auto"/>
        </w:rPr>
        <w:t>We depend on wholesalers and distributors for retail distribution of Oxtellar XR and Trokendi XR; if we lose any of our significant wholesalers or distributors, our business could be harmed.</w:t>
      </w:r>
    </w:p>
    <w:p>
      <w:pPr>
        <w:spacing w:after="0" w:line="18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majority of our sales of Oxtellar XR and Trokendi XR are to wholesalers and distributors who, in turn, sell the products to pharmacies, hospitals and other customers. For the year ended December 31, 2017, three wholesale pharmaceutical distributors, AmerisourceBergen Drug Corporation, Cardinal Health, Inc. and McKesson Corporation, individually accounted for more than 10% of our total revenue in 2017, and collectively accounted for 97% of our total revenue in 2017. The loss by us of any of these wholesale pharmaceutical distributors' accounts or a material reduction in their purchases could have a material adverse effect on our business, results of operations, financial condition and prospects.</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these wholesale customers comprise a significant part of the distribution network for pharmaceutical products in the United States. This distribution network has undergone, and may continue to undergo, significant consolidation marked by mergers and acquisitions. As a result, a small number of large wholesale distributors control a significant share of the market. Consolidation of drug wholesalers has increased, and may continue to increase, competitive and pricing pressures on pharmaceutical products. We cannot assure you that we can manage these pricing pressures or that wholesaler purchases will not fluctuate unexpectedly from period to period.</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sales of Oxtellar XR and Trokendi XR can be greatly affected by the inventory levels our respective wholesalers carry. We monitor wholesaler inventory of Oxtellar XR and Trokendi XR using a combination of methods. Pursuant to distribution service agreements with our three largest wholesale customers, we receive inventory level reports. For most other wholesalers where we do not receive inventory level reports, however, our estimates of wholesaler inventories may differ significantly from actual inventory levels. Significant differences between actual and estimated inventory levels may result in excessive production (requiring us to hold substantial quantities of unsold inventory), inadequate supplies of products in distribution channels, and insufficient product available at the retail level. These changes may cause our revenues to fluctuate significantly from quarter to quarter, and in some cases may cause our operating results for a particular quarter to be below our expectations or the expectations of securities analysts or investors. In addition, at times, wholesaler purchases may exceed customer demand, resulting in reduced wholesaler purchases in later quarters, which may result in substantial fluctuations in our results of operations from period to period. If our financial results are below expectations for a particular period, the market price of our common stock may drop significantly.</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the FDA or other applicable regulatory authorities approve generic products that compete with any of our products or product candidates, the sales of those products or product candidates would be adversely affected.</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Once an NDA, including a Section 505(b)(2) application, is approved, the product covered thereby becomes a "listed drug" which can be cited by potential competitors in support of approval of an ANDA. FDCA, FDA regulations and other applicable regulations and policies provide incentives to manufacturers to create modified, non-infringing versions of a drug to facilitate the approval of an ANDA or other application for generic substitutes. These manufacturers might only be required to conduct a relatively inexpensive study to show that their product has the same active ingredient(s), dosage form, strength, route of administration, and conditions of use or labeling, as our product or product candidate and that the generic product is bioequivalent to our product. Bioequivalence implies that a product is absorbed in the body at the same rate and to the same extent as our product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product candidate. These generic equivalents, which must meet the same quality standards as branded pharmaceuticals, would be significantly less costly than ours to bring to market. Companies that produce generic equivalents are generally able to offer their products at lower prices. Thus, regardless of the regulatory approval pathway, after the introduction of a generic competitor, a significant percentage of the sales of any branded product are typically lost to the generic product, through both price and volume erosion. Accordingly, competition from generic equivalents would materially, permanently and adversely impact our revenues, profitability and cash flows and substantially limit our ability to obtain a return on the investments we have made in our products and product candidates. In particular, as disclosed in Part I, Item 3—Legal Proceedings of this Annual Report on Form 10-K, we received Paragraph IV Notice Letters against our Oxtellar XR and Trokendi XR Orange Book patents from several generic drug makers. We filed a lawsuit against each of these drug makers alleging infringement of our Oxtellar XR and Trokendi XR patents. In March 2017, we signed settlement agreements with two generic drug makers, Actavis and Zydus, concerning our Trokendi XR patents. In August 2017, the U.S. District Court ruled in our favor against TWi concerning Oxtellar XR patents. TWi filed a Notice of Appeal to the United States Court of Appeals for the Federal Circuit. While we intend to vigorously defend our product rights against TWi concerning Oxtellar XR patents, in the event that we are not successful in the lawsuit, our future sales of Oxtellar XR will be significantly, adversely and permanently affected by competition from this generic drug.</w:t>
      </w:r>
    </w:p>
    <w:p>
      <w:pPr>
        <w:spacing w:after="0" w:line="17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intend to rely on third-party collaborators to market and commercialize our products and product candidates outside the U.S., who may fail to effectively commercialize our products and product candidates.</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Outside the U.S., we utilize strategic partners where appropriate to assist in the commercialization of our products and product candidates. We currently possess limited resources and may not be successful in establishing collaborations or licensing arrangements on acceptable terms, if at all. We also face competition in our search for collaborators and licensing partners. By entering into strategic collaborations or similar arrangements, we will rely on third parties for financial resources and for development, commercialization, sales and marketing and regulatory expertise. Our collaborators may fail to develop or effectively commercialize our products or product candidates because they cannot obtain the necessary regulatory approvals, they lack adequate financial or other resources or they decide to focus on other initiatives. Any failure of our third-party collaborators to successfully market and commercialize our products or product candidates outside the U.S. would diminish our revenues and harm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Limitations on our patent rights relating to our products and product candidates may limit our ability to prevent third parties from competing against us.</w:t>
      </w:r>
    </w:p>
    <w:p>
      <w:pPr>
        <w:spacing w:after="0" w:line="26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To a significant degree, our success will depend on our ability to obtain and maintain patent protection for our proprietary technologies and our products and product candidates, preserve our trade secrets, prevent third parties from infringing upon our proprietary rights and operate without infringing upon the proprietary rights of others. To that end, we seek patent protection in the U.S. and internationally for our products and product candidates. Our policy is to actively seek to protect our proprietary position by, among other things, filing patent applications in the U.S. and abroad (including Europe, Canada and certain other countries when appropriate) relating to proprietary technologies that are important to the development of our business.</w:t>
      </w:r>
    </w:p>
    <w:p>
      <w:pPr>
        <w:spacing w:after="0" w:line="17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strength of patents in the pharmaceutical industry involves complex legal and scientific questions and can have uncertain results. Patent applications in the U.S. and most other countries are confidential for a period of time until they are published, and publication of discoveries in scientific or patent literature typically lags actual discoveries by several months or more. As a result, we cannot be certain that we were the first to conceive inventions covered by our patents and pending patent applications or that we were the first to file patent applications for such inventions. In addition, we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cannot be certain that our patent applications will be granted, that any issued patents will adequately protect our intellectual property or that such patents will not be challenged, narrowed, invalidated or circumvented.</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It is possible that technology relevant to our business will be independently developed by a person that is not a party to such an agreement. Furthermore, if the employees and consultants that are parties to these agreements breach or violate the terms of these agreements, we may not have adequate remedies, and we could lose our trade secrets through such breaches or violations. Further, our trade secrets could otherwise become known or be independently discovered by our competitors. Any failure to adequately prevent disclosure of our trade secrets and other proprietary information could have a material adverse impact on our business.</w:t>
      </w:r>
    </w:p>
    <w:p>
      <w:pPr>
        <w:spacing w:after="0" w:line="1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addition, the laws of certain foreign countries do not protect proprietary rights to the same extent or in the same manner as the U.S., and therefore we may encounter problems in protecting and defending our intellectual property in certain foreign jurisdictions.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it could be costly and time consuming to defend such a suit. An unfavorable outcome in that litigation could have a material adverse effect on our business.</w:t>
      </w:r>
    </w:p>
    <w:p>
      <w:pPr>
        <w:spacing w:after="0" w:line="18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approved products and our product candidates and use our proprietary technologies without infringing the proprietary rights of third parties. Numerous U.S. and foreign issued patents and pending patent applications, which are owned by third parties, exist in the fields in which we and our collaborators are developing product candidates. As the pharmaceutical industry expands and more patents are issued, the risk increases that our collaborators' approved products or our product candidates may give rise to claims of infringement of the patent rights of others. There may be issued patents of third parties of which we are currently unaware that may be infringed by our collaborators' approved products or Oxtellar XR or Trokendi XR, which could prevent us from being able to maximize revenue generated by our products or our product candidates. Because patent applications can take many years to issue, there may be currently pending patent applications which may later result in issued patents that our collaborators' approved products or our product candidates may infringe.</w:t>
      </w:r>
    </w:p>
    <w:p>
      <w:pPr>
        <w:spacing w:after="0" w:line="17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may be exposed to, or threatened with, future litigation by third parties alleging that our collaborators' approved products or our products or product candidates infringe their intellectual property rights. If one of our collaborators' approved products or our products or product candidates is found to infringe the intellectual property rights of a third party, we or our collaborators could be enjoined by a court and required to pay damages. We could be unable to commercialize the applicable approved products and product candidates unless we obtain a license to the patent. A license may not be available to us on acceptable terms, if at all. In addition, during litigation, the patent holder could obtain a preliminary injunction or other equitable relief which could prohibit us from making, using or selling our approved products prior to a trial. Such a trial may not occur for several years.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pharmaceutical industry generally. If a third party claims that we or our collaborators infringe its intellectual property rights, we may face a number of issues, including, but not limited to:</w:t>
      </w:r>
    </w:p>
    <w:p>
      <w:pPr>
        <w:spacing w:after="0" w:line="153" w:lineRule="exact"/>
        <w:rPr>
          <w:sz w:val="20"/>
          <w:szCs w:val="20"/>
          <w:color w:val="auto"/>
        </w:rPr>
      </w:pPr>
    </w:p>
    <w:p>
      <w:pPr>
        <w:ind w:left="1080" w:right="2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212"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Substantial damages for infringement, which we may have to pay if a court decides that the product at issue infringes on or violates the third party's rights. If the court finds that the infringement was willful, we could be ordered to pay treble damages and the patent owner's attorneys' fees;</w:t>
      </w:r>
    </w:p>
    <w:p>
      <w:pPr>
        <w:spacing w:after="0" w:line="129"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Court rulings prohibiting us from selling our products or product candidate unless the third party licenses its rights to us, which it is not required to do;</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fees or grant cross-licenses to our intellectual property rights; and</w:t>
      </w:r>
    </w:p>
    <w:p>
      <w:pPr>
        <w:spacing w:after="0" w:line="212"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Redesigning our products or product candidates so they do not infringe, which may not be possible or may require substantial monetary expenditures and time.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collaborators to work with us to develop, manufacture and commercialize their and our products and product candidates.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have a license agreement with United Therapeutics Corporation to use one of our proprietary technologies for an oral formulation of treprostinil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diethanolamine, or treprostinil, for the treatment of pulmonary arterial hypertension, as well as for other indications. United Therapeutics Corporation launched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Orenitram (treprostinil) in 2014, which triggered a milestone payment to us of $2.0 million. In the third quarter of 2014, we received a cash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 million as a result of HealthCare Royalty Partners III, L.P.'s (HC Royalty) purchase of certain of our rights under our license agreement with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Therapeutics Corporation related to the commercialization of Orenitram. We will retain full ownership of the royalty rights if a certain cumulative threshold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to HC Royalty is reached. We are entitled to receive milestones and royalties for use of this formulation in other indications. If we materially breach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obligations under the license agreement, we could lose the right to receive any future royalty payments thereunder, which could be financially significant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1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future collaboration agreements may have the effect of limiting the areas of research and development that we may pursue, either alone or in collaboration with third parties. Much of the potential revenues from these future collaborations may consist of contingent payments, such as payments for achieving development milestones and royalties payable on sales of developed products. The milestone and royalty revenues that we may receive under these collaborations will depend upon our collaborators' ability to successfully develop, introduce, market and sell new products. Future collaboration partners may fail to develop or effectively commercialize products using our products, product candidates or technologies because they, among other things, may:</w:t>
      </w:r>
    </w:p>
    <w:p>
      <w:pPr>
        <w:spacing w:after="0" w:line="183" w:lineRule="exact"/>
        <w:rPr>
          <w:sz w:val="20"/>
          <w:szCs w:val="20"/>
          <w:color w:val="auto"/>
        </w:rPr>
      </w:pPr>
    </w:p>
    <w:p>
      <w:pPr>
        <w:ind w:left="1080" w:right="60" w:hanging="532"/>
        <w:spacing w:after="0" w:line="255"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the focus of their development and commercialization efforts or may have insufficient resources to effectively develop our product candidates. Pharmaceutical and biotechnology companies historically have re-evaluated their development and commercialization priorities following mergers and consolidations, which have been common in recent years. The ability of some of our product candidates to reach their potential could be limited if our future collaborators decrease or fail to increase development or commercialization efforts related to those product candidates;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6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Decide not to devote the necessary resources due to internal constraints, such as limited personnel with the requisite scientific expertise or limited cash resources, or the belief that other internal drug development programs may have a higher likelihood of obtaining marketing approval or may potentially generate a greater return on investment;</w:t>
      </w:r>
    </w:p>
    <w:p>
      <w:pPr>
        <w:spacing w:after="0" w:line="221"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commercialize, either alone or with others, drugs that are similar to or competitive with the product candidates that are the subject of their collaboration with 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 have sufficient resources necessary to carry the product candidate through clinical development, marketing approval and commercialization;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 to comply with applicable regulatory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unable to obtain the necessary marketing approvals;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Breach or terminate their arrangement with us.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collaboration partners fail to develop or fail to effectively commercialize our products for any of these reasons, we may not be able to replace the collaboration partner with another partner to develop and commercialize the product under the terms of the collaboration. Further, even if we are able to replace the collaboration partner, we may not be able to do so on commercially favorable terms. As a result, the development and commercialization of the affected product or product candidate could be delayed, curtailed or terminated because we may not have sufficient financial resources or capabilities to continue development and commercialization of the product candidate on our own.</w:t>
      </w:r>
    </w:p>
    <w:p>
      <w:pPr>
        <w:spacing w:after="0" w:line="19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We have in-licensed or acquired a portion of our intellectual property necessary to develop certain of our psychiatry product candidates. If we fail to comply with our obligations under any of these arrangements, we could lose such licenses or intellectual property rights.</w:t>
      </w:r>
    </w:p>
    <w:p>
      <w:pPr>
        <w:spacing w:after="0" w:line="13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a party to and rely on several arrangements with third parties, such as those with Afecta and Rune, which give us rights to intellectual property that are necessary for the development of certain of our product candidates, including SPN-810 and SPN-809, respectively. In addition, we may enter into similar arrangements in the future for other product candidates. Our current arrangements impose various development, financial and other obligations on us. If we materially breach these obligations or if Afecta or Rune fail to adequately perform their respective obligations, these exclusive arrangements could be terminated, which would result in our inability to develop, manufacture and sell products that are covered by such intellectual property.</w:t>
      </w:r>
    </w:p>
    <w:p>
      <w:pPr>
        <w:spacing w:after="0" w:line="17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in the U.S., we or our collaborators may never receive approval to commercialize our product candidates outside of the U.S.</w:t>
      </w:r>
    </w:p>
    <w:p>
      <w:pPr>
        <w:spacing w:after="0" w:line="18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 market any products outside of the U.S., we must establish and comply with numerous and varying regulatory requirements of other jurisdictions regarding safety and efficacy. Approval procedures vary among jurisdictions and can involve product testing and administrative review periods different from, and greater than those in the U.S. The time required to obtain approval in other jurisdictions might differ from that required to obtain FDA approval. The regulatory approval process in other jurisdictions may include all of the risks detailed above regarding FDA approval in the U.S. as well as other risks. For example, legislation analogous to Section 505(b)(2) of the FDCA in the U.S., which relates to the ability of an NDA applicant to use published data not developed by such applicant, may not exist in other countries. In territories where data is not freely available, we may not have the ability to commercialize our products without negotiating rights from third parties to refer to their clinical data in our regulatory applications, which could require the expenditure of significant additional funds and time.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In addition, regulatory approval in one jurisdiction does not ensure regulatory approval in another, but a failure or delay in obtaining regulatory approval in one jurisdiction may have a negative effect on the regulatory processes in others. Failure to obtain regulatory approvals in other jurisdictions or any delay or setback in obtaining such approvals could have the same adverse effects detailed above regarding FDA approval. As described above, such effects include the risks that any of our product candidates may not be approved for all indications requested, which could limit the uses of our product candidates and have an adverse effect on their commercial potential or require costly post-marketing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our products and product candidates.</w:t>
      </w:r>
    </w:p>
    <w:p>
      <w:pPr>
        <w:spacing w:after="0" w:line="225"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Government agencies promulgate regulations and guidelines directly applicable to us and to our products and product candidates. In addition, professional societies, practice management groups, private health and science foundations and organizations involved in various diseases from time to time may also publish guidelines or recommendations to the health care and patient communities. Recommendations of government agencies or these other groups or organizations may relate to such matters as usage, dosage, route of administration and use of concomitant therapies. Recommendations or guidelines suggesting the reduced use of our products or the use of competitive or alternative products that are followed by patients and health care providers could result in decreased use of our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successful claims are brought against us, we may incur substantial liabilities.</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use of our product candidates in clinical trials and the sale of any of our products expose us to the risk of product liability claims. Product liability claims might be brought against us by consumers, healthcare providers or others selling or otherwise coming into contact with our products and product candidates. If we cannot successfully defend ourselves against product liability claims, we could incur substantial liabilities. In addition, product liability claims may result in:</w:t>
      </w:r>
    </w:p>
    <w:p>
      <w:pPr>
        <w:spacing w:after="0" w:line="174"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any product that has received approval and is being commercialized;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of our business reputation and exposure to adverse publicity;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bioequivalence and/or clinical trial participants;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commercialize products for which we obtain marketing approval.</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product liability insurance coverage for our clinical trials is limited to $15 million per claim and $15 million in the aggregate, and covers bodily injury and property damage arising from our clinical trials, subject to industry-standard terms, conditions and exclusions. Our insurance coverage may not be sufficient to reimburse us for all expenses or losses we may suffer. Moreover, insurance coverage is becoming increasingly expensive, and, in the future, we may not be able to maintain insurance coverage at a reasonable cost or in sufficient amounts to protect us against losses. On occasion, large judgments have been awarded in class action lawsuits based on drugs that had unanticipated side effects. A successful product liability claim or series of claims brought against us could cause our stock price to decline. If judgments exceed our insurance coverage, our cash balance could decrease and adversely affect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our products or product candidates.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U.S. government (federal and certain states) and other non-U.S. governments have shown significant and increased interest in pursuing healthcare reform and changes to the delivery system. Government-adopted reform measures could adversely impact the pricing of healthcare products and services in the U.S. or internationally and adversely impact the amount of reimbursement available from governmental agencies or commercial third-party payors. The continuing efforts of the U.S. and foreign governments, insurance companies, managed care organizations, employers and other payors of healthcare services to contain or reduce health care costs may adversely affect our ability to set prices for any approved product or to increase price once launched. These initiatives could adversely impact our ability to generate revenues and achieve and maintain profitability.</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both the U. S. (federal and certain states) and some foreign jurisdictions, there have been a number of legislative and regulatory proposals and initiatives to change the health care system in ways that could adversely affect our ability to sell any approved product profitably. Some of these proposed reforms could result in reduced reimbursement rates for our products, which would adversely affect our business strategy, operations and financial results. In March 2010, President Obama signed into law a comprehensive change to the U.S. healthcare system, known as the Patient Protection and Affordable Care Act of 2010, as amended by the HealthCare and Education Reconciliation Act of 2010. These laws and their regulations, which we refer to collectively as the HealthCare Reform Law, have far reaching consequences for pharmaceutical companies like us, and possible revisions to the HealthCare Reform Law are the subject of ongoing legislative debates.</w:t>
      </w: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HealthCare Reform Law has continued the downward pressure on pharmaceutical pricing, especially under the Medicare and Medicaid programs, and increased the industry's regulatory burdens and operating costs. Among the provisions of the HealthCare Reform Law of importance to our products and product candidates are the following:</w:t>
      </w:r>
    </w:p>
    <w:p>
      <w:pPr>
        <w:spacing w:after="0" w:line="208" w:lineRule="exact"/>
        <w:rPr>
          <w:sz w:val="20"/>
          <w:szCs w:val="20"/>
          <w:color w:val="auto"/>
        </w:rPr>
      </w:pPr>
    </w:p>
    <w:p>
      <w:pPr>
        <w:ind w:left="1080" w:right="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 payable to the U.S. federal government based on each company's market share of prior year total sales of branded products to certain federal healthcare programs;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19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Affordable Care Act. The Trump Administration and U.S. Congress have attempted and will likely continue to seek to modify, repeal, or otherwise invalidate all, or certain provisions of, the Affordable Care Act. Since January 2017, President Trump has signed two Executive Orders and other directives designed to delay, circumvent or loosen the implementation of certain provisions mandated by the Affordable Care Act that would impose a fiscal or regulatory burden on states, individuals, healthcare providers, health insurers, or manufacturers of pharmaceuticals or otherwise circumvent some of the requirements for health insurance mandated by the Affordable Care Act. Concurrently, Congress has considered legislation that would repeal or repeal and replace all or part of the Affordable Care Act. While Congress has not passed repeal legislation, on December 22, 2017, the President signed the Tax Cuts and Jobs Act (Tax Act), which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Additionally, on January 23,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Congress may consider other legislation to repeal or replace elements of the Affordable Care Act. It is difficult to predict the extent to which any of these changes to the Affordable Care Act, or additional changes, if made, may impact our business or financial condition.</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other legislative changes have been adopted since the Affordable Care Act was enacted. These changes include aggregate reductions in Medicare payments to providers of 2% per fiscal year, which went into effect on April 1, 2013 and, due to subsequent legislative amendments to the statute, will remain in effect through 2025 unless additional Congressional action is taken. The American Taxpayer Relief Act of 2012 also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 More recently, there have been several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Legally mandated price controls on payment amounts by third-party payors or other restrictions could harm our business, results of operations, financial condition and prospects or prevent us from being able to commercialize our products.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In 2012, the Food and Drug Administration Safety and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Innovation Act was enacted, expanding drug supply chain requirements and strengthening FDA's response to drug shortages, as well as other changes.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any approved product. The Drug Quality and Security Act (DQSA) became law in 2013. The DQSA creates the requirement for companies to trace, verify and identify all products across all changes of ownership from manufacturer to dispenser.</w:t>
      </w:r>
    </w:p>
    <w:p>
      <w:pPr>
        <w:spacing w:after="0" w:line="19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Future federal and state proposals and health care reforms in other countries could limit the prices that can be charged for our product and product candidates that we develop and may further limit our commercial opportunities. Our results of operations could be materially and adversely affected by the HealthCare Reform Law by reducing the amounts that private insurers will pay and by other health care reforms that may be enacted or adopted in the future.</w:t>
      </w:r>
    </w:p>
    <w:p>
      <w:pPr>
        <w:spacing w:after="0" w:line="16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Implementation of the HealthCare Reform Law could cause us to incur significant compliance expenses or could subject us to substantial penalties and fines if our business is found to violate these requirements.</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financial impact of the HealthCare Reform Law on our business is on-going, and there can be no assurance that our business will not be materially harmed by future implementation of or changes to the HealthCare Reform Law. In addition, if we are not in full compliance with the HealthCare Reform Law, we could face enforcement action, fines and other penalties and we could receive adverse publicity.</w:t>
      </w:r>
    </w:p>
    <w:p>
      <w:pPr>
        <w:spacing w:after="0" w:line="19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HealthCare Reform Law includes various provisions designed to strengthen fraud and abuse enforcement, such as increased funding for enforcement efforts and lowering the intent requirement of the federal anti-kickback statute and criminal health care fraud statute such that a person or entity no longer needs to have actual knowledge or specific intent to violates the statute.</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our past or present operations are found to be in violation of any such laws or any other governmental regulations that may apply to us, we may be subject to penalties, including civil and criminal penalties, damages, fines, exclusion from federal health care programs and/or the curtailment or restructuring of our operations.</w:t>
      </w:r>
    </w:p>
    <w:p>
      <w:pPr>
        <w:spacing w:after="0" w:line="194"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The risk of our being found in violation of the HealthCare Reform Law, its underlying regulations, or other laws impacted by its implementation is made more complex by the fact that many of them have not been fully interpreted by the regulatory authorities or the courts, and their provisions are subject to a variety of interpretations. Any action against us for violation of these laws, even if we successfully defend against them, could cause us to incur significant legal expenses and divert our management's attention from the operation of our business.</w:t>
      </w:r>
    </w:p>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supplier of pharmaceuticals, certain U.S. federal and state health care laws and regulations pertaining to patients' rights to privacy fraud and abuse are and will be applicable to our business. We could be subject to healthcare fraud and abuse and patient privacy regulation by both the federal government and the states in which we conduct our business. The regulations include the:</w:t>
      </w:r>
    </w:p>
    <w:p>
      <w:pPr>
        <w:spacing w:after="0" w:line="208" w:lineRule="exact"/>
        <w:rPr>
          <w:sz w:val="20"/>
          <w:szCs w:val="20"/>
          <w:color w:val="auto"/>
        </w:rPr>
      </w:pPr>
    </w:p>
    <w:p>
      <w:pPr>
        <w:ind w:left="1080" w:hanging="532"/>
        <w:spacing w:after="0" w:line="298"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Federal healthcare program Anti-Kickback Statute, which prohibits, among other things, persons from knowingly and willfully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A person or entity does not need to have actual knowledge or specific intent to violate the statute in order to have committed a violation.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60"/>
        <w:spacing w:after="0" w:line="268" w:lineRule="auto"/>
        <w:rPr>
          <w:sz w:val="20"/>
          <w:szCs w:val="20"/>
          <w:color w:val="auto"/>
        </w:rPr>
      </w:pPr>
      <w:r>
        <w:rPr>
          <w:rFonts w:ascii="Arial" w:cs="Arial" w:eastAsia="Arial" w:hAnsi="Arial"/>
          <w:sz w:val="18"/>
          <w:szCs w:val="18"/>
          <w:color w:val="auto"/>
        </w:rPr>
        <w:t>Further, the government may assert that a claim, including items and services resulting from a violation of the federal Anti-Kickback Statute, constitutes a false or fraudulent claim for purposes of the federal False Claims Act, discussed below;</w:t>
      </w:r>
    </w:p>
    <w:p>
      <w:pPr>
        <w:spacing w:after="0" w:line="199" w:lineRule="exact"/>
        <w:rPr>
          <w:sz w:val="20"/>
          <w:szCs w:val="20"/>
          <w:color w:val="auto"/>
        </w:rPr>
      </w:pPr>
    </w:p>
    <w:p>
      <w:pPr>
        <w:ind w:left="1080" w:right="200" w:hanging="532"/>
        <w:spacing w:after="0" w:line="255"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knowingly making a false statement material to an obligation to pay or transmit money to the federal government or knowingly concealing or improperly avoiding or decreasing an obligation to pay money to the federal government, and which may apply to entities like us which provide coding and billing advice to customers;</w:t>
      </w:r>
    </w:p>
    <w:p>
      <w:pPr>
        <w:spacing w:after="0" w:line="223"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Federal Health Insurance Portability and Accountability Act of 1996 (HIPAA), which prohibits executing a scheme to defraud any healthcare benefit program or making false statements relating to healthcare matters. Similar to the federal Anti-Kickback Statute, a person or entity does not need to have actual knowledge or specific intent to violate the statute in order to have committed a violation;</w:t>
      </w:r>
    </w:p>
    <w:p>
      <w:pPr>
        <w:spacing w:after="0" w:line="174"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also imposes certain requirements relating to the privacy, security and transmission of individually identifiable health information;</w:t>
      </w:r>
    </w:p>
    <w:p>
      <w:pPr>
        <w:spacing w:after="0" w:line="199"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physician payment transparency requirements under the Affordable Care Act, which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221"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price reporting laws, which require us to calculate and report complex pricing metrics to government programs, where such reported prices may be used in the calculation of reimbursement and/or discounts on our commercial products;</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FDCA, which among other things, strictly regulates drug product marketing, prohibits manufacturers from marketing drug products for off-label use and regulates the distribution of drug samples; and</w:t>
      </w:r>
    </w:p>
    <w:p>
      <w:pPr>
        <w:spacing w:after="0" w:line="199" w:lineRule="exact"/>
        <w:rPr>
          <w:rFonts w:ascii="Arial" w:cs="Arial" w:eastAsia="Arial" w:hAnsi="Arial"/>
          <w:sz w:val="18"/>
          <w:szCs w:val="18"/>
          <w:color w:val="auto"/>
        </w:rPr>
      </w:pPr>
    </w:p>
    <w:p>
      <w:pPr>
        <w:ind w:left="1080" w:right="20" w:hanging="532"/>
        <w:spacing w:after="0" w:line="290"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state anti-kickback laws, physician payment and drug pricing transparency laws, and false claims laws which may apply to our business practices, including, but not limited to, research, distribution, sales and marketing arrangements and to claims for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state laws governing the privacy and security of health information in certain circumstances, many of which differ from each other in significant ways and often are not preempted by federal laws, thus complicating compliance efforts.</w:t>
      </w:r>
    </w:p>
    <w:p>
      <w:pPr>
        <w:spacing w:after="0" w:line="17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could be costly. 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impair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management's attention from the operation of our business. Moreover, achieving and sustaining compliance with applicable federal and state privacy, security and fraud laws may prove costly.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we continue to increase the size of our organization, we may experience difficulties in managing growth.</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personnel, systems and facilities currently in place may not be adequate to support future growth. Our future financial performance and our ability to compete effectively will depend, in part, on our ability to effectively manage our recent and any future growth. In 2017, we increased from 363 employees to 422 employees and increased revenues to $302.2 million from $215.0 million in 2016. Our need to effectively execute our growth strategy requires that we:</w:t>
      </w:r>
    </w:p>
    <w:p>
      <w:pPr>
        <w:spacing w:after="0" w:line="174"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 our regulatory approvals and clinical trials effectively;</w:t>
      </w:r>
    </w:p>
    <w:p>
      <w:pPr>
        <w:spacing w:after="0" w:line="25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complying with our contractual obligations to licensors, licensees, contractors, collaborators and other third parties;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Commercialize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Improve our operational, financial and management controls, reporting systems and procedures;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retain and motivate sufficient numbers of talented employees.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This growth could place a strain on our administrative and operational infrastructure and may require our management to divert a disproportionate amount of its attention away from our day-to-day activities. We may not be able to effectively manage the expansion of our operations or recruit and train additional qualified personnel, which may result in weaknesses in our infrastructure, give rise to operational mistakes, loss of business opportunities, loss of employees and reduced productivity. We may not be able to make improvements to our management information and control systems in an efficient or timely manner and may discover deficiencies in existing systems and controls. In addition, our growth will cause us to comply with an increasing number of regulations and statutory requirements. If our management is unable to effectively manage our expected growth, our expenses may increase more than expected, our ability to generate or increase our revenues could be impaired, and we may not be able to implement our business strategy.</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may enter into significant, complex and unusual transactions, which may require us to engage outside consultants and financial professionals in order to comply with complex accounting and reporting requirements.</w:t>
      </w:r>
    </w:p>
    <w:p>
      <w:pPr>
        <w:spacing w:after="0" w:line="18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time to time, the Company may be presented with, and may choose to enter into, significant, complex and unusual business or financial transactions, either to raise capital or in the context of entering into a business arrangement with a third party. These transactions may entail complex accounting or financial reporting requirements with which we may not be familiar. Accordingly, we may need to hire additional personnel or retain the services of outside accounting, financial reporting, and legal experts to guide both the transaction and to assist management in becoming compliant with the attendant financial reporting requirements. Moreover, acquiring such additional resources could increase our legal and financial compliance costs, divert management attention from other matters, and/or make some activities more time consuming.</w:t>
      </w:r>
    </w:p>
    <w:p>
      <w:pPr>
        <w:spacing w:after="0" w:line="17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Given the complexity of such transactions, there is inherent risk regarding compliance with financial reporting requirements. Because the relevant regulations and standards are subject to varying interpretation, in many cases due to their lack of specificity, their application in practice may evolve over time as new guidance is provided by regulatory and governing bodies. This could result in continuing uncertainty regarding compliance matters and financial reporting requirements. If our efforts to comply with new laws, regulations and accounting standards differ from the intentions of regulatory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or governing bodies due to ambiguities related to their application and practice, regulatory authorities may initiate legal proceedings against us, and our business may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operations rely on sophisticated information technology and equipment systems and infrastructure, a disruption of which could harm our operations.</w:t>
      </w:r>
    </w:p>
    <w:p>
      <w:pPr>
        <w:spacing w:after="0" w:line="26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may not be able to make improvements to our management information and control systems in an efficient or timely manner and may discover deficiencies in existing systems and controls. In addition, we rely on various information technology and equipment systems, some of which are dependent on services provided by third parties, to manage our technology platform and operations. These systems provide critical data and services for internal and external users, including procurement and inventory management, transaction processing, financial, commercial and operational data, human resources management, legal and tax compliance information and other information and processes necessary to operate and manage our business. These systems are complex and are frequently updated as technology improves, and include software and hardware that is licensed, leased or purchased from third parties. If our information technology or equipment systems fail to function properly due to internal errors or defects, implementation or integration issues, catastrophic events or power outages, we may experience a material disruption in our ability to manage our business operations. Failure or disruption of these systems could have an adverse effect on our operating results and financial condition. In addition, we may not be able to make improvements to our management information and control systems in an efficient or timely manner and may discover deficiencies in existing systems and controls. Any failure to manage, expand, and update our information technology infrastructure or any failure in the operation of this infrastructure could harm our business.</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must comply with environmental laws and regulations, which can be expensive and restrict how we do business.</w:t>
      </w:r>
    </w:p>
    <w:p>
      <w:pPr>
        <w:spacing w:after="0" w:line="18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activities and our third-party manufacturers' and suppliers' activities involve the controlled storage, use and disposal of hazardous materials owned by us. We and our manufacturers and suppliers are subject to federal, state, city and local laws and regulations governing the use, manufacture, storage, handling and disposal of these hazardous materials. Although we believe that the safety procedures we use for handling and disposing of these materials comply with the standards prescribed by these laws and regulations, we cannot eliminate the risk of accidental contamination or injury from these materials. In the event of an accident, local, city, state or federal authorities may curtail the use of these materials and interrupt our business operations, including our commercialization and research and development efforts. Although we believe that the safety procedures utilized by our third-party manufacturers for handling and disposing of these materials generally comply with the standards prescribed by these laws and regulations, we have no direct control over our third-party manufacturers and therefore cannot guarantee that this is the case or eliminate the risk of accidental contamination or that such safety procedures will injury from these materials. In such an event, we may be held liable for any resulting damages and such liability could exceed our resources. We do not currently maintain biological or hazardous materials insurance coverage. While we have implemented processes and procedures to try to ensure that the suppliers we use are complying with all applicable regulations, there can be no assurances that such suppliers in all instances will comply with such processes and procedures or otherwise with applicable regulations. Noncompliance could result in our marketing and distribution of contaminated, defective or dangerous products which could subject us to liabilities and could result in the imposition by governmental authorities of procedures or penalties that could restrict or eliminate our ability to purchase products. Any or all of these effects could adversely affect our business, financial condition and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22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employ individuals who were previously employed at other pharmaceutical companies, including our competitors or potential competitors and, as such, we may be subject to claims that we or these employees have used or disclosed trade secrets or other proprietary information of their former employers. Litigation may be necessary to defend against these claims. Even if we are successful in defending against such claims, litigation could result in substantial costs and be a distraction to management.</w:t>
      </w:r>
    </w:p>
    <w:p>
      <w:pPr>
        <w:spacing w:after="0" w:line="19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18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ordinary course of our business, we collect and store sensitive data in our data centers and on our networks, including: intellectual property; our proprietary business information; proprietary information of our customers, suppliers and business partners; and personally identifiable information of our employees and patients in our clinical trials. The secure processing, maintenance and transmission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regulatory penalties that could disrupt our operations and damage our reputation, which could adversely affect our business, revenues and competitive position.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agreement with Shire impose restrictive covenants on us, which could limit our ability to operate effectively in the future.</w:t>
      </w:r>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2005, we purchased substantially all of the assets of Shire Laboratories Inc. Under the purchase agreement, we agreed to refrain perpetually from engaging in any research, formulation development, analytical testing, manufacture, technology assessment or oral bioavailability screening that relate to five specific drug compounds (amphetamine, carbamazepine, guanfacine, lanthanum and mesalamine) and any derivative thereof. Although these various restrictions and covenants on us do not currently impact our products, product candidates or business, they could in the future limit or delay our ability to take advantage of business opportunities that may relate to such compounds.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Finances and Capital Requirements</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Although we have been profitable from operations since the fourth quarter of 2014, there is no assurance that we will continue to generate net income in the future.</w:t>
      </w:r>
    </w:p>
    <w:p>
      <w:pPr>
        <w:spacing w:after="0" w:line="18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recent years, we have focused primarily on developing our current products and product candidates, with the goal of commercializing these products and supporting regulatory approval for our product candidates. We have financed our operations through various transactions including the following:</w:t>
      </w:r>
    </w:p>
    <w:p>
      <w:pPr>
        <w:spacing w:after="0" w:line="153"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completion of our $52.3 million initial public offering in May 2012;</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completion of our follow-on $49.9 million equity offering in November 2012;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completion of our $90.0 million private placement offering of 7.50% Convertible Senior Secured Notes in May 2013;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monetization of certain future royalty streams in 2014, under our existing license for Orenitram.</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incurred significant operating losses since inception. As of December 31, 2017, we had an accumulated deficit of approximately $26.8 million. Substantially all of our operating losses resulted from costs incurred in connection with our development programs, expenses associated with launching our products, and from selling, general and administrative costs associated with our operations. We expect our research and development costs to continue to be substantial and to increase with respect to our product candidates as we advance those product candidates through preclinical studies, clinical trials, manufacturing scale-up and other pre-approval activities. We expect our selling, general and administrative costs to continue to increase as we continue to support the ongoing commercialization of our products.</w:t>
      </w:r>
    </w:p>
    <w:p>
      <w:pPr>
        <w:spacing w:after="0" w:line="19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prior losses have had an adverse effect on our stockholders' equity and cash position. While we anticipate maintaining profitability in 2018 and beyond, we cannot be certain that we will do so. Any potential future losses, if and when they occur, could have an adverse impact on our stockholders' equity and working capital. Furthermore, since the completion of our initial public offering in May 2012, we have incurred additional costs associated with operating as a public company.</w:t>
      </w:r>
    </w:p>
    <w:p>
      <w:pPr>
        <w:spacing w:after="0" w:line="197"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would force us to delay, reduce or eliminate our product development programs or commercialization efforts.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Developing product candidates, conducting clinical trials, establishing manufacturing relationships and marketing drugs are expensive and uncertain processes.</w:t>
      </w:r>
    </w:p>
    <w:p>
      <w:pPr>
        <w:spacing w:after="0" w:line="24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addition, unforeseen circumstances may arise, or our strategic imperatives could change, causing us to consume capital significantly faster than we currently anticipate, requiring us to seek to raise additional funds. We have no committed external sources of funds.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w:t>
      </w:r>
    </w:p>
    <w:p>
      <w:pPr>
        <w:spacing w:after="0" w:line="252"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successfully support our products in the marketplace and the rate of increase in the level of sales in the marketplace;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rate of progress, clinical success, and cost of our trials and other product development programs for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and timing of in-licensing additional product candidates or acquiring other complementary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any regulatory approvals of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actions of our competitors and their success in selling competitive product offerings including generics;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status, terms and timing of any collaborative, licensing, co-promotion or other arrangements.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Additional financing may not be available when we need it or may not be available on terms that are favorable to us, or at all. We may seek additional capital due to favorable market conditions or strategic considerations, even if we believe we have sufficient funds for our current or future operating plans. If adequate funds are not available to us on a timely basis, or at all, we may be required to delay, reduce the scope of or eliminate one or more of our development programs, our commercialization efforts or strategic initiatives.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or increase profitability.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ability to remain profitable depends upon our ability to generate increasing levels of revenues from sales of our products, Oxtellar XR and Trokendi XR, while simultaneously funding the requisite research expenditures to gain FDA approval for our product candidates. Since 2013, the first year in which we generated revenue from our first commercial products, we have demonstrated the ability to become and remain profitable. Future revenues will depend highly on our ability to grow demand for our products and defend against potential generic competition, and successfully developing and commercializing our product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w:t>
      </w:r>
    </w:p>
    <w:p>
      <w:pPr>
        <w:spacing w:after="0" w:line="225"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We expect that any revenues we generate will fluctuate from quarter to quarter and year to year as a result of revenue from approved products, our license agreements, the amount of and timing for development milestones and product revenues received under our collaboration license agreements.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net earnings and other operating results will be affected by numerous factors, including:</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level of market acceptance for any approved product candidate, underlying demand for that product and wholesalers' buying patterns;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development programs;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our bioequivalence and clinical trials through all phases of clinical development;</w:t>
      </w:r>
    </w:p>
    <w:p>
      <w:pPr>
        <w:spacing w:after="0" w:line="238"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and the timing of payments we may make or receive under these arrangements;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delays in regulatory review and approval of product candidates in clinical development;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any regulatory approvals, if received, of additional indications for our existing products;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side effects of our products and our future products that could delay or prevent commercialization, cause an approved drug to be taken off the market, or result in litigation;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intellectual property infringement lawsuit in which we may become involved;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maintain an effective sales and marketing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dependency on third-party manufacturers to supply or manufacture our products and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Competition from existing products, new products, or potential generics to our products that may emerge;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developments affecting our products and product candidates;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reimbursement environment and regulatory changes.</w:t>
      </w:r>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Due to the various factors mentioned above, and others, the results of any prior quarterly period should not be relied upon as an indication of our future operating performance. 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6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Complying with increased financial reporting and securities laws reporting requirements has increased our costs and requires additional management resources. We may fail to meet these obligations.</w:t>
      </w:r>
    </w:p>
    <w:p>
      <w:pPr>
        <w:spacing w:after="0" w:line="18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Compliance with the Sarbanes-Oxley Act of 2002, the Dodd-Frank Act of 2010, as well as rules of the Securities and Exchange Commission and NASDAQ, for example, has resulted in significant initial cost to us as well as ongoing increases in our legal, audit and financial reporting costs. As of the beginning of 2017, we transitioned from "accelerated filer" to "large accelerated filer" status, which led to further increases in our legal, audit, NASDAQ listing fees and financial compliance costs. The Securities Exchange Act of 1934, as amended (the Exchange Act) requires, among other things, that we file annual, quarterly and current reports with respect to our business and financial condition. Our board of directors, management and outside advisors need to devote a substantial amount of time to these compliance initiatives. Moreover, these rules and regulations make it more difficult and more expensive for us to obtain director and officer liability insurance, and require us to incur substantial costs to maintain the same or similar coverage.</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a public company, we are subject to Section 404 of the Sarbanes-Oxley Act relating to internal controls over financial reporting. We expect to incur significant expense and devote substantial management effort toward ensuring compliance with Section 404. We currently do not have an internal audit group and we may need to hire additional accounting and financial staff with appropriate public company experience and technical accounting knowledge. We expect that we will have to compete in the market place for qualified accounting and financial staff and we may have difficulties identifying and attracting qualified persons. Implementing any necessary changes to our internal controls may require specific compliance training for our directors, officers and employees, entail substantial costs to modify or replace our existing accounting systems, and take a significant period of time to complete. Such changes may not, however, be effective in maintaining the adequacy of our internal controls. Any failure to maintain that adequacy, or consequent inability to produce accurate consolidated financial statements or other reports on a timely basis, could increase our operating costs and could materially impair our ability to operate our business. We cannot assure that our internal controls over financial reporting will prove to be effective.</w:t>
      </w:r>
    </w:p>
    <w:p>
      <w:pPr>
        <w:spacing w:after="0" w:line="17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b w:val="1"/>
          <w:bCs w:val="1"/>
          <w:i w:val="1"/>
          <w:iCs w:val="1"/>
          <w:color w:val="auto"/>
        </w:rPr>
        <w:t>We may identify material weaknesses in our internal controls over financial reporting or otherwise fail to maintain an effective system of internal controls, which might cause stockholders to lose confidence in our financial and other public reporting, which would harm our business and the trading price of our common stock.</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internal control over financial reporting and adequate disclosure controls and procedures are necessary for us to provide reliable financial reports and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the subsequent testing by our independent registered public accounting firm in connection with Section 404(b) of the Sarbanes-Oxley Act, may reveal deficiencies in our internal control over financial reporting that are deemed to be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material weaknesses. These may require prospective or retroactive changes to our consolidated financial statements or identify other areas for further attention or improvement. Any system of internal controls, however well designed and operated, is based in part on certain assumptions and can provide only reasonable, not absolute, assurances that the objectives of the system are met. Any material weaknesses in our internal controls could cause investors to lose confidence in our reported financial information, which could have a negative effect on the trading price of our common stock.</w:t>
      </w:r>
    </w:p>
    <w:p>
      <w:pPr>
        <w:spacing w:after="0" w:line="16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required to disclose changes made in our internal control procedures on a quarterly basis. Our management is required to assess the effectiveness of these controls annually. The annual independent assessment of the effectiveness of our internal controls is very expensive and could continue to detect problems that our management's assessment might not. Undetected material weaknesses in our internal controls could lead to financial statement restatements and require us to incur the expense of remediation.</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continuing to refine our disclosure controls and other procedures that are designed to ensure that the information that we are required to disclose in the reports that we will file with the Securities and Exchange Commission is properly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may be limited.</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ability to utilize our U.S. Federal and state net operating losses or U.S. Federal tax credits is currently limited, and may be limited further, under Sections 382 and 383 of the Internal Revenue Code of 1986, as amended. The limitations apply if an ownership change, as defined by Section 382, occurs. Generally, an ownership change occurs when certain shareholders change their aggregate ownership by more than 50 percentage points over their lowest ownership percentage in a testing period, which is typically three years or since the last ownership change. We are already subject to Section 382 limitations due to cumulative ownership changes that, as of November 15, 2013, totaled more than 50%. As of December 31, 2017, we had U.S. Federal net operating loss carryforwards of approximately $32.1 million and research and development tax credit carryforwards of approximately $4.2 million. Future changes in stock ownership may also trigger an additional ownership change and, consequently, another Section 382 limitation. Any limitation may result in expiration of a portion of the net operating loss or tax credit carryforwards before utilization which would reduce our gross deferred income tax assets. As a result, if we earn net taxable income, our ability to use our pre-change net operating loss carryforwards and tax credit carryforwards to reduce U.S. Federal and state income tax may be subject to limitations, which could potentially result in increased future cash tax liability to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Securities Markets and Investment in Our Stock</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may issue additional shares of our common stock or instruments convertible into shares of our common stock and thereby materially and adversely affect the market price of our common stock.</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Sales of our common stock, or the perception in the market that the holders of a large number of shares intend to sell shares, could reduce the market price of our common stock which would impair our ability to raise future capital through the sale of additional equity securities.</w:t>
      </w:r>
    </w:p>
    <w:p>
      <w:pPr>
        <w:spacing w:after="0" w:line="18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may conduct future offerings of our common stock, preferred stock or other securities convertible into our common stock to fund acquisitions, finance operations or for other purposes. In addition, as of December 31, 2017, we had outstanding 51,314,850 shares of common stock, of which approximately 1,957,011 shares are restricted securities that may be sold in accordance with the resale restrictions under Rule 144 of the Securities Act or pursuant to a resale registration statement. Also, as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December 31, 2017, we had outstanding options to purchase 4,280,670 shares of common stock that, if exercised, would result in these additional shares becoming available for sale. Approximately 5.3% of these shares and options are held by senior management of the Company. We have also registered all common stock subject to options outstanding or reserved for issuance under our 2005 Stock Plan, 2012 Equity Incentive Plan and 2012 Employee Stock Purchase Plan. An aggregate of 3,343,432 and 226,084 shares of our common stock are reserved for future issuance under the 2012 Equity Incentive Plan and the 2012 Employee Stock Purchase Plan, respectively.</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never paid dividends on our capital stock, and because we do not anticipate paying any cash dividends in the foreseeable future, capital appreciation, if any, of our common stock will be your sole source of gain on an investment in our common stock.</w:t>
      </w:r>
    </w:p>
    <w:p>
      <w:pPr>
        <w:spacing w:after="0" w:line="18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our stockholders have purchased their shares.</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8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our business, our market or our competitors. We currently have very limited research coverage by securities and industry analysts. If securities or industry analysts presently covering our business do not continue such coverage or if additional securities or industry analysts do not commence coverage of our Company, the trading price for our stock could be negatively impacted.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9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Anti-takeover provisions under our charter documents and Delaware law could delay or prevent a change of control which could negatively impact the market price of our common stock.</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Provisions in our certificate of incorporation and bylaws, as amended, may have the effect of delaying or preventing a change of control. These provisions include the following:</w:t>
      </w:r>
    </w:p>
    <w:p>
      <w:pPr>
        <w:spacing w:after="0" w:line="199" w:lineRule="exact"/>
        <w:rPr>
          <w:sz w:val="20"/>
          <w:szCs w:val="20"/>
          <w:color w:val="auto"/>
        </w:rPr>
      </w:pPr>
    </w:p>
    <w:p>
      <w:pPr>
        <w:ind w:left="1080" w:hanging="532"/>
        <w:spacing w:after="0" w:line="33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board of directors is divided into three classes serving staggered three-year terms, such that not all members of the board will be elected at one time. This staggered board structure prevents stockholders from replacing the entire board at a single stockholders' meeting;</w:t>
      </w:r>
    </w:p>
    <w:p>
      <w:pPr>
        <w:spacing w:after="0" w:line="166"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shares of preferred stock. The ability to authorize preferred stock makes it possible for our board of directors to issue preferred stock with voting or other rights or preferences that could impede the success of any attempt to acquire us;</w:t>
      </w:r>
    </w:p>
    <w:p>
      <w:pPr>
        <w:spacing w:after="0" w:line="207" w:lineRule="exact"/>
        <w:rPr>
          <w:rFonts w:ascii="Arial" w:cs="Arial" w:eastAsia="Arial" w:hAnsi="Arial"/>
          <w:sz w:val="18"/>
          <w:szCs w:val="18"/>
          <w:color w:val="auto"/>
        </w:rPr>
      </w:pPr>
    </w:p>
    <w:p>
      <w:pPr>
        <w:ind w:left="1080" w:right="320" w:hanging="532"/>
        <w:spacing w:after="0" w:line="370" w:lineRule="auto"/>
        <w:tabs>
          <w:tab w:leader="none" w:pos="10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Stockholders must provide advance notice to nominate individuals for election to the board of directors or to propose matters that can be acted upon at a stockholders' meeting. Furthermore, stockholders may only remove a member of our board of directors for cause. These provisions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0"/>
        <w:spacing w:after="0" w:line="268" w:lineRule="auto"/>
        <w:rPr>
          <w:sz w:val="20"/>
          <w:szCs w:val="20"/>
          <w:color w:val="auto"/>
        </w:rPr>
      </w:pPr>
      <w:r>
        <w:rPr>
          <w:rFonts w:ascii="Arial" w:cs="Arial" w:eastAsia="Arial" w:hAnsi="Arial"/>
          <w:sz w:val="18"/>
          <w:szCs w:val="18"/>
          <w:color w:val="auto"/>
        </w:rPr>
        <w:t>may discourage or deter a potential acquiror from conducting a solicitation of proxies to elect such acquiror's own slate of directors or otherwise attempting to obtain control of our Company;</w:t>
      </w:r>
    </w:p>
    <w:p>
      <w:pPr>
        <w:spacing w:after="0" w:line="199" w:lineRule="exact"/>
        <w:rPr>
          <w:sz w:val="20"/>
          <w:szCs w:val="20"/>
          <w:color w:val="auto"/>
        </w:rPr>
      </w:pPr>
    </w:p>
    <w:p>
      <w:pPr>
        <w:ind w:left="1080" w:right="1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stockholders may not act by written consent. As a result, a holder, or holders, controlling a majority of our capital stock would not be able to take certain actions outside of a stockholders' meeting;</w:t>
      </w:r>
    </w:p>
    <w:p>
      <w:pPr>
        <w:spacing w:after="0" w:line="21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Special meetings of stockholders may be called only by the chairman of our board of directors or a majority of our board of directors. As a result, a holder, or holders, controlling a majority of our capital stock would not be able to call a special meeting; and</w:t>
      </w:r>
    </w:p>
    <w:p>
      <w:pPr>
        <w:spacing w:after="0" w:line="152" w:lineRule="exact"/>
        <w:rPr>
          <w:rFonts w:ascii="Arial" w:cs="Arial" w:eastAsia="Arial" w:hAnsi="Arial"/>
          <w:sz w:val="16"/>
          <w:szCs w:val="16"/>
          <w:color w:val="auto"/>
        </w:rPr>
      </w:pPr>
    </w:p>
    <w:p>
      <w:pPr>
        <w:ind w:left="1080" w:right="40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supermajority (75%) of the voting power of outstanding shares of our capital stock is required to amend or repeal or to adopt any provision inconsistent with certain provisions of our certificate of incorporation and to amend our by-laws, which make it more difficult to change the provisions described above.</w:t>
      </w:r>
    </w:p>
    <w:p>
      <w:pPr>
        <w:spacing w:after="0" w:line="19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our bylaws and in the Delaware General Corporation Law could make it more difficult for stockholders or potential acquirers to obtain control of our board of directors or initiate actions that are opposed by the then-current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 active public market for our common stock.</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predict the extent to which investor interest in our common stock will allow us to maintain an active trading market on the NASDAQ Global Market or a similar market or how liquid that market might become. If an active public market is not sustained, it may be difficult to sell shares of common stock at a price that is attractive to the investor, or at all. Further, an inactive market may also impair our ability to raise capital by selling shares of our common stock and may impair our ability to enter into strategic partnerships or acquire companies or products, product candidates or technologies by using our shares of common stock as consideration.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the extent outstanding stock options are exercised, there will be dilution to new investors.</w:t>
      </w:r>
    </w:p>
    <w:p>
      <w:pPr>
        <w:spacing w:after="0" w:line="225"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As of December 31, 2017, we had options to purchase 4,280,670 shares of common stock outstanding, with exercise prices ranging from $1.60 to $41.00 per share and a weighted average exercise price of $14.50 per share. Upon the vesting of each of these options, the holder may exercise his or her options, which would result in dilution to investors.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market price for our common stock is likely to be volatile. In addition, the market price of our common stock may fluctuate significantly in response to a number of factors, including:</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commercial performance of Oxtellar XR, Trokendi XR, or any of our product candidates that receive marketing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Substitution of our products in favor of generic versions;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Status of our ongoing patent infringement law suits;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filing of ANDAs by generic companies seeking approval to market generic versions of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Plans for, progress in and results from clinical trials of our product candidates generally;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FDA or international regulatory actions, including actions on regulatory applications for any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Announcements of new products, services or technologies, commercial relationships, acquisitions or other events by us or our competitors;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conditions and regulatory changes in the pharmaceutical and biotechnology sectors;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stock market prices for the U.S. stock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products and/or potential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Deviations in our operating results from the estimates of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third-party coverage and reimbursement policies for our products and/or product candidates;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Discussion by us or our stock price in the financial or scientific press or online investor communities.</w:t>
      </w:r>
    </w:p>
    <w:p>
      <w:pPr>
        <w:spacing w:after="0" w:line="22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realization of any of the risks described in these "Risk Factors" could have a dramatic, material and adverse impact on the market price of our common stock. In addition, class action litigation has often been instituted against companies whose securities have experienced periods of volatility. Any such litigation brought against us could result in substantial costs and a diversion of management attention, which could hurt our business, operating results and financial condition.</w:t>
      </w:r>
    </w:p>
    <w:p>
      <w:pPr>
        <w:spacing w:after="0" w:line="13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principal executive offices are located at 1550 East Gude Drive, Rockville, Maryland 20850, where we occupy approximately 44,500 square feet of laboratory and office space. Our lease term expires in April 30, 2020, with an option for a five-year extension. We also lease approximately 20,530 square feet of office space in an adjacent building to our existing office space located at 1500 East Gude Drive, Rockville, MD 20850, with a co-terminus lease term date of April 30, 2020. We believe that these facilities are sufficient for our present and contemplated operations.</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and in the ordinary course of business, we are subject to various claims, charges and litigation. We may be required to file infringement claims against third parties for the infringement of our patents. We have filed such claims for infringement of the Orange Book patents listed for our products Oxtellar XR and Trokendi XR.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C.A. No. 15-369 (RMB)(JS) (D.N.J.)</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Appeal No. 2017-2513 (Fed. Cir.)</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received a Paragraph IV Notice Letter against United States Patent Nos. 7,722,898, 7,910,131, 8,617,600, and 8,821,930 from generic drug maker TWi Pharmaceuticals, Inc. on December 9, 2014. On January 16, 2015, we filed a lawsuit against TWi Pharmaceuticals, Inc. and TWi International LLC (d/b/a TWi Pharmaceuticals USA) (collectively TWi) alleging infringement of United States Patent Nos. 7,722,898, 7,910,131, 8,617,600, and 8,821,930. The Complaint— filed in the U.S. District Court for the District of New Jersey—alleged, inter alia, that TWi infringed our Oxtellar XR patents by submitting to the FDA an ANDA seeking to market a generic version of Oxtellar XR prior to the expiration of our patents. On February 13, 2015, TWi answered the Complaint and denied the substantive allegations of the Complaint. TWi also asserted Counterclaims seeking declaratory judgments of non-infringement and invalidity of United States Patent Nos. 7,722,898 and 7,910,131. On March 20, 2015, we filed our Reply, denying the substantive allegations of those Counterclaims. A four-day bench trial was held between April 3 and April 6, 2017. On August 15, 2017, the Court issued an opinion and order finding that: (i) TWi's ANDA products infringe United States Patent Nos. 7,722,898, 7,910,131, and 8,821,930; and (ii) United States Patent Nos. 7,722,898, 7,910,131, and 8,821,930 are not invalid. The Court entered a final judgment on August 28, 2017: (i) enjoining the FDA from approving TWi's ANDA before the expiration date of United States Patent Nos. 7,722,898, 7,910,131, and 8,821,930; and (ii) enjoining TWi from commercially manufacturing, using, offering to sell, or selling within the United States, or importing into the United States, TWi's ANDA products until the expiration of United States Patent Nos. 7,722,898, 7,910,131, and 8,821,930. On August 31, 2017, TWi filed a Notice of Appeal to the United States Court of Appeals for the Federal Circuit. TWi's appeal is pending.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C.A. No. 17-2164 (RMB)(JS) (D.N.J.)</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received a second Paragraph IV Notice Letter against United States Patent Nos. 7,722,898, 7,910,131, 8,617,600, 8,821,930, 9,119,791, 9,351,975, and 9,370,525 from generic drug maker TWi Pharmaceuticals, Inc. on February 16, 2017. On March 31, 2017, we filed a lawsuit against TWi Pharmaceuticals, Inc. and TWi International LLC alleging infringement of United States Patent Nos. 7,722,898, 7,910,131, 8,617,600, 8,821,930, 9,119,791, 9,351,975, and 9,370,525. TWi filed a motion to dismiss Supernus's March 31, 2017 Complaint on May 10, 2017. On May 11, 2017, the Court administratively terminated TWi's motion to dismiss for failure to comply with the Court's Individual Rules and Procedures. On May 19, 2017, the Court "administratively terminate[d] this matter pending this Court's decision in the First TWi Action [concerning United States Patent Nos. 7,722,898, 7,910,131, 8,617,600, and 8,821,930]." As of the date of this filing, Civil Action No. 17-2164 (RMB)(JS) (D.N.J.) remains administratively terminated.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Actavis, Inc., C.A. No. 14-6102 (SDW)(LDW) (D.N.J.)</w:t>
      </w:r>
    </w:p>
    <w:p>
      <w:pPr>
        <w:spacing w:after="0" w:line="225"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We received Paragraph IV Notice Letters against Trokendi XR Orange Book patents, namely United States Patent Nos. 8,298,576, 8,298,580, 8,663,683, 8,877,248, 8,889,191, and 8,992,989 from generic drug maker Actavis Laboratories FL, Inc. These patents cover once-a-day topiramate formulations and methods of treating seizures using those formulations. On October 1, 2014, we initiated a lawsuit against Actavis; the lawsuit alleged infringement of the Trokendi XR Orange Book patents. The FDA Orange Book currently lists United States Patent No. 8,298,576 as expiring on April 4, 2028 and United States Patent Nos. 8,298,580, 8,663,683, 8,877,248, 8,889,191, and 8,992,989 as expiring on November 16, 2027.</w:t>
      </w:r>
    </w:p>
    <w:p>
      <w:pPr>
        <w:spacing w:after="0" w:line="17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This action for patent infringement—filed in the U.S. District Court for the District of New Jersey—alleged that Actavis infringed the Trokendi XR patents by, inter alia, submitting to the FDA an ANDA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seeking to market a generic version of Trokendi XR prior to the expiration of these patents. Actavis answered these allegations with affirmative defenses and counterclaims of noninfringement and invalidity of the patents in suit. Filing its October 1, 2014 Complaint within 45 days of receiving the first of three Actavis Laboratories FL, Inc. Paragraph IV Notice Letters entitled Supernus to an automatic stay preventing the FDA from approving Actavis's ANDA for 30 months from the date of our receipt of such Notice Letter.</w:t>
      </w:r>
    </w:p>
    <w:p>
      <w:pPr>
        <w:spacing w:after="0" w:line="19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 announced on March 7, 2017 that it entered into a binding term sheet with Actavis regarding the settlement of this case. The binding term sheet permits Actavis to begin selling a generic version of Trokendi XR on January 1, 2023, or earlier under certain circumstances. On March 13, 2017, the Company entered into a settlement agreement with Actavis. A consent judgment and stipulation of dismissal with prejudice, and a stipulation and order of dismissal were entered by the U.S. District Court for the District of New Jersey. The agreement has been submitted to the applicable governmental agencies.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Zydus Pharmaceuticals (USA) Inc., C.A. No. 14-7272 (SDW)(LDW) (D.N.J.)</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received Paragraph IV Notice Letters against Trokendi XR Orange Book patents, namely United States Patent Nos. 8,298,576, 8,298,580, 8,663,683, 8,877,248, 8,889,191, and 8,992,989 from generic drug maker Zydus Pharmaceuticals (USA) Inc. These patents cover once-a-day topiramate formulations and methods of treating seizures using those formulations. On November 21, 2014, we initiated a lawsuit against Zydus Pharmaceuticals (USA) Inc. and Cadila Healthcare Limited (collectively Zydus); the lawsuit alleged infringement of the Trokendi XR Orange Book patents. The FDA Orange Book currently lists United States Patent No. 8,298,576 as expiring on April 4, 2028 and United States Patent Nos. 8,298,580, 8,663,683, 8,877,248, 8,889,191 and 8,992,989 as expiring on November 16, 2027.</w:t>
      </w:r>
    </w:p>
    <w:p>
      <w:pPr>
        <w:spacing w:after="0" w:line="19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This action for patent infringement—filed in the U.S. District Court for the District of New Jersey—alleged that Zydus infringed the Trokendi XR patents by, inter alia, submitting to the FDA an ANDA seeking to market a generic version of Trokendi XR prior to the expiration of these patents. Zydus answered these allegations with affirmative defenses and counterclaims of noninfringement and invalidity of the patents in suit. Filing its November 21, 2014 Complaint within 45 days of receiving the first of three Paragraph IV Notice Letters from Zydus Pharmaceuticals (USA) Inc. entitled Supernus to an automatic stay preventing the FDA from approving Zydus's ANDA for 30 months from the date of our receipt of such Notice Letter.</w:t>
      </w:r>
    </w:p>
    <w:p>
      <w:pPr>
        <w:spacing w:after="0" w:line="17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Company announced on March 6, 2017 that it entered into a settlement agreement with Zydus regarding this case. The settlement permits Zydus to begin selling a generic version of Trokendi XR on January 1, 2023, or earlier under certain circumstances. A stipulation and order of dismissal without prejudice was entered by the U.S. District Court for the District of New Jersey. The agreement has been submitted to the applicable governmental agencies.</w:t>
      </w:r>
    </w:p>
    <w:p>
      <w:pPr>
        <w:spacing w:after="0" w:line="1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common stock has been listed on The NASDAQ Global Market under the symbol "SUPN" since May 1, 2012. Prior to that date, there was no public trading market for our common stock. The following table sets forth for the periods indicated the high and low intra-day sales prices per share of our common stock as reported on the Nasdaq Global Market.</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r>
      <w:tr>
        <w:trPr>
          <w:trHeight w:val="210"/>
        </w:trPr>
        <w:tc>
          <w:tcPr>
            <w:tcW w:w="2020" w:type="dxa"/>
            <w:vAlign w:val="bottom"/>
            <w:shd w:val="clear" w:color="auto" w:fill="CCEEFF"/>
          </w:tcPr>
          <w:p>
            <w:pPr>
              <w:spacing w:after="0"/>
              <w:rPr>
                <w:sz w:val="18"/>
                <w:szCs w:val="18"/>
                <w:color w:val="auto"/>
              </w:rPr>
            </w:pPr>
          </w:p>
        </w:tc>
        <w:tc>
          <w:tcPr>
            <w:tcW w:w="4400" w:type="dxa"/>
            <w:vAlign w:val="bottom"/>
            <w:shd w:val="clear" w:color="auto" w:fill="CCEEFF"/>
          </w:tcPr>
          <w:p>
            <w:pPr>
              <w:jc w:val="right"/>
              <w:ind w:right="3032"/>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First Quarter</w:t>
            </w:r>
          </w:p>
        </w:tc>
        <w:tc>
          <w:tcPr>
            <w:tcW w:w="4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23.10</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29.55</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Third Quarter</w:t>
            </w:r>
          </w:p>
        </w:tc>
        <w:tc>
          <w:tcPr>
            <w:tcW w:w="4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36.16</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33.30</w:t>
            </w:r>
          </w:p>
        </w:tc>
      </w:tr>
      <w:tr>
        <w:trPr>
          <w:trHeight w:val="430"/>
        </w:trPr>
        <w:tc>
          <w:tcPr>
            <w:tcW w:w="2020" w:type="dxa"/>
            <w:vAlign w:val="bottom"/>
          </w:tcPr>
          <w:p>
            <w:pPr>
              <w:spacing w:after="0"/>
              <w:rPr>
                <w:sz w:val="24"/>
                <w:szCs w:val="24"/>
                <w:color w:val="auto"/>
              </w:rPr>
            </w:pPr>
          </w:p>
        </w:tc>
        <w:tc>
          <w:tcPr>
            <w:tcW w:w="4400" w:type="dxa"/>
            <w:vAlign w:val="bottom"/>
          </w:tcPr>
          <w:p>
            <w:pPr>
              <w:jc w:val="right"/>
              <w:ind w:right="3032"/>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Second Quarter</w:t>
            </w:r>
          </w:p>
        </w:tc>
        <w:tc>
          <w:tcPr>
            <w:tcW w:w="4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20.38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14.14</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20.19</w:t>
            </w: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Fourth Quarter</w:t>
            </w:r>
          </w:p>
        </w:tc>
        <w:tc>
          <w:tcPr>
            <w:tcW w:w="4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27.10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17.25</w:t>
            </w:r>
          </w:p>
        </w:tc>
      </w:tr>
    </w:tbl>
    <w:p>
      <w:pPr>
        <w:spacing w:after="0" w:line="20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December 31, 2017, the closing price of our common stock on The NASDAQ Global Market was $39.85 per share. As of December 31, 2017, we had 19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9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never declared or paid any cash dividends on our capital stock and we do not currently anticipate declaring or paying cash dividends on our capital stock in the foreseeable future. We currently intend to retain all of our future earnings, if any, to finance operations.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months ended December 31, 2017, the Company granted options to employees to purchase an aggregate of 55,200 shares of common stock at an exercise price of $40.00 per share. The options are exercisable for a period of ten years from the grant date. These issuances were exempt from registration in reliance on Section 4(a)(2) of the Securities Act as transactions not involving any public offering.</w:t>
      </w:r>
    </w:p>
    <w:p>
      <w:pPr>
        <w:spacing w:after="0" w:line="1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following graph sets forth the Company's total cumulative stockholder return as compared to the NASDAQ Stock Market Composite Index and the NASDAQ Biotechnology Index, for the period beginning May 1, 2012 and ending December 31, 2017. Total stockholder return assumes $100 invested at the beginning of the period in the common stock of the Company, the stocks represented in the NASDAQ Composite Index and the NASDAQ Pharmaceutical, respectively. Total return assumes reinvestment of dividends; the Company has paid no dividends on its common stock. Historical price performance should not be relied upon as indicative of future stock performance.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COMPARISON OF 5 YEARS CUMULATIVE TOTAL RETURN*</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Among Supernus Pharmaceuticals, Inc., the NASDAQ Composite Index</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and the NASDAQ Pharmaceutical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6423025" cy="3155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2302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 invested on 12/31/12 in stock or index, including reinvestment of dividends. Fiscal year ending December 31.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 Data</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NASDAQ</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NASDAQ</w:t>
            </w: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Supernus</w:t>
            </w: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Composite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Pharmaceuticals</w:t>
            </w:r>
          </w:p>
        </w:tc>
      </w:tr>
      <w:tr>
        <w:trPr>
          <w:trHeight w:val="161"/>
        </w:trPr>
        <w:tc>
          <w:tcPr>
            <w:tcW w:w="4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6"/>
              </w:rPr>
              <w:t>Pharmaceuticals,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Index</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Index</w:t>
            </w:r>
          </w:p>
        </w:tc>
        <w:tc>
          <w:tcPr>
            <w:tcW w:w="160" w:type="dxa"/>
            <w:vAlign w:val="bottom"/>
          </w:tcPr>
          <w:p>
            <w:pPr>
              <w:spacing w:after="0"/>
              <w:rPr>
                <w:sz w:val="14"/>
                <w:szCs w:val="14"/>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December 31, 2013</w:t>
            </w:r>
          </w:p>
        </w:tc>
        <w:tc>
          <w:tcPr>
            <w:tcW w:w="1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105.16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170.57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115.76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221.26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December 31, 2015</w:t>
            </w:r>
          </w:p>
        </w:tc>
        <w:tc>
          <w:tcPr>
            <w:tcW w:w="1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187.45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229.97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182.33</w:t>
            </w: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December 31, 2017</w:t>
            </w:r>
          </w:p>
        </w:tc>
        <w:tc>
          <w:tcPr>
            <w:tcW w:w="1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555.79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242.29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210.44</w:t>
            </w:r>
          </w:p>
        </w:tc>
      </w:tr>
    </w:tbl>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performance graph and related information shall not be deemed "soliciting material" or be "filed" with the SEC, nor shall such information be incorporated by reference into any future filing under the Securities Act or the Exchange Act, except to the extent that the Company specifically incorporates it by reference into such filing.</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selected financial data should be read together with the information under "Management's Discussion and Analysis of Financial Condition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Results of Operations" and our financial statements and the notes to those consolidated financial statements included elsewhere in this Annual Report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Form 10-K. The selected statements of operations data for the years ended December 31, 2017, 2016 and 2015 and balance sheet data as of December 31, 2017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2016 set forth below have been derived from our audited consolidated financial statements included elsewhere in this Annual Report on Form 10-K.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selected statement of earnings data for the years ended December 31, 2014 and 2013 and the balance sheet data as of December 31, 2015, 2014 and 2013 set forth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below have been derived from the audited consolidated financial statements for such year not included in this Annual Report on Form 10-K. The historical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periods presented here are not necessarily indicative of future results.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Earnings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Net product sales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294,097</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210,078</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143,526</w:t>
            </w:r>
          </w:p>
        </w:tc>
        <w:tc>
          <w:tcPr>
            <w:tcW w:w="1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89,571</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11,552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revenue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Licensing revenue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147,465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12,019</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4260" w:type="dxa"/>
            <w:vAlign w:val="bottom"/>
            <w:gridSpan w:val="2"/>
          </w:tcPr>
          <w:p>
            <w:pPr>
              <w:ind w:left="1140"/>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1160" w:type="dxa"/>
            <w:vAlign w:val="bottom"/>
          </w:tcPr>
          <w:p>
            <w:pPr>
              <w:spacing w:after="0"/>
              <w:rPr>
                <w:sz w:val="18"/>
                <w:szCs w:val="18"/>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product sales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29,135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17,245</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Selling, general and administrative</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55,590</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260" w:type="dxa"/>
            <w:vAlign w:val="bottom"/>
            <w:gridSpan w:val="2"/>
          </w:tcPr>
          <w:p>
            <w:pPr>
              <w:ind w:left="1140"/>
              <w:spacing w:after="0"/>
              <w:rPr>
                <w:sz w:val="20"/>
                <w:szCs w:val="20"/>
                <w:color w:val="auto"/>
              </w:rPr>
            </w:pPr>
            <w:r>
              <w:rPr>
                <w:rFonts w:ascii="Arial" w:cs="Arial" w:eastAsia="Arial" w:hAnsi="Arial"/>
                <w:sz w:val="18"/>
                <w:szCs w:val="18"/>
                <w:color w:val="auto"/>
              </w:rPr>
              <w:t>Total costs and expenses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 (loss)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(61,920)</w:t>
            </w:r>
          </w:p>
        </w:tc>
        <w:tc>
          <w:tcPr>
            <w:tcW w:w="1160" w:type="dxa"/>
            <w:vAlign w:val="bottom"/>
          </w:tcPr>
          <w:p>
            <w:pPr>
              <w:spacing w:after="0"/>
              <w:rPr>
                <w:sz w:val="18"/>
                <w:szCs w:val="18"/>
                <w:color w:val="auto"/>
              </w:rPr>
            </w:pPr>
          </w:p>
        </w:tc>
      </w:tr>
      <w:tr>
        <w:trPr>
          <w:trHeight w:val="209"/>
        </w:trPr>
        <w:tc>
          <w:tcPr>
            <w:tcW w:w="4260" w:type="dxa"/>
            <w:vAlign w:val="bottom"/>
            <w:gridSpan w:val="2"/>
          </w:tcPr>
          <w:p>
            <w:pPr>
              <w:ind w:left="114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1160" w:type="dxa"/>
            <w:vAlign w:val="bottom"/>
          </w:tcPr>
          <w:p>
            <w:pPr>
              <w:spacing w:after="0"/>
              <w:rPr>
                <w:sz w:val="18"/>
                <w:szCs w:val="18"/>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(1,229)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(4,963)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(7,849)</w:t>
            </w:r>
          </w:p>
        </w:tc>
        <w:tc>
          <w:tcPr>
            <w:tcW w:w="116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Interest expense-nonrecourse liability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related to sale of future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royalties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Changes in fair value of derivative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(13,354)</w:t>
            </w:r>
          </w:p>
        </w:tc>
        <w:tc>
          <w:tcPr>
            <w:tcW w:w="1160" w:type="dxa"/>
            <w:vAlign w:val="bottom"/>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(9,550)</w:t>
            </w:r>
          </w:p>
        </w:tc>
        <w:tc>
          <w:tcPr>
            <w:tcW w:w="1160" w:type="dxa"/>
            <w:vAlign w:val="bottom"/>
          </w:tcPr>
          <w:p>
            <w:pPr>
              <w:spacing w:after="0"/>
              <w:rPr>
                <w:sz w:val="18"/>
                <w:szCs w:val="18"/>
                <w:color w:val="auto"/>
              </w:rPr>
            </w:pPr>
          </w:p>
        </w:tc>
      </w:tr>
      <w:tr>
        <w:trPr>
          <w:trHeight w:val="210"/>
        </w:trPr>
        <w:tc>
          <w:tcPr>
            <w:tcW w:w="4260" w:type="dxa"/>
            <w:vAlign w:val="bottom"/>
            <w:gridSpan w:val="2"/>
          </w:tcPr>
          <w:p>
            <w:pPr>
              <w:ind w:left="1140"/>
              <w:spacing w:after="0"/>
              <w:rPr>
                <w:sz w:val="20"/>
                <w:szCs w:val="20"/>
                <w:color w:val="auto"/>
              </w:rPr>
            </w:pPr>
            <w:r>
              <w:rPr>
                <w:rFonts w:ascii="Arial" w:cs="Arial" w:eastAsia="Arial" w:hAnsi="Arial"/>
                <w:sz w:val="18"/>
                <w:szCs w:val="18"/>
                <w:color w:val="auto"/>
              </w:rPr>
              <w:t>Total other income (expense)</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(30,353)</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(10,295)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(92,273)</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(40,852)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(92,273)</w:t>
            </w:r>
          </w:p>
        </w:tc>
        <w:tc>
          <w:tcPr>
            <w:tcW w:w="1160" w:type="dxa"/>
            <w:vAlign w:val="bottom"/>
          </w:tcPr>
          <w:p>
            <w:pPr>
              <w:spacing w:after="0"/>
              <w:rPr>
                <w:sz w:val="18"/>
                <w:szCs w:val="18"/>
                <w:color w:val="auto"/>
              </w:rPr>
            </w:pPr>
          </w:p>
        </w:tc>
      </w:tr>
      <w:tr>
        <w:trPr>
          <w:trHeight w:val="201"/>
        </w:trPr>
        <w:tc>
          <w:tcPr>
            <w:tcW w:w="4260" w:type="dxa"/>
            <w:vAlign w:val="bottom"/>
            <w:gridSpan w:val="2"/>
          </w:tcPr>
          <w:p>
            <w:pPr>
              <w:ind w:left="1140"/>
              <w:spacing w:after="0" w:line="201" w:lineRule="exact"/>
              <w:rPr>
                <w:sz w:val="20"/>
                <w:szCs w:val="20"/>
                <w:color w:val="auto"/>
              </w:rPr>
            </w:pPr>
            <w:r>
              <w:rPr>
                <w:rFonts w:ascii="Arial" w:cs="Arial" w:eastAsia="Arial" w:hAnsi="Arial"/>
                <w:sz w:val="18"/>
                <w:szCs w:val="18"/>
                <w:color w:val="auto"/>
                <w:w w:val="91"/>
              </w:rPr>
              <w:t>Net earnings (loss) attributable to common</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3"/>
        </w:trPr>
        <w:tc>
          <w:tcPr>
            <w:tcW w:w="116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57,284</w:t>
            </w:r>
          </w:p>
        </w:tc>
        <w:tc>
          <w:tcPr>
            <w:tcW w:w="10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91,221</w:t>
            </w:r>
          </w:p>
        </w:tc>
        <w:tc>
          <w:tcPr>
            <w:tcW w:w="10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13,944</w:t>
            </w:r>
          </w:p>
        </w:tc>
        <w:tc>
          <w:tcPr>
            <w:tcW w:w="12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(10,925)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(92,273)</w:t>
            </w: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8"/>
        </w:trPr>
        <w:tc>
          <w:tcPr>
            <w:tcW w:w="1160" w:type="dxa"/>
            <w:vAlign w:val="bottom"/>
          </w:tcPr>
          <w:p>
            <w:pPr>
              <w:spacing w:after="0"/>
              <w:rPr>
                <w:sz w:val="17"/>
                <w:szCs w:val="17"/>
                <w:color w:val="auto"/>
              </w:rPr>
            </w:pPr>
          </w:p>
        </w:tc>
        <w:tc>
          <w:tcPr>
            <w:tcW w:w="31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Earnings (loss) per common share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116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Weighted-average number of common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shares outstanding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50,756,603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49,472,434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47,485,258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42,260,896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31,848,299</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53,301,150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51,708,983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51,160,380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42,260,896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31,848,299</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69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0"/>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3"/>
              </w:rPr>
              <w:t>Cash and cash equivalents and marketable securities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140,040</w:t>
            </w:r>
          </w:p>
        </w:tc>
        <w:tc>
          <w:tcPr>
            <w:tcW w:w="1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90,121</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62,190</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74,336</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82,191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Long term marketable securities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133,638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Working capital</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105,451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70,662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80,603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70,761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424,464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309,568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Convertible notes, net of discount</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34,393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4"/>
              </w:rPr>
              <w:t>Nonrecourse liability related to sale of future royalties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26,541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Accumulated deficit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(26,823)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(84,288)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(175,509)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(189,453)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(178,528)</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267,480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191,755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related notes thereto appearing elsewhere in this Annual Report on Form 10-K. In addition to historical information, some of the information in this discussion and analysis contains forward-looking statements reflecting our current expectations and involving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because of many factors, including those set forth under the "Risk Factors" section and elsewhere in this report.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a specialty pharmaceutical company focused on developing and commercializing products for the treatment of central nervous system (CNS) diseases. In 2013, we launched Oxtellar XR (extended-release oxcarbazepine) and Trokendi XR (extended-release topiramate), our two novel treatments for epilepsy. In April 2017, we launched Trokendi XR for the prophylaxis of migraine headache in adults and adolescents. Since 2013, we have significantly grown our net product sales.</w:t>
      </w:r>
    </w:p>
    <w:p>
      <w:pPr>
        <w:spacing w:after="0" w:line="197"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Oxtellar XR and Trokendi XR were the first once-daily extended release oxcarbazepine and topiramate products, indicated for patients with epilepsy and launched in the U.S. market. Net product sales from these products reached $294.1 million in 2017, growing by more than $80 million as compared to the $210.1 million in net product sales in 2016.</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continuing to expand our intellectual property portfolio to provide additional protection for our technologies, products, and product candidates. We currently have eight issued U.S. patents covering Oxtellar XR and nine issued U.S. patents covering Trokendi XR, with the patents expiring no earlier than 2027 for each product.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Prescriptions</w:t>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expect the number of prescriptions filled for Oxtellar XR and Trokendi XR to continue to increase through 2018 and in subsequent years. Data from IQVIA (formerly Intercontinenal Marketing Services (IMS)) shows that 672,709 total prescriptions were filled for both of these drugs during the year ended December 31, 2017, which is 33.8% higher than the 502,854 prescriptions reported for the year ended December 31, 2016.</w:t>
      </w:r>
    </w:p>
    <w:p>
      <w:pPr>
        <w:spacing w:after="0" w:line="16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Since the migraine launch, Trokendi XR has shown robust acceleration in prescription growth. For the fourth quarter of 2017, total prescriptions for Trokendi XR increased by 16,470, or 11.3%, as compared to the third quarter of 2017. This growth is more than four times higher than the increase of 3,654 prescriptions, in the fourth quarter of 2016 over the third quarter of 2016. Similarly, for the same sequential quarter-to-quarter time periods, new prescriptions for Trokendi XR increased by 8,075, or 11.8%, in 2017, as compared to 382, or 0.9%, in 2016.</w:t>
      </w:r>
    </w:p>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product sales for the year ended December 31, 2017 totaled $294.1 million, an increase of 40.0% over 2016. Net product sales for the fourth quarter of 2017 were $86.3 million, compared to net product sales of $61.1 million for the same quarter last year, an increase of 41.2%.</w:t>
      </w:r>
    </w:p>
    <w:p>
      <w:pPr>
        <w:spacing w:after="0" w:line="18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Operating earnings for the year ended December 31, 2017 totaled $99.5 million compared to operating earnings of $54.2 million in 2016, an increase of $45.3 million or 83.6%.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years prior to 2017, we received several Paragraph IV Notice Letters concerning Oxtellar XR and Trokendi XR from various third-parties. (See Part I, Item 3— Legal Proceedings for additional information.) We received no such letters in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SPN-810</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developing SPN-810 as a novel treatment for impulsive aggression (IA) in patients who have attention deficit hyperactivity disorder (ADHD). SPN-810 has been granted fast-track designation by the U.S. Food and Drug Administration (FDA). One of our Phase III clinical trials (P301) is being conducted under a Special Protocol Assessment (SPA) with the FDA, using a novel measurement scale, developed by us. We initiated two Phase III clinical trials in 2015 (P301 and P302), using the same trial design except that under the SPA, an interim analysis was conducted in the first trial when one-half of the patients (146 patients) reached randomization. The purpose of the interim analysis was to assess the efficacy of the doses being tested and to allow for optimization of the trial design of both trials.</w:t>
      </w:r>
    </w:p>
    <w:p>
      <w:pPr>
        <w:spacing w:after="0" w:line="19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interim analysis has been completed and both trials will continue through completion. The results of the interim analysis led to our discontinuing the 18 mg dose arm. Moving forward, all patients in each of the two trials will be randomized to either the 36 mg dose arm or placebo until the predetermined total number of patients are enrolled in each of the two trials. We expect patient enrollment to continue through mid-2018, with data from the trials anticipated by the first quarter of 2019. In addition, a Phase III trial for SPN-810 treating IA in adolescents who have ADHD is anticipated to start mid-2018.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SPN-812 is being developed as a novel non-stimulant treatment for ADHD. During 2016, we completed a Phase IIb dose ranging trial and announced positive topline results. Subsequent to the end of Phase II meeting with the FDA in June 2017, we initiated four Phase III clinical trials for SPN-812 in September of 2017. The program consists of four three-arm, placebo-controlled trials: two pediatric trials and two adolescent trials. We expect patient enrollment to continue through mid-2018 and to have data from this Phase III program available by the first quarter of 2019.</w:t>
      </w:r>
    </w:p>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expect to incur significant research and development expenses related to the continued development of each of our product candidates from 2017 through FDA approval or until the program terminates.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Mydayis (mixed salts of a single-entity amphetamine product) was originally developed by Shire Laboratories, the former division of Shire that subsequently became Supernus Pharmaceuticals. On June 20, 2017, Shire announced that the FDA approved Mydayis for patients 13 years and older with ADHD. Based on the agreement between the Company and Shire, Shire will pay to the Company a single digit percentage royalty on net sales of the product.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31"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The significant accounting policies and bases of presentation for our consolidated financial statements are described in Note 2 "Summary of Significant Accounting Policies." The preparation of our consolidated financial statements in accordance with U.S. generally accepted accounting principles (GAAP) requires us to make estimates and assumptions that affect the reported amounts of assets,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liabilities, revenues, and expenses and to disclose contingent assets and liabilities. Actual results could differ from those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accounting policies and estimates to be critical: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Revenue from product sales is recognized when: persuasive evidence of an arrangement exists; delivery has occurred and title to the product and associated risk of loss has passed to the customer; the price is fixed or determinable; collection from the customer has been reasonably assured; all performance obligations have been met; and returns and allowances can be reasonably estimated. Product sales are recorded net of estimated rebates, chargebacks, discounts, allowances, patient copay assistance payments and other deductions as well as estimated product returns (collectively, "sales deductions").</w:t>
      </w:r>
    </w:p>
    <w:p>
      <w:pPr>
        <w:spacing w:after="0" w:line="16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derive our estimated sales deductions from an analysis of historical levels of deductions specific to each product, as well as contractual terms with our customers. In addition, we also consider the impact of actual or anticipated changes in product price, sales trends and changes in managed care coverage and co-pay assistance programs. For a complete description of Trokendi XR and Oxtellar XR gross revenues and gross to net adjustments. (See Part II, Item 8, Financial Statements and Supplemental Data, Note 2, Revenue from Product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Intangible assets consist of patent defense costs, which are deferred legal fees that have been incurred in connection with legal proceedings related to the defense of patents for Oxtellar XR and Trokendi XR (see Part I, Item 3—Legal Proceedings).</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Amortization of deferred legal fees commences in the quarter after the costs are incurred. This amortization period is based initially upon the remaining patent life and is adjusted, if necessary, for any settlements or other changes to the expected useful life of the patent. Patent defense costs will be charged to expense in the event of an unsuccessful outcome of the on-going litigation. (see Part II, Item 8—Financial Statements and Supplementary Data, Note 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provision for income tax is calculated based on our assumptions as to our entitlement to various benefits under the applicable tax laws in the jurisdictions in which we operate. The entitlement to such benefits depends upon our compliance with the terms and conditions set out in those laws.</w:t>
      </w:r>
    </w:p>
    <w:p>
      <w:pPr>
        <w:spacing w:after="0" w:line="13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Accounting for uncertainty in income taxes requires that tax benefits recognized in the financial statements must be at least more likely than not of being sustained based on technical merits. The amount of benefits recorded for these positions is measured as the largest benefit more likely than not to be sustained. Significant judgment is required in making these determinations.</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Deferred taxes are determined utilizing the asset and liability method based on the estimated future tax effects of differences between the financial accounting and tax bases of assets and liabilities under the applicable tax laws. Valuation allowances are provided if, based upon the weight of available evidence, it is more likely than not that some or all of the deferred tax assets will not be realized. In the determination of the appropriate valuation allowances, we have considered the most recent projections of future business results and prudent tax planning strategies that may allow us to realize the deferred tax assets.</w:t>
      </w:r>
    </w:p>
    <w:p>
      <w:pPr>
        <w:spacing w:after="0" w:line="16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On December 22, 2017, the U.S. enacted the Tax Cuts and Jobs Act (Tax Act), which, among other provisions, reduced the U.S. corporate tax rate from 35% to 21%, effective January 1, 2018. At December 31, 2017, we have substantially completed our accounting for the tax effects of the Tax Act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and have made reasonable estimates of the effects on the existing deferred tax balances in accordance with Staff Accounting Bulletin No. 118, which provides guidance for the application of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in the reporting period in which the Tax Act was signed into law. The Company does not anticipate material adjustments to the provisional amounts, however, final amount could vary from these provisional amounts.</w:t>
      </w:r>
    </w:p>
    <w:p>
      <w:pPr>
        <w:spacing w:after="0" w:line="16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Act requires significant judgments in interpreting the provisions, analysis of information not previously relevant, and estimates and calculations not previously required. The U.S. Treasury Department, the Internal Revenue Service (IRS), and other standard-setting bodies could interpret or issue guidance on how provisions of the Tax Act will be applied or otherwise administered that may be different from our interpretation. As we complete our analysis of the Tax Act, collect and prepare necessary data, and interpret any additional guidance, we may make adjustments to provisional amounts that we have recorded that may impact our provision for income taxes in the period in which the adjustments are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Related Accrued Clinical Expenses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Research and development expenditures are expensed as incurred. Research and development costs primarily consist of employee-related expenses, including salaries and benefits; share-based compensation expense; expenses incurred under agreements with clinical research organizations (CROs), fees paid to investigators who are participating in our clinical trials, consultants and other vendors that conduct the Company's clinical trials; the cost of acquiring and manufacturing clinical trial materials; the cost of manufacturing materials used in process validation, to the extent that those materials are manufactured prior to receiving regulatory approval for those products and are not expected to be sold commercially; facilities costs that do not have an alternative future use; related depreciation and other allocated expenses; license fees for and milestone payments related to in-licensed products and technologies; and costs associated with animal testing activities and regulatory approvals.</w:t>
      </w:r>
    </w:p>
    <w:p>
      <w:pPr>
        <w:spacing w:after="0" w:line="17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Clinical trials are inherently complex and often involve multiple service providers. Because billing for services often lags by a substantial amount of time, we often are required to estimate a significant portion of our accrued clinical expenses. This process involves reviewing open contracts and communicating with our subject matter expert personnel and the appropriate service provider personnel to identify services that have been performed on our behalf but for which no invoice has been received. We accrue for the estimated but unbilled services performed and the associated cost incurred.</w:t>
      </w:r>
    </w:p>
    <w:p>
      <w:pPr>
        <w:spacing w:after="0" w:line="16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Payments to service providers can either be based on hourly rates for service or based on performance driven milestones. When accruing clinical expenses, we estimate the time period over which services will be performed during the life of the entire clinical program, the total cost of the program, and the level of effort to be expended in each intervening period. To the maximum extent possible, we work with each service provider to obtain an estimate for incurred but unbilled services as of the end of the calendar quarter, including estimates for payments to site investigators.</w:t>
      </w:r>
    </w:p>
    <w:p>
      <w:pPr>
        <w:spacing w:after="0" w:line="16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work diligently to minimize, if not eliminate, estimates based solely on company generated calculations. If the service provider underestimates or overestimates the cost associated with a trial or service at any given point in time, adjustments to research and development expenses may be necessary in future periods. Historically, our estimated accrued clinical expenses have closely approximated actual expense incurred.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2017 and December 31, 2016</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79"/>
              </w:rPr>
              <w:t>(decrease)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4"/>
          </w:tcPr>
          <w:p>
            <w:pPr>
              <w:jc w:val="right"/>
              <w:ind w:right="373"/>
              <w:spacing w:after="0"/>
              <w:rPr>
                <w:sz w:val="20"/>
                <w:szCs w:val="20"/>
                <w:color w:val="auto"/>
              </w:rPr>
            </w:pPr>
            <w:r>
              <w:rPr>
                <w:rFonts w:ascii="Arial" w:cs="Arial" w:eastAsia="Arial" w:hAnsi="Arial"/>
                <w:sz w:val="12"/>
                <w:szCs w:val="12"/>
                <w:b w:val="1"/>
                <w:bCs w:val="1"/>
                <w:color w:val="auto"/>
                <w:w w:val="71"/>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Net product sales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294,097</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210,078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Licensing revenue</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302,238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215,003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product sales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137,905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106,010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202,697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160,787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Interest expense-nonrecourse liability related to sale of future royalties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Changes in fair value of derivative liabilities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100,618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(40,852)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84,186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b w:val="1"/>
          <w:bCs w:val="1"/>
          <w:i w:val="1"/>
          <w:iCs w:val="1"/>
          <w:color w:val="auto"/>
        </w:rPr>
        <w:t xml:space="preserve">Net Product Sales. </w:t>
      </w:r>
      <w:r>
        <w:rPr>
          <w:rFonts w:ascii="Arial" w:cs="Arial" w:eastAsia="Arial" w:hAnsi="Arial"/>
          <w:sz w:val="16"/>
          <w:szCs w:val="16"/>
          <w:color w:val="auto"/>
        </w:rPr>
        <w:t>The increase in net product sales from 2016 to 2017 is primarily driven by increased prescription volume generated by the launch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migraine indication for Trokendi XR in April 2017. Price increases in 2017 and 2016 also contributed to the increase in net product sales. Net product sales are based on gross revenue from shipments to distributors, less estimates for discounts, rebates, allowances, other sales deductions and returns.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our net product sales by product, in thousands:</w:t>
      </w:r>
    </w:p>
    <w:p>
      <w:pPr>
        <w:spacing w:after="0" w:line="33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w w:val="88"/>
              </w:rPr>
              <w:t>Net Product Sales Year</w:t>
            </w:r>
          </w:p>
        </w:tc>
        <w:tc>
          <w:tcPr>
            <w:tcW w:w="160" w:type="dxa"/>
            <w:vAlign w:val="bottom"/>
          </w:tcPr>
          <w:p>
            <w:pPr>
              <w:spacing w:after="0"/>
              <w:rPr>
                <w:sz w:val="14"/>
                <w:szCs w:val="14"/>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Change in</w:t>
            </w:r>
          </w:p>
        </w:tc>
        <w:tc>
          <w:tcPr>
            <w:tcW w:w="0" w:type="dxa"/>
            <w:vAlign w:val="bottom"/>
          </w:tcPr>
          <w:p>
            <w:pPr>
              <w:spacing w:after="0"/>
              <w:rPr>
                <w:sz w:val="1"/>
                <w:szCs w:val="1"/>
                <w:color w:val="auto"/>
              </w:rPr>
            </w:pPr>
          </w:p>
        </w:tc>
      </w:tr>
      <w:tr>
        <w:trPr>
          <w:trHeight w:val="95"/>
        </w:trPr>
        <w:tc>
          <w:tcPr>
            <w:tcW w:w="5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gridSpan w:val="4"/>
            <w:vMerge w:val="restart"/>
          </w:tcPr>
          <w:p>
            <w:pPr>
              <w:jc w:val="right"/>
              <w:ind w:right="177"/>
              <w:spacing w:after="0"/>
              <w:rPr>
                <w:sz w:val="20"/>
                <w:szCs w:val="20"/>
                <w:color w:val="auto"/>
              </w:rPr>
            </w:pPr>
            <w:r>
              <w:rPr>
                <w:rFonts w:ascii="Arial" w:cs="Arial" w:eastAsia="Arial" w:hAnsi="Arial"/>
                <w:sz w:val="14"/>
                <w:szCs w:val="14"/>
                <w:b w:val="1"/>
                <w:bCs w:val="1"/>
                <w:color w:val="auto"/>
                <w:w w:val="94"/>
              </w:rPr>
              <w:t>Ended December 31,</w:t>
            </w: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50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Net Product</w:t>
            </w:r>
          </w:p>
        </w:tc>
        <w:tc>
          <w:tcPr>
            <w:tcW w:w="0" w:type="dxa"/>
            <w:vAlign w:val="bottom"/>
          </w:tcPr>
          <w:p>
            <w:pPr>
              <w:spacing w:after="0"/>
              <w:rPr>
                <w:sz w:val="1"/>
                <w:szCs w:val="1"/>
                <w:color w:val="auto"/>
              </w:rPr>
            </w:pPr>
          </w:p>
        </w:tc>
      </w:tr>
      <w:tr>
        <w:trPr>
          <w:trHeight w:val="62"/>
        </w:trPr>
        <w:tc>
          <w:tcPr>
            <w:tcW w:w="5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Sales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77"/>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Trokendi XR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226,518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158,384</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Oxtellar XR</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67,579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51,694</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294,097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210,078</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Royalty Revenue. </w:t>
      </w:r>
      <w:r>
        <w:rPr>
          <w:rFonts w:ascii="Arial" w:cs="Arial" w:eastAsia="Arial" w:hAnsi="Arial"/>
          <w:sz w:val="18"/>
          <w:szCs w:val="18"/>
          <w:color w:val="auto"/>
        </w:rPr>
        <w:t>Royalty revenue for the years ended December 31, 2017 and 2016 was $6.4 million and $4.7 million, respectively. Royalty revenue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non-cash royalty from the Healthcare Royalty</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Partners III, L.P. (HC Royalty) agreement and royalty from collaboration partners. The increase is primarily due to royalty earned from collaboration partners.</w:t>
      </w:r>
    </w:p>
    <w:p>
      <w:pPr>
        <w:spacing w:after="0" w:line="24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 xml:space="preserve">Licensing Revenue. </w:t>
      </w:r>
      <w:r>
        <w:rPr>
          <w:rFonts w:ascii="Arial" w:cs="Arial" w:eastAsia="Arial" w:hAnsi="Arial"/>
          <w:sz w:val="18"/>
          <w:szCs w:val="18"/>
          <w:color w:val="auto"/>
        </w:rPr>
        <w:t>Total licensing revenue for the year ended December 31, 2017 and 2016 was $1.8 million as compared to $0.2 million,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$1.6 million is primarily due to milestone revenue received during the year.</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 xml:space="preserve">Cost of Product Sales. </w:t>
      </w:r>
      <w:r>
        <w:rPr>
          <w:rFonts w:ascii="Arial" w:cs="Arial" w:eastAsia="Arial" w:hAnsi="Arial"/>
          <w:sz w:val="16"/>
          <w:szCs w:val="16"/>
          <w:color w:val="auto"/>
        </w:rPr>
        <w:t>Cost of product sales during the year ended December 31, 2017 was $15.2 million, an increase of $3.2 million, or 26.7%,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$12.0 million for the year ended December 31, 2016. The year over year increase is attributable primarily to increased net product unit volume.</w:t>
      </w:r>
    </w:p>
    <w:p>
      <w:pPr>
        <w:spacing w:after="0" w:line="1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(R&amp;D) expenses during the year ended December 31, 2017 were $49.6 million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$42.8 million for the year ended December 31, 2016, an increase of $6.8 million or 15.9%. This increase is due to ongoing patient recruitment for Phase III trials for SPN-810 and commencement of Phase III trials for SPN-812.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comparison of selling and marketing and general and administrative expenses for the years ended December 31, 2017 and 2016:</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4"/>
          </w:tcPr>
          <w:p>
            <w:pPr>
              <w:jc w:val="center"/>
              <w:ind w:right="57"/>
              <w:spacing w:after="0"/>
              <w:rPr>
                <w:sz w:val="20"/>
                <w:szCs w:val="20"/>
                <w:color w:val="auto"/>
              </w:rPr>
            </w:pPr>
            <w:r>
              <w:rPr>
                <w:rFonts w:ascii="Arial" w:cs="Arial" w:eastAsia="Arial" w:hAnsi="Arial"/>
                <w:sz w:val="14"/>
                <w:szCs w:val="14"/>
                <w:b w:val="1"/>
                <w:bCs w:val="1"/>
                <w:color w:val="auto"/>
                <w:w w:val="87"/>
              </w:rPr>
              <w:t>Selling, General and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4"/>
          </w:tcPr>
          <w:p>
            <w:pPr>
              <w:jc w:val="center"/>
              <w:ind w:right="57"/>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4"/>
          </w:tcPr>
          <w:p>
            <w:pPr>
              <w:jc w:val="center"/>
              <w:ind w:right="77"/>
              <w:spacing w:after="0" w:line="149" w:lineRule="exact"/>
              <w:rPr>
                <w:sz w:val="20"/>
                <w:szCs w:val="20"/>
                <w:color w:val="auto"/>
              </w:rPr>
            </w:pPr>
            <w:r>
              <w:rPr>
                <w:rFonts w:ascii="Arial" w:cs="Arial" w:eastAsia="Arial" w:hAnsi="Arial"/>
                <w:sz w:val="14"/>
                <w:szCs w:val="14"/>
                <w:b w:val="1"/>
                <w:bCs w:val="1"/>
                <w:color w:val="auto"/>
                <w:w w:val="86"/>
              </w:rPr>
              <w:t>Expense Year Ended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4"/>
                <w:szCs w:val="14"/>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Change (%)</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86"/>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57"/>
              <w:spacing w:after="0"/>
              <w:rPr>
                <w:sz w:val="20"/>
                <w:szCs w:val="20"/>
                <w:color w:val="auto"/>
              </w:rPr>
            </w:pPr>
            <w:r>
              <w:rPr>
                <w:rFonts w:ascii="Arial" w:cs="Arial" w:eastAsia="Arial" w:hAnsi="Arial"/>
                <w:sz w:val="12"/>
                <w:szCs w:val="12"/>
                <w:b w:val="1"/>
                <w:bCs w:val="1"/>
                <w:color w:val="auto"/>
                <w:w w:val="74"/>
              </w:rPr>
              <w:t>thousands)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104,072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79,997</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26,013</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137,905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106,010</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Selling and Marketing. </w:t>
      </w:r>
      <w:r>
        <w:rPr>
          <w:rFonts w:ascii="Arial" w:cs="Arial" w:eastAsia="Arial" w:hAnsi="Arial"/>
          <w:sz w:val="16"/>
          <w:szCs w:val="16"/>
          <w:color w:val="auto"/>
        </w:rPr>
        <w:t>The increase in selling and marketing expenses of approximately $24.1 million for the year ended December 31, 2017,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is primarily the result of an increase in workforce headcount and headcount related support for our commercial products, coupled with development, production, and execution of promotional and marketing programs to support the launch of the migraine indication for Trokendi XR in April 2017. Of this total, approximately $9.2 million is due to increased compensation, benefits and other employee-related expenses associated with increased headcount in our field sales force and approximately $13.2 million is due to increased expenses for marketing programs, speaker programs, and consulting services to support our commercial products, particularly the launch of the migraine indication for Trokendi XR in 2017.</w:t>
      </w:r>
    </w:p>
    <w:p>
      <w:pPr>
        <w:spacing w:after="0" w:line="1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(G&amp;A) increased by $7.8 million for the year ended December 31, 2017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primarily due to approximately $5.6 million in increased patent amortization expense.</w:t>
      </w:r>
    </w:p>
    <w:p>
      <w:pPr>
        <w:spacing w:after="0" w:line="18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For the years ended December 31, 2017 and 2016, we recognized $2.9 million and $1.5 million, respectively, of interest income earned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cash equivalents and marketable securities. The increase is primarily attributable to an increase in cash, cash equivalents and marketable securities holdings year over year.</w:t>
      </w:r>
    </w:p>
    <w:p>
      <w:pPr>
        <w:spacing w:after="0" w:line="19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$0.1 million for the year ended December 31, 2017 as compared to $0.5 million for the year ended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decrease of $0.4 million was primarily due to a decrease in the principal amount of our outstanding 7.5% Convertible Senior Secured Notes (the Notes). As of July 2017, all Notes were converted and no longer outstanding. For the year ended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December 31, 2017, a total of $4.6 million aggregate principal amount of Notes and related accrued interest were converted into 0.9 million shares of common stock.</w:t>
      </w:r>
    </w:p>
    <w:p>
      <w:pPr>
        <w:spacing w:after="0" w:line="186"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b w:val="1"/>
          <w:bCs w:val="1"/>
          <w:i w:val="1"/>
          <w:iCs w:val="1"/>
          <w:color w:val="auto"/>
        </w:rPr>
        <w:t>Interest Expense—Non-recourse Liability Related to Sale of Future Royalties.</w:t>
      </w:r>
      <w:r>
        <w:rPr>
          <w:sz w:val="20"/>
          <w:szCs w:val="20"/>
          <w:color w:val="auto"/>
        </w:rPr>
        <w:tab/>
      </w:r>
      <w:r>
        <w:rPr>
          <w:rFonts w:ascii="Arial" w:cs="Arial" w:eastAsia="Arial" w:hAnsi="Arial"/>
          <w:sz w:val="15"/>
          <w:szCs w:val="15"/>
          <w:color w:val="auto"/>
        </w:rPr>
        <w:t>Non-cash interest expense related to our non-recourse royalty liability was</w:t>
      </w:r>
    </w:p>
    <w:p>
      <w:pPr>
        <w:spacing w:after="0" w:line="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$1.4 million during the year ended December 31, 2017 as compared to $4.5 million for the year ended December 31, 2016. The decrease of $3.1 million for this non-cash expense item was primarily due to reduced projections of future royalties related to Orenitram.</w:t>
      </w:r>
    </w:p>
    <w:p>
      <w:pPr>
        <w:spacing w:after="0" w:line="192"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 xml:space="preserve">Changes in Fair Value of Derivative Liability. </w:t>
      </w:r>
      <w:r>
        <w:rPr>
          <w:rFonts w:ascii="Arial" w:cs="Arial" w:eastAsia="Arial" w:hAnsi="Arial"/>
          <w:sz w:val="16"/>
          <w:szCs w:val="16"/>
          <w:color w:val="auto"/>
        </w:rPr>
        <w:t>During the year ended December 31, 2017, we recognized a non-cash gain of $76,000 related to a change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estimated fair value of the interest make-whole derivative liability related to the Notes. For the year ended December 31, 2016, we recognized a non-cash gain of $0.4 million related to a change in the estimated fair value of the interest make-whole derivative liability related to the Notes. The "make-whole fundamental change" provision (as defined in the Indenture governing the Notes) expired in May 2017.</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For the year ended December 31, 2017, we recognized a non-cash loss on extinguishment of debt of $0.3 million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conversion of $4.6 million aggregate principal amount of Notes. For the year ended December 31, 2016, we recognized a non-cash loss on extinguishment of debt of $0.7 million related to the conversion of $3.9 million aggregate principal amount of Notes.</w:t>
      </w:r>
    </w:p>
    <w:p>
      <w:pPr>
        <w:spacing w:after="0" w:line="19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For the year ended December 31, 2017, we recorded $43.3 million of income tax expense. The increase of $84.2 million from the prior year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the release of all of our valuation allowance on deferred tax assets of $56.0 million in 2016. The 2017 provision also included the effect of the write-down of $9.7 million of deferred tax assets to reflect the estimated impact of the new Tax Act, effective January 1, 2018. The Tax Act decreased the U.S. corporate income tax rate from 35% to 21%, among other things.</w:t>
      </w:r>
    </w:p>
    <w:p>
      <w:pPr>
        <w:spacing w:after="0" w:line="19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 xml:space="preserve">Net Earnings. </w:t>
      </w:r>
      <w:r>
        <w:rPr>
          <w:rFonts w:ascii="Arial" w:cs="Arial" w:eastAsia="Arial" w:hAnsi="Arial"/>
          <w:sz w:val="18"/>
          <w:szCs w:val="18"/>
          <w:color w:val="auto"/>
        </w:rPr>
        <w:t>Net earnings for the year ended December 31, 2017 was $57.3 million, compared to net earnings of $91.2 million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2016, a decrease of $33.9 million. This decrease was primarily due to the increase in R&amp;D and selling, general and administrative (SG&amp;A) spending, the increase in income tax expense as a result of the elimination of valuation allowance against deferred tax assets in 2016, and the impact of the Tax Act.</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2016 and December 31, 2015</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1"/>
              </w:rPr>
              <w:t>(decrease)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Net product sales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210,078</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143,526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66,552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Licensing revenue</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215,003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147,465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product sales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29,135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106,010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160,787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126,621</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(1,229)</w:t>
            </w:r>
          </w:p>
        </w:tc>
        <w:tc>
          <w:tcPr>
            <w:tcW w:w="760" w:type="dxa"/>
            <w:vAlign w:val="bottom"/>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Interest expense-nonrecourse liability related to sale of future royalties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Changes in fair value of derivative liabilities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color w:val="auto"/>
              </w:rPr>
              <w:t>Total other expenses</w:t>
            </w:r>
          </w:p>
        </w:tc>
        <w:tc>
          <w:tcPr>
            <w:tcW w:w="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Income tax (benefit) expense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(40,852)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(41,518)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91,221</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Net Product Sales. </w:t>
      </w:r>
      <w:r>
        <w:rPr>
          <w:rFonts w:ascii="Arial" w:cs="Arial" w:eastAsia="Arial" w:hAnsi="Arial"/>
          <w:sz w:val="18"/>
          <w:szCs w:val="18"/>
          <w:color w:val="auto"/>
        </w:rPr>
        <w:t>The increase in net product sales from 2015 to 2016 is primarily driven by increased prescription volume. Price increases in 2016 and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contributed to the increase in net product sales. Net product sales are based on gross revenue from shipments to distributors, less estimates for discounts, rebates, allowances, other sales deductions and returns.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our net product sales by product, in thousands:</w:t>
      </w:r>
    </w:p>
    <w:p>
      <w:pPr>
        <w:spacing w:after="0" w:line="33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w w:val="88"/>
              </w:rPr>
              <w:t>Net Product Sales Year</w:t>
            </w:r>
          </w:p>
        </w:tc>
        <w:tc>
          <w:tcPr>
            <w:tcW w:w="160" w:type="dxa"/>
            <w:vAlign w:val="bottom"/>
          </w:tcPr>
          <w:p>
            <w:pPr>
              <w:spacing w:after="0"/>
              <w:rPr>
                <w:sz w:val="14"/>
                <w:szCs w:val="14"/>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Change in</w:t>
            </w:r>
          </w:p>
        </w:tc>
        <w:tc>
          <w:tcPr>
            <w:tcW w:w="0" w:type="dxa"/>
            <w:vAlign w:val="bottom"/>
          </w:tcPr>
          <w:p>
            <w:pPr>
              <w:spacing w:after="0"/>
              <w:rPr>
                <w:sz w:val="1"/>
                <w:szCs w:val="1"/>
                <w:color w:val="auto"/>
              </w:rPr>
            </w:pPr>
          </w:p>
        </w:tc>
      </w:tr>
      <w:tr>
        <w:trPr>
          <w:trHeight w:val="95"/>
        </w:trPr>
        <w:tc>
          <w:tcPr>
            <w:tcW w:w="5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gridSpan w:val="4"/>
            <w:vMerge w:val="restart"/>
          </w:tcPr>
          <w:p>
            <w:pPr>
              <w:jc w:val="right"/>
              <w:ind w:right="177"/>
              <w:spacing w:after="0"/>
              <w:rPr>
                <w:sz w:val="20"/>
                <w:szCs w:val="20"/>
                <w:color w:val="auto"/>
              </w:rPr>
            </w:pPr>
            <w:r>
              <w:rPr>
                <w:rFonts w:ascii="Arial" w:cs="Arial" w:eastAsia="Arial" w:hAnsi="Arial"/>
                <w:sz w:val="14"/>
                <w:szCs w:val="14"/>
                <w:b w:val="1"/>
                <w:bCs w:val="1"/>
                <w:color w:val="auto"/>
                <w:w w:val="94"/>
              </w:rPr>
              <w:t>Ended December 31,</w:t>
            </w: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50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Net Product</w:t>
            </w:r>
          </w:p>
        </w:tc>
        <w:tc>
          <w:tcPr>
            <w:tcW w:w="0" w:type="dxa"/>
            <w:vAlign w:val="bottom"/>
          </w:tcPr>
          <w:p>
            <w:pPr>
              <w:spacing w:after="0"/>
              <w:rPr>
                <w:sz w:val="1"/>
                <w:szCs w:val="1"/>
                <w:color w:val="auto"/>
              </w:rPr>
            </w:pPr>
          </w:p>
        </w:tc>
      </w:tr>
      <w:tr>
        <w:trPr>
          <w:trHeight w:val="62"/>
        </w:trPr>
        <w:tc>
          <w:tcPr>
            <w:tcW w:w="5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Sales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77"/>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Trokendi XR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158,384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110,361</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Oxtellar XR</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33,165</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210,078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143,526</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Royalty Revenue. </w:t>
      </w:r>
      <w:r>
        <w:rPr>
          <w:rFonts w:ascii="Arial" w:cs="Arial" w:eastAsia="Arial" w:hAnsi="Arial"/>
          <w:sz w:val="18"/>
          <w:szCs w:val="18"/>
          <w:color w:val="auto"/>
        </w:rPr>
        <w:t>Non-cash royalty revenue of $4.7 million and $3.0 million was generated during the years ended December 31, 2016 and 2015,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agreement with HC Royalty.</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 xml:space="preserve">Licensing Revenue. </w:t>
      </w:r>
      <w:r>
        <w:rPr>
          <w:rFonts w:ascii="Arial" w:cs="Arial" w:eastAsia="Arial" w:hAnsi="Arial"/>
          <w:sz w:val="18"/>
          <w:szCs w:val="18"/>
          <w:color w:val="auto"/>
        </w:rPr>
        <w:t>Total licensing revenue for the year ended December 31, 2016 and 2015 was $0.2 million and $0.9 million, respectively. There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$0.8 million in revenue generated from achievement of milestones in the year ended December 31, 2015.</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 xml:space="preserve">Cost of Product Sales. </w:t>
      </w:r>
      <w:r>
        <w:rPr>
          <w:rFonts w:ascii="Arial" w:cs="Arial" w:eastAsia="Arial" w:hAnsi="Arial"/>
          <w:sz w:val="16"/>
          <w:szCs w:val="16"/>
          <w:color w:val="auto"/>
        </w:rPr>
        <w:t>Cost of product sales during the year ended December 31, 2016 was $12.0 million, an increase of $3.6 million, or 42.9%,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$8.4 million for the year ended December 31, 2015. The year over year increase is attributable primarily to increased unit volume.</w:t>
      </w:r>
    </w:p>
    <w:p>
      <w:pPr>
        <w:spacing w:after="0" w:line="139"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b w:val="1"/>
          <w:bCs w:val="1"/>
          <w:i w:val="1"/>
          <w:iCs w:val="1"/>
          <w:color w:val="auto"/>
        </w:rPr>
        <w:t xml:space="preserve">Research and Development Expense. </w:t>
      </w:r>
      <w:r>
        <w:rPr>
          <w:rFonts w:ascii="Arial" w:cs="Arial" w:eastAsia="Arial" w:hAnsi="Arial"/>
          <w:sz w:val="16"/>
          <w:szCs w:val="16"/>
          <w:color w:val="auto"/>
        </w:rPr>
        <w:t>R&amp;D expenses during the year ended December 31, 2016 were $42.8 million as compared to $29.1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2015, an increase of $13.7 million or 47.1%. During 2016, we continued to recruit patients for our two Phase III trials for SPN-810 as well as recruiting patients for our Phase IIb trial for SPN-812. The Phase IIb trial for SPN-812 was completed in 2016.</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comparison of selling and marketing and general and administrative expenses for the years ended December 31, 2016 and 2015:</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4"/>
          </w:tcPr>
          <w:p>
            <w:pPr>
              <w:jc w:val="center"/>
              <w:ind w:right="57"/>
              <w:spacing w:after="0"/>
              <w:rPr>
                <w:sz w:val="20"/>
                <w:szCs w:val="20"/>
                <w:color w:val="auto"/>
              </w:rPr>
            </w:pPr>
            <w:r>
              <w:rPr>
                <w:rFonts w:ascii="Arial" w:cs="Arial" w:eastAsia="Arial" w:hAnsi="Arial"/>
                <w:sz w:val="14"/>
                <w:szCs w:val="14"/>
                <w:b w:val="1"/>
                <w:bCs w:val="1"/>
                <w:color w:val="auto"/>
                <w:w w:val="87"/>
              </w:rPr>
              <w:t>Selling, General and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4"/>
          </w:tcPr>
          <w:p>
            <w:pPr>
              <w:jc w:val="center"/>
              <w:ind w:right="57"/>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4"/>
          </w:tcPr>
          <w:p>
            <w:pPr>
              <w:jc w:val="center"/>
              <w:ind w:right="77"/>
              <w:spacing w:after="0" w:line="149" w:lineRule="exact"/>
              <w:rPr>
                <w:sz w:val="20"/>
                <w:szCs w:val="20"/>
                <w:color w:val="auto"/>
              </w:rPr>
            </w:pPr>
            <w:r>
              <w:rPr>
                <w:rFonts w:ascii="Arial" w:cs="Arial" w:eastAsia="Arial" w:hAnsi="Arial"/>
                <w:sz w:val="14"/>
                <w:szCs w:val="14"/>
                <w:b w:val="1"/>
                <w:bCs w:val="1"/>
                <w:color w:val="auto"/>
                <w:w w:val="86"/>
              </w:rPr>
              <w:t>Expense Year Ended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4"/>
                <w:szCs w:val="14"/>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Change (%)</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4"/>
          </w:tcPr>
          <w:p>
            <w:pPr>
              <w:jc w:val="center"/>
              <w:ind w:right="57"/>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69,095</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26,013</w:t>
            </w:r>
          </w:p>
        </w:tc>
        <w:tc>
          <w:tcPr>
            <w:tcW w:w="1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19,968</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106,010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89,063</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b w:val="1"/>
          <w:bCs w:val="1"/>
          <w:i w:val="1"/>
          <w:iCs w:val="1"/>
          <w:color w:val="auto"/>
        </w:rPr>
        <w:t xml:space="preserve">Selling and Marketing. </w:t>
      </w:r>
      <w:r>
        <w:rPr>
          <w:rFonts w:ascii="Arial" w:cs="Arial" w:eastAsia="Arial" w:hAnsi="Arial"/>
          <w:sz w:val="16"/>
          <w:szCs w:val="16"/>
          <w:color w:val="auto"/>
        </w:rPr>
        <w:t>Our selling and marketing expenses were $80.0 million for the year ended December 31, 2016 as compared to $69.1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2015, an increase of $10.9 million or 15.8%. The increase in selling and marketing expenses is primarily due to support of our commercial products and development of promotional materials and programs in preparation for the launch of the migraine indication for Trokendi XR in 2017.</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Administrtive. </w:t>
      </w:r>
      <w:r>
        <w:rPr>
          <w:rFonts w:ascii="Arial" w:cs="Arial" w:eastAsia="Arial" w:hAnsi="Arial"/>
          <w:sz w:val="18"/>
          <w:szCs w:val="18"/>
          <w:color w:val="auto"/>
        </w:rPr>
        <w:t>G&amp;A expenses were $26.0 million for the year ended December 31, 2016, as compared to $20.0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2015, an increase of $6.0 million or 30.3%. The increase in G&amp; A expenses is primarily due to: higher accounting and professional fees associated with restating our 2014, 2015, and 2016 financial statements; increased patent amortization expense; increased information technology expenses, and executive compensation.</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For the years ended December 31, 2016 and 2015, we recognized $1.5 million and $0.7 million, respectively, of interest income earned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cash equivalents, and marketable securities. The increase was primarily attributable to an increase in cash, cash equivalents and marketable securities holdings year over year.</w:t>
      </w:r>
    </w:p>
    <w:p>
      <w:pPr>
        <w:spacing w:after="0" w:line="19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i w:val="1"/>
          <w:iCs w:val="1"/>
          <w:color w:val="auto"/>
        </w:rPr>
        <w:t>Interest Expense.</w:t>
      </w:r>
      <w:r>
        <w:rPr>
          <w:sz w:val="20"/>
          <w:szCs w:val="20"/>
          <w:color w:val="auto"/>
        </w:rPr>
        <w:tab/>
      </w:r>
      <w:r>
        <w:rPr>
          <w:rFonts w:ascii="Arial" w:cs="Arial" w:eastAsia="Arial" w:hAnsi="Arial"/>
          <w:sz w:val="15"/>
          <w:szCs w:val="15"/>
          <w:color w:val="auto"/>
        </w:rPr>
        <w:t>Interest expense was $0.5 million for the year ended December 31, 2016 as compared to $1.2 million for the year ended December 31, 2015.</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decrease of $0.7 million was primarily due to a decrease in the principal amount of our outstanding Notes, from $8.5 million at December 31, 2015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$4.6 million at December 31, 2016. During the year ended December 31, 2016, a total of $3.9 million of Notes and related accrued interest were converted into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0.8 million shares of common stock.</w:t>
      </w:r>
    </w:p>
    <w:p>
      <w:pPr>
        <w:spacing w:after="0" w:line="219"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b w:val="1"/>
          <w:bCs w:val="1"/>
          <w:i w:val="1"/>
          <w:iCs w:val="1"/>
          <w:color w:val="auto"/>
        </w:rPr>
        <w:t>Interest Expense—Non-recourse Liability Related to Sale of Future Royalties.</w:t>
      </w:r>
      <w:r>
        <w:rPr>
          <w:sz w:val="20"/>
          <w:szCs w:val="20"/>
          <w:color w:val="auto"/>
        </w:rPr>
        <w:tab/>
      </w:r>
      <w:r>
        <w:rPr>
          <w:rFonts w:ascii="Arial" w:cs="Arial" w:eastAsia="Arial" w:hAnsi="Arial"/>
          <w:sz w:val="15"/>
          <w:szCs w:val="15"/>
          <w:color w:val="auto"/>
        </w:rPr>
        <w:t>Non-cash interest expense related to our non-recourse royalty liability was</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$4.5 million for the year ended December 31, 2016 as compared to $3.5 million for the year ended December 31, 2015. The increase of $1.0 million for this non-cash expense item was primarily due to an increase in our projection of future royalties related to Orenitram.</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b w:val="1"/>
          <w:bCs w:val="1"/>
          <w:i w:val="1"/>
          <w:iCs w:val="1"/>
          <w:color w:val="auto"/>
        </w:rPr>
        <w:t xml:space="preserve">Changes in Fair Value of Derivative Liability. </w:t>
      </w:r>
      <w:r>
        <w:rPr>
          <w:rFonts w:ascii="Arial" w:cs="Arial" w:eastAsia="Arial" w:hAnsi="Arial"/>
          <w:sz w:val="18"/>
          <w:szCs w:val="18"/>
          <w:color w:val="auto"/>
        </w:rPr>
        <w:t>During the years ended December 31, 2016 and 2015, we recognized a non-cash gain of $0.4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$0.2 million, respectively, related to a change in the estimated fair value of the interest make-whole derivative liability related to our Notes. This gain is attributable to the passage of time and because our stock price remained above the conversion price.</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 xml:space="preserve">Loss on Extinguishment of Debt. </w:t>
      </w:r>
      <w:r>
        <w:rPr>
          <w:rFonts w:ascii="Arial" w:cs="Arial" w:eastAsia="Arial" w:hAnsi="Arial"/>
          <w:sz w:val="16"/>
          <w:szCs w:val="16"/>
          <w:color w:val="auto"/>
        </w:rPr>
        <w:t>For the year ended December 31, 2016, we recognized a non-cash loss on extinguishment of debt of $0.7 million related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conversion of $3.9 million aggregate principal amount of the Notes. For the year ended December 31, 2015, we recognized a non-cash loss on extinguishment of debt of $2.3 million related to the conversion of $27.5 million aggregate principal amount of the Notes.</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For the year ended December 31, 2016, we recorded $40.9 million of current tax benefit related primarily to releasing all of our valuation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on deferred tax assets. For the year ended December 31, 2015, we recorded $0.7 million of current tax expense related to an increase in our reserve for an uncertain tax position related to the Alternative Minimum Tax.</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 xml:space="preserve">Net Earnings. </w:t>
      </w:r>
      <w:r>
        <w:rPr>
          <w:rFonts w:ascii="Arial" w:cs="Arial" w:eastAsia="Arial" w:hAnsi="Arial"/>
          <w:sz w:val="18"/>
          <w:szCs w:val="18"/>
          <w:color w:val="auto"/>
        </w:rPr>
        <w:t>We realized net earnings of $91.2 million for the year ended December 31, 2016, compared to net earnings of $13.9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2015, an increase of $77.3 million. This change was primarily due to the revenue generated from our two commercial products, Oxtellar XR and Trokendi XR, offset by an increase in R&amp;D and SG&amp;A spending, and the impact of the elimination of the valuation allowance on our deferred tax asset as described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our increasing levels of net product sales will be sufficient to finance our operations in 2018 and subsequent years, including the increased R&amp;D expenses for our clinical trials, increased expenses to support our commercial products, and the increased expenses in anticipation of launching our product candidates. We expect to incur significantly increased R&amp;D expenses for 2018 to support the development of SPN-810 and SPN-812, including their respective Phase III trials. We expect our selling, general and administrative expenses to continue to increase in the foreseeable future, as we continue to invest in the commercialization of Trokendi XR and Oxtellar XR, and in areas such as compliance, finance, management of our intellectual property portfolio and information technology systems and personnel, in each case, commensurate with the growth of our business.</w:t>
      </w:r>
    </w:p>
    <w:p>
      <w:pPr>
        <w:spacing w:after="0" w:line="17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Our working capital at December 31, 2017 was $105.5 million, an increase of $34.8 million compared to our working capital of $70.7 million at December 31, 2016. In addition, our long term marketable securities at December 31, 2017 were $133.6 million, an increase of $58.2 million, as compared to $75.4 million at December 31, 2016.</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stockholders' equity increased by $75.7 million during the year ended December 31, 2017, primarily as a result of net earnings, issuance of shares related to the conversion of the Notes, option exercises and share-based compensation.</w:t>
      </w:r>
    </w:p>
    <w:p>
      <w:pPr>
        <w:spacing w:after="0" w:line="18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December 31, 2017, all $90.0 million aggregate principal amount of Notes have converted into equity. Cumulatively, we issued a total of approximately 17.0 million shares of common stock in the conversion of the aggregate principal amount of the Notes. We issued an additional 2.2 million shares of common stock and also paid approximately $1.7 million in cash in settlement of the interest make-whole provision related to the converted Notes. Our obligations under the Indenture governing the Notes were satisfied and discharged.</w:t>
      </w:r>
    </w:p>
    <w:p>
      <w:pPr>
        <w:spacing w:after="0" w:line="19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achieved positive cash flow and profitability from operations in each quarter of 2017 and 2016. While we expect continued profitability in 2018 as we continue to increase sales, we anticipate there may be significant variability from quarter to quarter in our level of profitability due to increasing spending to advance our clinical product candidates.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major sources and uses of cash for the periods set forth below summarized, in thousands: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Increase/</w:t>
            </w: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79"/>
              </w:rPr>
              <w:t>(decrease)</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114,640</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66,812</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47,828</w:t>
            </w: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(35,964)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(50,451)</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3,629</w:t>
            </w:r>
          </w:p>
        </w:tc>
      </w:tr>
      <w:tr>
        <w:trPr>
          <w:trHeight w:val="20"/>
        </w:trPr>
        <w:tc>
          <w:tcPr>
            <w:tcW w:w="5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Net cash provided by operating activities is comprised of two components: cash provided by operating earnings and cash provided by changes in working capital.</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years ended December 31, 2017 and December 31, 2016 are summarized below, in thousands: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Increase/</w:t>
            </w:r>
          </w:p>
        </w:tc>
      </w:tr>
      <w:tr>
        <w:trPr>
          <w:trHeight w:val="142"/>
        </w:trPr>
        <w:tc>
          <w:tcPr>
            <w:tcW w:w="5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76"/>
              </w:rPr>
              <w:t>2016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2"/>
              </w:rPr>
              <w:t>(decrease)</w:t>
            </w:r>
          </w:p>
        </w:tc>
        <w:tc>
          <w:tcPr>
            <w:tcW w:w="160" w:type="dxa"/>
            <w:vAlign w:val="bottom"/>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earnings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90,930</w:t>
            </w:r>
          </w:p>
        </w:tc>
        <w:tc>
          <w:tcPr>
            <w:tcW w:w="3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58,364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32,566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Cash provided by working capital</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8,448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15,262</w:t>
            </w:r>
          </w:p>
        </w:tc>
      </w:tr>
      <w:tr>
        <w:trPr>
          <w:trHeight w:val="20"/>
        </w:trPr>
        <w:tc>
          <w:tcPr>
            <w:tcW w:w="5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114,640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66,812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47,828</w:t>
            </w:r>
          </w:p>
        </w:tc>
      </w:tr>
      <w:tr>
        <w:trPr>
          <w:trHeight w:val="20"/>
        </w:trPr>
        <w:tc>
          <w:tcPr>
            <w:tcW w:w="5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net cash provided by operating activities is primarily driven by increased revenue generated from product sales of Trokendi XR and Oxtellar XR.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cash provided by changes in working capital is primarily driven by increased accrued sales deductions associated with our increased revenue.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certain operating assets and liabilities are,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370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Explanation of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8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receivable</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(24,059)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(15,619)</w:t>
            </w:r>
          </w:p>
        </w:tc>
        <w:tc>
          <w:tcPr>
            <w:tcW w:w="3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Increased product sales.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Decrease (increase) in inventory</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(4,214)</w:t>
            </w: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Utilization of inventory build-up from migraine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launch.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86"/>
              </w:rPr>
              <w:t>(Increase) decrease in prepaid expenses and other</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(3,566)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0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Progress of clinical trials and timing difference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related to prepayments.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9"/>
              </w:rPr>
              <w:t>Increase in accounts payable, accrued sales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44,599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26,165</w:t>
            </w:r>
          </w:p>
        </w:tc>
        <w:tc>
          <w:tcPr>
            <w:tcW w:w="100" w:type="dxa"/>
            <w:vAlign w:val="bottom"/>
          </w:tcPr>
          <w:p>
            <w:pPr>
              <w:spacing w:after="0"/>
              <w:rPr>
                <w:sz w:val="18"/>
                <w:szCs w:val="18"/>
                <w:color w:val="auto"/>
              </w:rPr>
            </w:pPr>
          </w:p>
        </w:tc>
        <w:tc>
          <w:tcPr>
            <w:tcW w:w="3760" w:type="dxa"/>
            <w:vAlign w:val="bottom"/>
            <w:gridSpan w:val="2"/>
          </w:tcPr>
          <w:p>
            <w:pPr>
              <w:ind w:left="40"/>
              <w:spacing w:after="0"/>
              <w:rPr>
                <w:sz w:val="20"/>
                <w:szCs w:val="20"/>
                <w:color w:val="auto"/>
              </w:rPr>
            </w:pPr>
            <w:r>
              <w:rPr>
                <w:rFonts w:ascii="Arial" w:cs="Arial" w:eastAsia="Arial" w:hAnsi="Arial"/>
                <w:sz w:val="18"/>
                <w:szCs w:val="18"/>
                <w:color w:val="auto"/>
                <w:w w:val="93"/>
              </w:rPr>
              <w:t>Timing of accruals, including compensation,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w w:val="97"/>
              </w:rPr>
              <w:t>deductions, accrued expenses, and income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deductions, clinical trials, and increased taxes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payable.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100" w:hanging="277"/>
        <w:spacing w:after="0"/>
        <w:tabs>
          <w:tab w:leader="none" w:pos="5100" w:val="left"/>
        </w:tabs>
        <w:numPr>
          <w:ilvl w:val="0"/>
          <w:numId w:val="4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23,710  $   8,448</w:t>
      </w:r>
    </w:p>
    <w:p>
      <w:pPr>
        <w:spacing w:after="0" w:line="257" w:lineRule="exact"/>
        <w:rPr>
          <w:rFonts w:ascii="Arial" w:cs="Arial" w:eastAsia="Arial" w:hAnsi="Arial"/>
          <w:sz w:val="18"/>
          <w:szCs w:val="18"/>
          <w:u w:val="single" w:color="auto"/>
          <w:color w:val="auto"/>
        </w:rPr>
      </w:pPr>
    </w:p>
    <w:p>
      <w:pPr>
        <w:ind w:left="5620"/>
        <w:spacing w:after="0"/>
        <w:rPr>
          <w:rFonts w:ascii="Arial" w:cs="Arial" w:eastAsia="Arial" w:hAnsi="Arial"/>
          <w:sz w:val="18"/>
          <w:szCs w:val="18"/>
          <w:u w:val="single" w:color="auto"/>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-271145</wp:posOffset>
            </wp:positionV>
            <wp:extent cx="10807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We invest excess cash in accordance with our investment policy. Marketable securities consist of investments which mature in four years or less, including U.S. Treasury and various government agency debt securities, as well as investment grade securities in industrial and financial institutions. Fluctuations in investing activities between periods relate exclusively to the timing of marketable security purchases and the related maturities of these securities.</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cash used in investing activities for the year ended December 31, 2017 of $86.4 million related to net purchase of marketable securities of $73.2 million, patent defense costs of $11.2 million and property and equipment purchases of $2.0 million. Net cash used in investing activities for the year ended December 31, 2016 of $36.0 million related to net purchase of marketable securities of $15.6 million, patent defense costs of $18.8 million and property and equipment purchases of $1.6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Net cash provided by financing activities of $5.7 million and $2.1 million for the years ended December 31, 2017 and 2016, respectively, is from proceeds received from issuance of common stock due to stock option exercises.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2017 (except as noted below),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0" w:type="dxa"/>
            <w:vAlign w:val="bottom"/>
          </w:tcPr>
          <w:p>
            <w:pPr>
              <w:jc w:val="right"/>
              <w:ind w:right="62"/>
              <w:spacing w:after="0"/>
              <w:rPr>
                <w:sz w:val="20"/>
                <w:szCs w:val="20"/>
                <w:color w:val="auto"/>
              </w:rPr>
            </w:pPr>
            <w:r>
              <w:rPr>
                <w:rFonts w:ascii="Arial" w:cs="Arial" w:eastAsia="Arial" w:hAnsi="Arial"/>
                <w:sz w:val="14"/>
                <w:szCs w:val="14"/>
                <w:b w:val="1"/>
                <w:bCs w:val="1"/>
                <w:color w:val="auto"/>
                <w:w w:val="97"/>
              </w:rPr>
              <w:t>Less than</w:t>
            </w:r>
          </w:p>
        </w:tc>
        <w:tc>
          <w:tcPr>
            <w:tcW w:w="86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1 - 3</w:t>
            </w:r>
          </w:p>
        </w:tc>
        <w:tc>
          <w:tcPr>
            <w:tcW w:w="6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3 - 5</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Greater than</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2280" w:type="dxa"/>
            <w:vAlign w:val="bottom"/>
          </w:tcPr>
          <w:p>
            <w:pPr>
              <w:spacing w:after="0"/>
              <w:rPr>
                <w:sz w:val="14"/>
                <w:szCs w:val="14"/>
                <w:color w:val="auto"/>
              </w:rPr>
            </w:pPr>
          </w:p>
        </w:tc>
        <w:tc>
          <w:tcPr>
            <w:tcW w:w="800" w:type="dxa"/>
            <w:vAlign w:val="bottom"/>
          </w:tcPr>
          <w:p>
            <w:pPr>
              <w:jc w:val="right"/>
              <w:ind w:right="142"/>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700" w:type="dxa"/>
            <w:vAlign w:val="bottom"/>
          </w:tcPr>
          <w:p>
            <w:pPr>
              <w:jc w:val="right"/>
              <w:ind w:right="119"/>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97"/>
              <w:spacing w:after="0"/>
              <w:rPr>
                <w:sz w:val="20"/>
                <w:szCs w:val="20"/>
                <w:color w:val="auto"/>
              </w:rPr>
            </w:pPr>
            <w:r>
              <w:rPr>
                <w:rFonts w:ascii="Arial" w:cs="Arial" w:eastAsia="Arial" w:hAnsi="Arial"/>
                <w:sz w:val="14"/>
                <w:szCs w:val="14"/>
                <w:b w:val="1"/>
                <w:bCs w:val="1"/>
                <w:color w:val="auto"/>
                <w:w w:val="84"/>
              </w:rPr>
              <w:t>5 Years</w:t>
            </w:r>
          </w:p>
        </w:tc>
        <w:tc>
          <w:tcPr>
            <w:tcW w:w="160" w:type="dxa"/>
            <w:vAlign w:val="bottom"/>
          </w:tcPr>
          <w:p>
            <w:pPr>
              <w:spacing w:after="0"/>
              <w:rPr>
                <w:sz w:val="14"/>
                <w:szCs w:val="14"/>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Operating leases(1)</w:t>
            </w:r>
          </w:p>
        </w:tc>
        <w:tc>
          <w:tcPr>
            <w:tcW w:w="10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1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Purchase obligations(2)</w:t>
            </w:r>
          </w:p>
        </w:tc>
        <w:tc>
          <w:tcPr>
            <w:tcW w:w="22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145,575</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13,315</w:t>
            </w:r>
          </w:p>
        </w:tc>
        <w:tc>
          <w:tcPr>
            <w:tcW w:w="16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Total(3)</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148,924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19,018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167,963</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640" w:hanging="531"/>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commitments for operating leases relate to our lease of office equipment, fleet vehicles and office and laboratory space as of December 31, 2017.</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Relates primarily to agreements and purchase orders with contractors and vendors.</w:t>
      </w:r>
    </w:p>
    <w:p>
      <w:pPr>
        <w:spacing w:after="0" w:line="238" w:lineRule="exact"/>
        <w:rPr>
          <w:rFonts w:ascii="Arial" w:cs="Arial" w:eastAsia="Arial" w:hAnsi="Arial"/>
          <w:sz w:val="18"/>
          <w:szCs w:val="18"/>
          <w:color w:val="auto"/>
        </w:rPr>
      </w:pPr>
    </w:p>
    <w:p>
      <w:pPr>
        <w:ind w:left="1680" w:right="100" w:hanging="531"/>
        <w:spacing w:after="0" w:line="298" w:lineRule="auto"/>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table does not include (a) any milestone payments which may become payable to third parties under license agreements or contractual agreements regarding our clinical trials as the timing and likelihood of such payments are not known, (b) any royalty payments to third parties as the amounts, timing and likelihood of such payments are not known and (c) contracts that are entered into in the ordinary course of business which are not material in the aggregate in any period presented above.</w:t>
      </w:r>
    </w:p>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to the above table, we are contractually obligated to pay to HC Royalty all royalty payments earned under a licensing agreement with United Therapeutics Corporation. Although we have recorded a liability of $26.5 million at December 31, 2017 related to this obligation, it is a non-recourse liability for which we have no obligation to make any cash payments to HC Royalty. Accordingly, this obligation will have no impact on our liquidity at any time and therefore the non-recourse liability has not been included in the table above.</w:t>
      </w:r>
    </w:p>
    <w:p>
      <w:pPr>
        <w:spacing w:after="0" w:line="19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We have obtained exclusive licenses from third parties for proprietary rights to support the product candidates in our psychiatry portfolio. We have two license agreements with Afecta Pharmaceuticals, Inc. (Afecta) pursuant to which we obtained exclusive worldwide rights to selected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product candidates, including an exclusive license to SPN-810. We may pay up to $300,000 upon the achievement of certain milestones. If a product candidate is successfully developed and commercialized, we will be obligated to pay royalties to Afecta at a low single digit percentage of worldwide net product sales.</w:t>
      </w:r>
    </w:p>
    <w:p>
      <w:pPr>
        <w:spacing w:after="0" w:line="13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also entered into a purchase and sale agreement with Rune HealthCare Limited (Rune), where we obtained the exclusive worldwide rights to a product concept from Rune. There are no future milestone payments owing to Rune under this agreement. If we receive approval to market and sell any products based on the Rune product concept for SPN-809, we will be obligated to pay royalties as a low single digit percentage of worldwide net sales.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new accounting pronouncements, see Note 2 in the notes to the consolidated financial statements in Part II, Item 8 of this report.</w:t>
      </w:r>
    </w:p>
    <w:p>
      <w:pPr>
        <w:spacing w:after="0" w:line="24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primary objective of our investment activities is to preserve our capital to fund operations. We also seek to maximize income from our investments without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assuming significant interest rate or liquidity risk. Our exposure to market risk is confined to our cash, cash equivalents, marketable securities and long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 As of December 31, 2017, we had unrestricted cash, cash equivalents, marketable securities and long term marketable securities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$273.7 million. We do not engage in any hedging activities against changes in interest rates. Because of the short-term maturities of our cash, cash equivalents,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marketable securities and long term marketable securities and because we generally hold these securities to maturity, we do not believe that an increase in market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rates would have any significant impact on the realizable value of our investments. We do not have any currency or other derivative financial instruments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than the interest make-whole payment associated with our Notes.</w:t>
      </w:r>
    </w:p>
    <w:p>
      <w:pPr>
        <w:spacing w:after="0" w:line="2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may contract with CROs and investigational sites globally. Currently, we do not have ongoing trials outside the U.S. We do not hedge our foreign currency exchange rate risk. Transactions denominated in currencies other than U.S. dollar are recorded based on exchange rates of the time such transaction arises. As of December 31, 2017, substantially all of our total liabilities were denominated in the U.S. dollar. Inflation generally affects us by increasing our cost of labor and clinical trial costs. We do not believe that inflation and changing prices over the years ended December 31, 2017 and 2016 had a significant impact on our consolidated results of operations.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8840" w:type="dxa"/>
            <w:vAlign w:val="bottom"/>
            <w:gridSpan w:val="8"/>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51"/>
        </w:trPr>
        <w:tc>
          <w:tcPr>
            <w:tcW w:w="1010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0"/>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880" w:type="dxa"/>
            <w:vAlign w:val="bottom"/>
            <w:gridSpan w:val="7"/>
          </w:tcPr>
          <w:p>
            <w:pPr>
              <w:jc w:val="center"/>
              <w:ind w:right="2900"/>
              <w:spacing w:after="0"/>
              <w:rPr>
                <w:sz w:val="20"/>
                <w:szCs w:val="20"/>
                <w:color w:val="auto"/>
              </w:rPr>
            </w:pPr>
            <w:r>
              <w:rPr>
                <w:rFonts w:ascii="Arial" w:cs="Arial" w:eastAsia="Arial" w:hAnsi="Arial"/>
                <w:sz w:val="18"/>
                <w:szCs w:val="18"/>
                <w:b w:val="1"/>
                <w:bCs w:val="1"/>
                <w:color w:val="auto"/>
                <w:w w:val="87"/>
              </w:rPr>
              <w:t>Supernus Pharmaceuticals, Inc.</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880" w:type="dxa"/>
            <w:vAlign w:val="bottom"/>
            <w:gridSpan w:val="7"/>
          </w:tcPr>
          <w:p>
            <w:pPr>
              <w:jc w:val="center"/>
              <w:ind w:right="2880"/>
              <w:spacing w:after="0"/>
              <w:rPr>
                <w:sz w:val="20"/>
                <w:szCs w:val="20"/>
                <w:color w:val="auto"/>
              </w:rPr>
            </w:pPr>
            <w:r>
              <w:rPr>
                <w:rFonts w:ascii="Arial" w:cs="Arial" w:eastAsia="Arial" w:hAnsi="Arial"/>
                <w:sz w:val="18"/>
                <w:szCs w:val="18"/>
                <w:b w:val="1"/>
                <w:bCs w:val="1"/>
                <w:color w:val="auto"/>
                <w:w w:val="86"/>
              </w:rPr>
              <w:t>Consolidated Financial Statements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7"/>
              </w:rPr>
              <w:t>Years ended December 31, 2017, 2016 and 2015</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94"/>
        </w:trPr>
        <w:tc>
          <w:tcPr>
            <w:tcW w:w="1160" w:type="dxa"/>
            <w:vAlign w:val="bottom"/>
          </w:tcPr>
          <w:p>
            <w:pPr>
              <w:spacing w:after="0"/>
              <w:rPr>
                <w:sz w:val="24"/>
                <w:szCs w:val="24"/>
                <w:color w:val="auto"/>
              </w:rPr>
            </w:pPr>
          </w:p>
        </w:tc>
        <w:tc>
          <w:tcPr>
            <w:tcW w:w="41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Reports of Independent Registered Public Accounting Firm</w:t>
              </w:r>
            </w:hyperlink>
          </w:p>
        </w:tc>
        <w:tc>
          <w:tcPr>
            <w:tcW w:w="476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76</w:t>
              </w:r>
            </w:hyperlink>
          </w:p>
        </w:tc>
        <w:tc>
          <w:tcPr>
            <w:tcW w:w="11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940" w:type="dxa"/>
            <w:vAlign w:val="bottom"/>
            <w:gridSpan w:val="9"/>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Balance Sheets as of December 31, 2017 and 2016</w:t>
              </w:r>
            </w:hyperlink>
          </w:p>
        </w:tc>
        <w:tc>
          <w:tcPr>
            <w:tcW w:w="1320" w:type="dxa"/>
            <w:vAlign w:val="bottom"/>
            <w:gridSpan w:val="2"/>
          </w:tcPr>
          <w:p>
            <w:pPr>
              <w:jc w:val="right"/>
              <w:ind w:right="1140"/>
              <w:spacing w:after="0" w:line="19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79</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58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81">
              <w:r>
                <w:rPr>
                  <w:rFonts w:ascii="Arial" w:cs="Arial" w:eastAsia="Arial" w:hAnsi="Arial"/>
                  <w:sz w:val="18"/>
                  <w:szCs w:val="18"/>
                  <w:color w:val="0000EE"/>
                  <w:w w:val="86"/>
                </w:rPr>
                <w:t>Consolidated Statements of Earnings for the Years Ended December 31, 2017, 2016 and 2015</w:t>
              </w:r>
            </w:hyperlink>
          </w:p>
        </w:tc>
        <w:tc>
          <w:tcPr>
            <w:tcW w:w="2360" w:type="dxa"/>
            <w:vAlign w:val="bottom"/>
            <w:gridSpan w:val="4"/>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80</w:t>
              </w:r>
            </w:hyperlink>
          </w:p>
        </w:tc>
        <w:tc>
          <w:tcPr>
            <w:tcW w:w="11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940" w:type="dxa"/>
            <w:vAlign w:val="bottom"/>
            <w:gridSpan w:val="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Comprehensive Earnings for the Years Ended December 31, 2017, 2016 and 2015</w:t>
              </w:r>
            </w:hyperlink>
          </w:p>
        </w:tc>
        <w:tc>
          <w:tcPr>
            <w:tcW w:w="1320" w:type="dxa"/>
            <w:vAlign w:val="bottom"/>
            <w:gridSpan w:val="2"/>
          </w:tcPr>
          <w:p>
            <w:pPr>
              <w:jc w:val="right"/>
              <w:ind w:right="1140"/>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81</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940" w:type="dxa"/>
            <w:vAlign w:val="bottom"/>
            <w:gridSpan w:val="9"/>
          </w:tcPr>
          <w:p>
            <w:pPr>
              <w:spacing w:after="0" w:line="196" w:lineRule="exact"/>
              <w:rPr>
                <w:rFonts w:ascii="Arial" w:cs="Arial" w:eastAsia="Arial" w:hAnsi="Arial"/>
                <w:sz w:val="18"/>
                <w:szCs w:val="18"/>
                <w:color w:val="0000EE"/>
                <w:w w:val="94"/>
              </w:rPr>
            </w:pPr>
            <w:hyperlink w:anchor="page83">
              <w:r>
                <w:rPr>
                  <w:rFonts w:ascii="Arial" w:cs="Arial" w:eastAsia="Arial" w:hAnsi="Arial"/>
                  <w:sz w:val="18"/>
                  <w:szCs w:val="18"/>
                  <w:color w:val="0000EE"/>
                  <w:w w:val="94"/>
                </w:rPr>
                <w:t>Consolidated Statements of Changes in Stockholders' Equity for the Years Ended December 31, 2017, 2016 and 2015</w:t>
              </w:r>
            </w:hyperlink>
          </w:p>
        </w:tc>
        <w:tc>
          <w:tcPr>
            <w:tcW w:w="1320" w:type="dxa"/>
            <w:vAlign w:val="bottom"/>
            <w:gridSpan w:val="2"/>
          </w:tcPr>
          <w:p>
            <w:pPr>
              <w:jc w:val="right"/>
              <w:ind w:right="1140"/>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82</w:t>
              </w:r>
            </w:hyperlink>
          </w:p>
        </w:tc>
      </w:tr>
      <w:tr>
        <w:trPr>
          <w:trHeight w:val="196"/>
        </w:trPr>
        <w:tc>
          <w:tcPr>
            <w:tcW w:w="116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84">
              <w:r>
                <w:rPr>
                  <w:rFonts w:ascii="Arial" w:cs="Arial" w:eastAsia="Arial" w:hAnsi="Arial"/>
                  <w:sz w:val="18"/>
                  <w:szCs w:val="18"/>
                  <w:color w:val="0000EE"/>
                  <w:w w:val="86"/>
                </w:rPr>
                <w:t>Consolidated Statements of Cash Flows for the Years Ended December 31, 2017, 2016 and 2015</w:t>
              </w:r>
            </w:hyperlink>
          </w:p>
        </w:tc>
        <w:tc>
          <w:tcPr>
            <w:tcW w:w="1460" w:type="dxa"/>
            <w:vAlign w:val="bottom"/>
            <w:tcBorders>
              <w:top w:val="single" w:sz="8" w:color="0000EE"/>
            </w:tcBorders>
            <w:gridSpan w:val="2"/>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83</w:t>
              </w:r>
            </w:hyperlink>
          </w:p>
        </w:tc>
        <w:tc>
          <w:tcPr>
            <w:tcW w:w="11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940" w:type="dxa"/>
            <w:vAlign w:val="bottom"/>
            <w:gridSpan w:val="9"/>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Notes to Consolidated Financial Statements</w:t>
              </w:r>
            </w:hyperlink>
          </w:p>
        </w:tc>
        <w:tc>
          <w:tcPr>
            <w:tcW w:w="1320" w:type="dxa"/>
            <w:vAlign w:val="bottom"/>
            <w:gridSpan w:val="2"/>
          </w:tcPr>
          <w:p>
            <w:pPr>
              <w:jc w:val="right"/>
              <w:ind w:right="1140"/>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84</w:t>
              </w:r>
            </w:hyperlink>
          </w:p>
        </w:tc>
      </w:tr>
      <w:tr>
        <w:trPr>
          <w:trHeight w:val="451"/>
        </w:trPr>
        <w:tc>
          <w:tcPr>
            <w:tcW w:w="1160" w:type="dxa"/>
            <w:vAlign w:val="bottom"/>
          </w:tcPr>
          <w:p>
            <w:pPr>
              <w:spacing w:after="0"/>
              <w:rPr>
                <w:sz w:val="24"/>
                <w:szCs w:val="24"/>
                <w:color w:val="auto"/>
              </w:rPr>
            </w:pPr>
          </w:p>
        </w:tc>
        <w:tc>
          <w:tcPr>
            <w:tcW w:w="3060" w:type="dxa"/>
            <w:vAlign w:val="bottom"/>
            <w:tcBorders>
              <w:top w:val="single" w:sz="8" w:color="0000EE"/>
            </w:tcBorders>
            <w:gridSpan w:val="2"/>
          </w:tcPr>
          <w:p>
            <w:pPr>
              <w:spacing w:after="0"/>
              <w:rPr>
                <w:sz w:val="24"/>
                <w:szCs w:val="24"/>
                <w:color w:val="auto"/>
              </w:rPr>
            </w:pPr>
          </w:p>
        </w:tc>
        <w:tc>
          <w:tcPr>
            <w:tcW w:w="352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75</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audited the accompanying consolidated balance sheets of Supernus Pharmaceuticals, Inc. and subsidiary (the "Company") as of December 31, 2017 and 2016, the related consolidated statements of earnings, statements of comprehensive earnings, statements of changes in stockholders' equity, and statements of cash flows for each of the years in the three-year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their operations and their cash flows for each of the years in the three-year period ended December 31, 2017, in conformity with U.S. generally accepted accounting principles.</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and our report dated March 1, 2018 expressed an unqualified opinion on the effectiveness of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 xml:space="preserve">We have audited Supernus Pharmaceuticals, Inc. and subsidiary' (the "Company") internal control over financial reporting as of December 31, 2017, based on criteria established </w:t>
      </w:r>
      <w:r>
        <w:rPr>
          <w:rFonts w:ascii="Arial" w:cs="Arial" w:eastAsia="Arial" w:hAnsi="Arial"/>
          <w:sz w:val="16"/>
          <w:szCs w:val="16"/>
          <w:i w:val="1"/>
          <w:iCs w:val="1"/>
          <w:color w:val="auto"/>
        </w:rPr>
        <w:t>in Internal Control—Integrated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2017,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w:t>
      </w:r>
    </w:p>
    <w:p>
      <w:pPr>
        <w:spacing w:after="0" w:line="167"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2017 and 2016, the related consolidated statements of earnings, statements of comprehensive earnings, statements of changes in stockholders' equity, and statements of cash flows for each of the years in the three-year period ended December 31, 2017, and the related notes (collectively, the consolidated financial statements), and our report dated March 1, 2018 expressed an unqualified opinion on those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23,723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228,451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151,404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 term marketable securities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309,568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Accrued sales deductions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41,943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Non-recourse liability related to sale of future royalties, current portion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Deferred licensing revenue</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Deferred licensing revenue, net of current portion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notes,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Non-recourse liability related to sale of future royalties, long term</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27,289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117,813</w:t>
            </w:r>
          </w:p>
        </w:tc>
        <w:tc>
          <w:tcPr>
            <w:tcW w:w="160" w:type="dxa"/>
            <w:vAlign w:val="bottom"/>
            <w:shd w:val="clear" w:color="auto" w:fill="CCEEFF"/>
          </w:tcPr>
          <w:p>
            <w:pPr>
              <w:spacing w:after="0"/>
              <w:rPr>
                <w:sz w:val="18"/>
                <w:szCs w:val="18"/>
                <w:color w:val="auto"/>
              </w:rPr>
            </w:pPr>
          </w:p>
        </w:tc>
      </w:tr>
      <w:tr>
        <w:trPr>
          <w:trHeight w:val="431"/>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$0.001 par value, 130,000,000 shares authorized at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w w:val="89"/>
              </w:rPr>
              <w:t>December 31, 2017 and December 31, 2016; 51,314,850 and 49,971,267 shares issued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w w:val="99"/>
              </w:rPr>
              <w:t>and outstanding at December 31, 2017 and December 31, 2016, respectively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(84,288)</w:t>
            </w: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267,480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191,755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424,464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309,568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Earnings</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Net product sales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294,097</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210,078</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143,526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revenue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Licensing revenue</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product sales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42,791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Interest expense-nonrecourse liability related to sale of future royalties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0"/>
        </w:trPr>
        <w:tc>
          <w:tcPr>
            <w:tcW w:w="548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43,334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(40,852)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50,756,603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49,472,434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47,485,258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53,301,150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51,708,983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51,160,380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57,284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91,221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13,944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marketable securities, net of tax</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10"/>
        </w:trPr>
        <w:tc>
          <w:tcPr>
            <w:tcW w:w="5300" w:type="dxa"/>
            <w:vAlign w:val="bottom"/>
            <w:gridSpan w:val="2"/>
          </w:tcPr>
          <w:p>
            <w:pPr>
              <w:spacing w:after="0"/>
              <w:rPr>
                <w:sz w:val="20"/>
                <w:szCs w:val="20"/>
                <w:color w:val="auto"/>
              </w:rPr>
            </w:pPr>
            <w:r>
              <w:rPr>
                <w:rFonts w:ascii="Arial" w:cs="Arial" w:eastAsia="Arial" w:hAnsi="Arial"/>
                <w:sz w:val="18"/>
                <w:szCs w:val="18"/>
                <w:color w:val="auto"/>
              </w:rPr>
              <w:t>Other comprehensive (loss) earnings:</w:t>
            </w:r>
          </w:p>
        </w:tc>
        <w:tc>
          <w:tcPr>
            <w:tcW w:w="1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56,671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91,575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13,610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gridSpan w:val="4"/>
            <w:vMerge w:val="restart"/>
          </w:tcPr>
          <w:p>
            <w:pPr>
              <w:jc w:val="right"/>
              <w:ind w:right="272"/>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7"/>
              </w:rPr>
              <w:t>Additional</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540" w:type="dxa"/>
            <w:vAlign w:val="bottom"/>
            <w:tcBorders>
              <w:bottom w:val="single" w:sz="8" w:color="auto"/>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jc w:val="right"/>
              <w:ind w:right="112"/>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5"/>
                <w:szCs w:val="5"/>
                <w:color w:val="auto"/>
              </w:rPr>
            </w:pPr>
          </w:p>
        </w:tc>
        <w:tc>
          <w:tcPr>
            <w:tcW w:w="980" w:type="dxa"/>
            <w:vAlign w:val="bottom"/>
            <w:gridSpan w:val="3"/>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Earnings (Loss)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2014</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42,974,463</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230,263</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(154)</w:t>
            </w:r>
          </w:p>
        </w:tc>
        <w:tc>
          <w:tcPr>
            <w:tcW w:w="220" w:type="dxa"/>
            <w:vAlign w:val="bottom"/>
            <w:gridSpan w:val="2"/>
            <w:shd w:val="clear" w:color="auto" w:fill="CCEEFF"/>
          </w:tcPr>
          <w:p>
            <w:pPr>
              <w:jc w:val="right"/>
              <w:ind w:right="21"/>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(189,453)</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40,699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140"/>
              <w:spacing w:after="0" w:line="149" w:lineRule="exact"/>
              <w:rPr>
                <w:sz w:val="20"/>
                <w:szCs w:val="20"/>
                <w:color w:val="auto"/>
              </w:rPr>
            </w:pPr>
            <w:r>
              <w:rPr>
                <w:rFonts w:ascii="Arial" w:cs="Arial" w:eastAsia="Arial" w:hAnsi="Arial"/>
                <w:sz w:val="14"/>
                <w:szCs w:val="14"/>
                <w:color w:val="auto"/>
              </w:rPr>
              <w:t>Share-based compensation</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4,090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4,090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4"/>
              </w:rPr>
              <w:t>Issuance of employee stock purchase plan shares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98,986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140"/>
              <w:spacing w:after="0" w:line="149" w:lineRule="exact"/>
              <w:rPr>
                <w:sz w:val="20"/>
                <w:szCs w:val="20"/>
                <w:color w:val="auto"/>
              </w:rPr>
            </w:pPr>
            <w:r>
              <w:rPr>
                <w:rFonts w:ascii="Arial" w:cs="Arial" w:eastAsia="Arial" w:hAnsi="Arial"/>
                <w:sz w:val="14"/>
                <w:szCs w:val="14"/>
                <w:color w:val="auto"/>
              </w:rPr>
              <w:t>Exercise of stock options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205,640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937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937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Equity issued on conversion of</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280"/>
              <w:spacing w:after="0" w:line="149" w:lineRule="exact"/>
              <w:rPr>
                <w:sz w:val="20"/>
                <w:szCs w:val="20"/>
                <w:color w:val="auto"/>
              </w:rPr>
            </w:pPr>
            <w:r>
              <w:rPr>
                <w:rFonts w:ascii="Arial" w:cs="Arial" w:eastAsia="Arial" w:hAnsi="Arial"/>
                <w:sz w:val="14"/>
                <w:szCs w:val="14"/>
                <w:color w:val="auto"/>
              </w:rPr>
              <w:t>convertible notes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5,693,062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27,083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27,089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warrants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32,523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140"/>
              <w:spacing w:after="0" w:line="149" w:lineRule="exact"/>
              <w:rPr>
                <w:sz w:val="20"/>
                <w:szCs w:val="20"/>
                <w:color w:val="auto"/>
              </w:rPr>
            </w:pPr>
            <w:r>
              <w:rPr>
                <w:rFonts w:ascii="Arial" w:cs="Arial" w:eastAsia="Arial" w:hAnsi="Arial"/>
                <w:sz w:val="14"/>
                <w:szCs w:val="14"/>
                <w:color w:val="auto"/>
              </w:rPr>
              <w:t>Net earnings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13,944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13,944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comprehensive loss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December 31, 2015</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49,004,674</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263,955</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(175,509)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88,007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Share-based compensation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140"/>
              <w:spacing w:after="0" w:line="149" w:lineRule="exact"/>
              <w:rPr>
                <w:sz w:val="20"/>
                <w:szCs w:val="20"/>
                <w:color w:val="auto"/>
              </w:rPr>
            </w:pPr>
            <w:r>
              <w:rPr>
                <w:rFonts w:ascii="Arial" w:cs="Arial" w:eastAsia="Arial" w:hAnsi="Arial"/>
                <w:sz w:val="14"/>
                <w:szCs w:val="14"/>
                <w:color w:val="auto"/>
                <w:w w:val="94"/>
              </w:rPr>
              <w:t>Issuance of employee stock purchase plan shares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109,244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1,494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1,494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Exercise of stock options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85,694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140"/>
              <w:spacing w:after="0" w:line="149" w:lineRule="exact"/>
              <w:rPr>
                <w:sz w:val="20"/>
                <w:szCs w:val="20"/>
                <w:color w:val="auto"/>
              </w:rPr>
            </w:pPr>
            <w:r>
              <w:rPr>
                <w:rFonts w:ascii="Arial" w:cs="Arial" w:eastAsia="Arial" w:hAnsi="Arial"/>
                <w:sz w:val="14"/>
                <w:szCs w:val="14"/>
                <w:color w:val="auto"/>
                <w:w w:val="97"/>
              </w:rPr>
              <w:t>Equity issued on conversion of convertible notes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771,655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4,161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4,162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earnings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91,221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140"/>
              <w:spacing w:after="0" w:line="149" w:lineRule="exact"/>
              <w:rPr>
                <w:sz w:val="20"/>
                <w:szCs w:val="20"/>
                <w:color w:val="auto"/>
              </w:rPr>
            </w:pPr>
            <w:r>
              <w:rPr>
                <w:rFonts w:ascii="Arial" w:cs="Arial" w:eastAsia="Arial" w:hAnsi="Arial"/>
                <w:sz w:val="14"/>
                <w:szCs w:val="14"/>
                <w:color w:val="auto"/>
                <w:w w:val="91"/>
              </w:rPr>
              <w:t>Unrealized gain on marketable securities, net of tax</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December 31, 2016</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49,971,267</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276,127</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(84,288)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191,755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Cumulative-effct of adoption of ASU 2016-09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January 1, 2017</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49,971,267</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276,338</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(84,107)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192,147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Share-based compensation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140"/>
              <w:spacing w:after="0" w:line="149" w:lineRule="exact"/>
              <w:rPr>
                <w:sz w:val="20"/>
                <w:szCs w:val="20"/>
                <w:color w:val="auto"/>
              </w:rPr>
            </w:pPr>
            <w:r>
              <w:rPr>
                <w:rFonts w:ascii="Arial" w:cs="Arial" w:eastAsia="Arial" w:hAnsi="Arial"/>
                <w:sz w:val="14"/>
                <w:szCs w:val="14"/>
                <w:color w:val="auto"/>
                <w:w w:val="94"/>
              </w:rPr>
              <w:t>Issuance of employee stock purchase plan shares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71,256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1,888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1,888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Exercise of stock options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407,477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140"/>
              <w:spacing w:after="0" w:line="149" w:lineRule="exact"/>
              <w:rPr>
                <w:sz w:val="20"/>
                <w:szCs w:val="20"/>
                <w:color w:val="auto"/>
              </w:rPr>
            </w:pPr>
            <w:r>
              <w:rPr>
                <w:rFonts w:ascii="Arial" w:cs="Arial" w:eastAsia="Arial" w:hAnsi="Arial"/>
                <w:sz w:val="14"/>
                <w:szCs w:val="14"/>
                <w:color w:val="auto"/>
              </w:rPr>
              <w:t>Equity issued on conversion of</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convertible notes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864,850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140"/>
              <w:spacing w:after="0" w:line="149" w:lineRule="exact"/>
              <w:rPr>
                <w:sz w:val="20"/>
                <w:szCs w:val="20"/>
                <w:color w:val="auto"/>
              </w:rPr>
            </w:pPr>
            <w:r>
              <w:rPr>
                <w:rFonts w:ascii="Arial" w:cs="Arial" w:eastAsia="Arial" w:hAnsi="Arial"/>
                <w:sz w:val="14"/>
                <w:szCs w:val="14"/>
                <w:color w:val="auto"/>
              </w:rPr>
              <w:t>Net earnings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57,284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57,284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2"/>
              </w:rPr>
              <w:t>Unrealized loss on marketable securities, net of tax</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December 31, 2017</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51,314,850</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294,999</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(26,823)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267,480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10"/>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earnings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57,284</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91,221</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earnings to net cash provided by operating activities:</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fair value of derivative liability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financing costs and debt discount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auto"/>
              </w:rPr>
              <w:t>Amortization of premium/discount on marketable 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Non-cash interest expense on non-recourse liability related to sale of future royalties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auto"/>
              </w:rPr>
              <w:t>Non-cash royalty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(4,686)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auto"/>
              </w:rPr>
              <w:t>Deferred income tax provision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(41,787)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(24,059)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(15,619)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Accrued sales deductions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licensing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114,640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(101,889)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(47,364)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Deferred legal fees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(11,154)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(18,821)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(10,907)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(35,964)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(39,289)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100,304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Income taxes paid</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financial activity: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Conversion of convertible notes and interest make-whole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4,548</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27,089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warrants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Deferred legal fees included in accounts payable and accrued expenses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5,122</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Unsettled purchase of marketable securities included in accrued expenses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Supernus Pharmaceuticals, Inc. (the Company) was incorporated in Delaware and commenced operations in 2005. The Company is a specialty pharmaceutical company focused on developing and commercializing products for the treatment of central nervous system (CNS) diseases. The Company markets two products, Oxtellar XR for the treatment of epilepsy and Trokendi XR for the prophylaxis of migraine headache and treatment of epilepsy, and has several proprietary product candidates in clinical development that address the psychiatry market.</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launched Oxtellar XR and Trokendi XR in 2013 for the treatment of epilepsy and launched Trokendi XR for the prophylaxis of migraine headache in adolescents and adults in April 2017.</w:t>
      </w:r>
    </w:p>
    <w:p>
      <w:pPr>
        <w:spacing w:after="0" w:line="180" w:lineRule="exact"/>
        <w:rPr>
          <w:sz w:val="20"/>
          <w:szCs w:val="20"/>
          <w:color w:val="auto"/>
        </w:rPr>
      </w:pPr>
    </w:p>
    <w:p>
      <w:pPr>
        <w:ind w:right="7860" w:firstLine="8"/>
        <w:spacing w:after="0" w:line="504" w:lineRule="auto"/>
        <w:tabs>
          <w:tab w:leader="none" w:pos="176"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Company's consolidated financial statements include the accounts of Supernus Pharmaceuticals, Inc. and Supernus Europe Ltd., collectively referred to herein as "Supernus" or "the Company." All significant intercompany transactions and balances have been eliminated in consolidation. The Company's consolidated financial statements have been prepared in accordance with generally accepted accounting principles in the U.S. (U.S. GAAP).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which is primarily located in the U.S., operates in one operating segment.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preparation of the financial statements in accordance with U.S. GAAP requires the Company to make estimates and judgments in certain circumstances that affect the reported amounts of assets, liabilities, revenues and expenses, and related disclosure of contingent assets and liabilities. In preparing these consolidated financial statements, management has made its best estimates and judgments of certain amounts included in the financial statements, giving due consideration to materiality. On an ongoing basis, the Company evaluates its estimates, including those related to revenue recognition, future royalty revenue related to Orenitram net product sales, accrued sales deductions, fair value of financial assets and liabilities, derivative liabilities, common stock options, income taxes, preclinical study and clinical trial accruals, and other contingencies. Management bases its estimates on historical experience or on various forecasts, including information received from its service providers, which it has assessed to be reasonable under the circumstances. Actual results could differ from these estimates.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investments in highly liquid financial instruments with an original maturity of three months or less to be cash equivalents.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Marketable securities consist of investments in U.S. Treasury bills and notes, certificates of deposit, various U.S. governmental agency debt securities, corporate and municipal bonds and other fixed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income securities. The Company places all investments with government, industrial, or financial institutions whose debt is rated as investment grade. The Company classifies all available-for-sale marketable securities with maturities greater than one year from the balance sheet date as non-current assets.</w:t>
      </w:r>
    </w:p>
    <w:p>
      <w:pPr>
        <w:spacing w:after="0" w:line="1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Company's investments are classified as available-for-sale and are carried at estimated fair value. Any unrealized holding gains or losses are reported, net of any reported tax effects, as accumulated other comprehensive earnings (loss), which is a separate component of stockholders' equity.</w:t>
      </w:r>
    </w:p>
    <w:p>
      <w:pPr>
        <w:spacing w:after="0" w:line="139"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Realized gains and losses, and declines in value judged to be other-than-temporary, if any, are included in consolidated results of operations. A decline in the market value of any available-for-sale security below cost that is deemed to be other-than-temporary results in a reduction in fair value, with that reduction charged to earnings in that period. A new cost basis for the security is then established. Dividend and interest income is recognized when earned. The cost of securities sold is calculated using the specific identification method.</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established the Supernus Supplemental Executive Retirement Plan (SERP) for the sole purpose of receiving funds for executives from a previous SERP and providing a continuing deferral program under the Supernus SERP. As of December 31, 2017 and 2016, the estimated fair value of the mutual fund investment securities within the SERP was approximately $335,000 and $275,000, respectively. The fair value of these assets is included within other non-current assets on the consolidated balance sheets. A corresponding noncurrent liability is also included in the consolidated balance sheets to reflect the Company's obligation for the SERP. The Company has not made, and has no plans to make, contributions to the SERP. The securities are restricted in nature and can only be used for purposes of paying benefits under the SERP.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Accounts receivable are reported on the consolidated balance sheets at outstanding amounts, less an allowance for doubtful accounts and discounts. The Company extends credit without requiring collateral. The Company writes off uncollectible receivables when the likelihood of collection is remote. The Company evaluates the collectability of accounts receivable on a regular basis, but no less frequently than quarterly. An allowance, when needed, is based upon various factors, including the financial condition and payment history of customers, an overall review of collections experience on other accounts, and economic factors or events expected to affect future collections experience.</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Company recorded no allowance for bad debt in 2017 and approximately $42,000 allowance for bad debts as of December 31, 2016. No accounts were written off in 2017 and 2016.</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recorded an allowance of approximately $8.9 million and $5.6 million for expected sales discounts as of December 31, 2017 and December 31, 2016,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table includes those customers, who are wholesalers and distributors, that represent more than 10% of total net product sales for 2017 and more than 10% of the accounts receivable balance on the consolidated balance sheet as of December 31, 2017:</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Percent of</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Percent of</w:t>
            </w:r>
          </w:p>
        </w:tc>
      </w:tr>
      <w:tr>
        <w:trPr>
          <w:trHeight w:val="149"/>
        </w:trPr>
        <w:tc>
          <w:tcPr>
            <w:tcW w:w="574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Net Product</w:t>
            </w: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Accounts</w:t>
            </w:r>
          </w:p>
        </w:tc>
      </w:tr>
      <w:tr>
        <w:trPr>
          <w:trHeight w:val="161"/>
        </w:trPr>
        <w:tc>
          <w:tcPr>
            <w:tcW w:w="57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Sales</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Receivable, net</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Customer B</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0"/>
        </w:trPr>
        <w:tc>
          <w:tcPr>
            <w:tcW w:w="5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r>
      <w:tr>
        <w:trPr>
          <w:trHeight w:val="20"/>
        </w:trPr>
        <w:tc>
          <w:tcPr>
            <w:tcW w:w="5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cash equivalents, accounts receivable and marketable securities. The counterparties are various corporations and financial institutions of high credit standing.</w:t>
      </w:r>
    </w:p>
    <w:p>
      <w:pPr>
        <w:spacing w:after="0" w:line="18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Substantially all of the Company's cash and cash equivalents are maintained with U.S. government agencies and well known corporations. Deposits held with banks may exceed the amount of insurance provided on such deposits. Generally, these deposits may be redeemed upon demand and, therefore, management believes they bear minimal default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3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Inventories, which are recorded at the lower of cost or market, include materials, labor, and other direct and indirect costs and are valued using the first-in, first-out method. The Company capitalizes inventories produced in preparation for commercial launches when it becomes probable that the related product candidates will receive regulatory approval and that the related costs will be recoverable through the commercial sale of the product.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Property and equipment are stated at cost. Upon retirement or sale, the cost of assets disposed of and the related accumulated depreciation are removed from the accounts and any resulting gain or loss is credited or charged to operations. Repairs and maintenance costs are expensed as incurred. Depreciation and amortization are computed using the straight-line method over the following useful lives: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7600" w:type="dxa"/>
            <w:vAlign w:val="bottom"/>
            <w:shd w:val="clear" w:color="auto" w:fill="CCEEFF"/>
          </w:tcPr>
          <w:p>
            <w:pPr>
              <w:ind w:left="4940"/>
              <w:spacing w:after="0"/>
              <w:rPr>
                <w:sz w:val="20"/>
                <w:szCs w:val="20"/>
                <w:color w:val="auto"/>
              </w:rPr>
            </w:pPr>
            <w:r>
              <w:rPr>
                <w:rFonts w:ascii="Arial" w:cs="Arial" w:eastAsia="Arial" w:hAnsi="Arial"/>
                <w:sz w:val="18"/>
                <w:szCs w:val="18"/>
                <w:color w:val="auto"/>
              </w:rPr>
              <w:t>3 years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Software</w:t>
            </w:r>
          </w:p>
        </w:tc>
        <w:tc>
          <w:tcPr>
            <w:tcW w:w="7600" w:type="dxa"/>
            <w:vAlign w:val="bottom"/>
          </w:tcPr>
          <w:p>
            <w:pPr>
              <w:ind w:left="4940"/>
              <w:spacing w:after="0"/>
              <w:rPr>
                <w:sz w:val="20"/>
                <w:szCs w:val="20"/>
                <w:color w:val="auto"/>
              </w:rPr>
            </w:pPr>
            <w:r>
              <w:rPr>
                <w:rFonts w:ascii="Arial" w:cs="Arial" w:eastAsia="Arial" w:hAnsi="Arial"/>
                <w:sz w:val="18"/>
                <w:szCs w:val="18"/>
                <w:color w:val="auto"/>
              </w:rPr>
              <w:t>3 years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Lab equipment and furniture</w:t>
            </w:r>
          </w:p>
        </w:tc>
        <w:tc>
          <w:tcPr>
            <w:tcW w:w="7600" w:type="dxa"/>
            <w:vAlign w:val="bottom"/>
            <w:shd w:val="clear" w:color="auto" w:fill="CCEEFF"/>
          </w:tcPr>
          <w:p>
            <w:pPr>
              <w:ind w:left="4940"/>
              <w:spacing w:after="0"/>
              <w:rPr>
                <w:sz w:val="20"/>
                <w:szCs w:val="20"/>
                <w:color w:val="auto"/>
              </w:rPr>
            </w:pPr>
            <w:r>
              <w:rPr>
                <w:rFonts w:ascii="Arial" w:cs="Arial" w:eastAsia="Arial" w:hAnsi="Arial"/>
                <w:sz w:val="18"/>
                <w:szCs w:val="18"/>
                <w:color w:val="auto"/>
              </w:rPr>
              <w:t>5 - 10 years</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600" w:type="dxa"/>
            <w:vAlign w:val="bottom"/>
          </w:tcPr>
          <w:p>
            <w:pPr>
              <w:ind w:left="4940"/>
              <w:spacing w:after="0"/>
              <w:rPr>
                <w:sz w:val="20"/>
                <w:szCs w:val="20"/>
                <w:color w:val="auto"/>
              </w:rPr>
            </w:pPr>
            <w:r>
              <w:rPr>
                <w:rFonts w:ascii="Arial" w:cs="Arial" w:eastAsia="Arial" w:hAnsi="Arial"/>
                <w:sz w:val="18"/>
                <w:szCs w:val="18"/>
                <w:color w:val="auto"/>
                <w:w w:val="97"/>
              </w:rPr>
              <w:t>Shorter of lease term or useful life</w:t>
            </w:r>
          </w:p>
        </w:tc>
      </w:tr>
      <w:tr>
        <w:trPr>
          <w:trHeight w:val="424"/>
        </w:trPr>
        <w:tc>
          <w:tcPr>
            <w:tcW w:w="3820" w:type="dxa"/>
            <w:vAlign w:val="bottom"/>
          </w:tcPr>
          <w:p>
            <w:pPr>
              <w:spacing w:after="0"/>
              <w:rPr>
                <w:sz w:val="24"/>
                <w:szCs w:val="24"/>
                <w:color w:val="auto"/>
              </w:rPr>
            </w:pPr>
          </w:p>
        </w:tc>
        <w:tc>
          <w:tcPr>
            <w:tcW w:w="7600" w:type="dxa"/>
            <w:vAlign w:val="bottom"/>
          </w:tcPr>
          <w:p>
            <w:pPr>
              <w:ind w:left="1800"/>
              <w:spacing w:after="0"/>
              <w:rPr>
                <w:sz w:val="20"/>
                <w:szCs w:val="20"/>
                <w:color w:val="auto"/>
              </w:rPr>
            </w:pPr>
            <w:r>
              <w:rPr>
                <w:rFonts w:ascii="Arial" w:cs="Arial" w:eastAsia="Arial" w:hAnsi="Arial"/>
                <w:sz w:val="18"/>
                <w:szCs w:val="18"/>
                <w:color w:val="auto"/>
              </w:rPr>
              <w:t>86</w:t>
            </w:r>
          </w:p>
        </w:tc>
      </w:tr>
      <w:tr>
        <w:trPr>
          <w:trHeight w:val="228"/>
        </w:trPr>
        <w:tc>
          <w:tcPr>
            <w:tcW w:w="382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ind w:right="6960" w:firstLine="8"/>
        <w:spacing w:after="0" w:line="504" w:lineRule="auto"/>
        <w:tabs>
          <w:tab w:leader="none" w:pos="17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Intangible Assets</w:t>
      </w:r>
    </w:p>
    <w:p>
      <w:pPr>
        <w:spacing w:after="0" w:line="1"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Intangible assets consist of patent defense costs, which are deferred legal fees that have been incurred in connection with legal proceedings related to the defense of patents for Oxtellar XR and Trokendi XR. Patent defense costs will be charged to expense in the event of an unsuccessful outcome of the ongoing litigation. Patents are carried at cost less accumulated amortization, which is calculated on a straight-line basis over the estimated useful lives of the patents. Amortization commences in the quarter after the costs are incurred. The amortization period is based initially upon the remaining patent life and is adjusted, if necessary, for any subsequent settlements or other changes to the expected useful life of the patent. The carrying value of the patents is assessed for impairment annually during the fourth quarter of each year, or more frequently if impairment indicators exist. There were no indicators of impairment identified at December 31,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Long-lived assets consist primarily of property and equipment and patent defense costs. The Company assesses the recoverability of its long-lived assets whenever events or changes in circumstances indicate that the carrying amount of an asset may not be recoverable. If indications of impairment exist, projected future undiscounted cash flows associated with the asset are compared to the carrying value to determine whether the asset's value is recoverable. Evaluating for impairment requires judgment, including the estimation of future cash flows, future growth rates and profitability, and the expected life over which cash flows will occur. Changes in the Company's business strategy or adverse changes in market conditions could impact impairment analyses and require the recognition of an impairment charge equal to the excess of the carrying value of the long-lived asset over its estimated fair value. There were no indicators of impairment identified for the Company's long-lived assets as of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31"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Deferred financing costs consist of financing costs incurred by the Company in connection with the issuance of the Company's 7.50% Convertible Senior Secured Notes (see Note 8). The Company amortized deferred financing costs over the term of the related debt using the effective interest method. All related deferred financing costs have been written off, coincident with the conversion of all remaining Notes in 2017. The was no remaining balance at December 31, 2017.</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Study and Clinical Trial Accruals</w:t>
      </w:r>
    </w:p>
    <w:p>
      <w:pPr>
        <w:spacing w:after="0" w:line="2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estimates preclinical study and clinical trial expenses based on the services performed pursuant to contracts with research institutions, clinical investigators, and clinical research organizations (CROs) that conduct activities on our behalf. In recording service fees, the Company estimates the time period over which the related services will be performed and compares the level of effort expended through the end of each period to the cumulative expenses recorded and payments made for such services. As appropriate, it accrues additional service fees or defers any non-refundable advance payments until the related services are performed. If the actual timing of the performance of services or the level of effort varies from the estimate, the Company will adjust its accrued expenses or deferred advance payments accordingly. If the Company later determines that it no longer expects the services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associated with a nonrefundable advance payment to be rendered, the advance payment will be charged to expense in the period in which such determination is made.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Product Sales</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Revenue from product sales is recognized when: persuasive evidence of an arrangement exists; delivery has occurred and title to the product and associated risk of loss has passed to the customer; the price is fixed or determinable; collection from the customer has been reasonably assured; all performance obligations have been met; and returns and allowances can be reasonably estimated. Product sales are recorded net of estimated rebates, chargebacks, allowances, discounts, patient copay assistance and other deductions as well as estimated product returns (collectively, "sales deductions").</w:t>
      </w:r>
    </w:p>
    <w:p>
      <w:pPr>
        <w:spacing w:after="0" w:line="16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products are distributed through wholesalers and pharmaceutical distributors. Each of these wholesalers and distributors takes title and ownership to the product upon physical receipt of the product and then distributes our products to pharmacies.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Deductions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Allowances for estimated sales deductions are provided for the following:</w:t>
      </w:r>
    </w:p>
    <w:p>
      <w:pPr>
        <w:spacing w:after="0" w:line="239" w:lineRule="exact"/>
        <w:rPr>
          <w:sz w:val="20"/>
          <w:szCs w:val="20"/>
          <w:color w:val="auto"/>
        </w:rPr>
      </w:pPr>
    </w:p>
    <w:p>
      <w:pPr>
        <w:ind w:left="1080" w:right="100" w:hanging="532"/>
        <w:spacing w:after="0" w:line="294"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Rebates</w:t>
      </w:r>
      <w:r>
        <w:rPr>
          <w:rFonts w:ascii="Arial" w:cs="Arial" w:eastAsia="Arial" w:hAnsi="Arial"/>
          <w:sz w:val="16"/>
          <w:szCs w:val="16"/>
          <w:color w:val="auto"/>
        </w:rPr>
        <w:t>. Rebates include mandated discounts under the Medicaid Drug Rebate Program, the Medicare coverage gap program, as well as negotiated discounts with commercial healthcare providers. Rebates are amounts owed after the final dispensing of product to a benefit plan participant has occurred and are based upon contractual agreements or legal requirements with the public sector (e.g., Medicaid) and with private sector benefit providers (e.g., commercial managed care providers). The allowance for rebates is based on statutory and contractual discount rates and anticipated rebates based on a plan provider's utilization.</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080" w:right="60"/>
        <w:spacing w:after="0" w:line="256" w:lineRule="auto"/>
        <w:rPr>
          <w:rFonts w:ascii="Arial" w:cs="Arial" w:eastAsia="Arial" w:hAnsi="Arial"/>
          <w:sz w:val="16"/>
          <w:szCs w:val="16"/>
          <w:color w:val="auto"/>
        </w:rPr>
      </w:pPr>
      <w:r>
        <w:rPr>
          <w:rFonts w:ascii="Arial" w:cs="Arial" w:eastAsia="Arial" w:hAnsi="Arial"/>
          <w:sz w:val="18"/>
          <w:szCs w:val="18"/>
          <w:color w:val="auto"/>
        </w:rPr>
        <w:t>Rebates are generally invoiced and paid quarterly in arrears so that the accrual balance consists of an estimate of the amount expected to be incurred for the current quarter's activity, plus an accrual balance for known or estimated prior quarters' unpaid rebates. If actual rebates vary from estimates, we may need to adjust balances of such rebates to reflect the actual expenditures of the Company with respect to these programs, thereby affecting revenue in the period of adjustment.</w:t>
      </w:r>
    </w:p>
    <w:p>
      <w:pPr>
        <w:spacing w:after="0" w:line="224"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Co-pay assistance</w:t>
      </w:r>
      <w:r>
        <w:rPr>
          <w:rFonts w:ascii="Arial" w:cs="Arial" w:eastAsia="Arial" w:hAnsi="Arial"/>
          <w:sz w:val="16"/>
          <w:szCs w:val="16"/>
          <w:color w:val="auto"/>
        </w:rPr>
        <w:t>. Patients who pay in cash or have commercial insurance and meet certain eligibility requirements may receive co-pay assistance from the Company. The intent of this program is to reduce the patient's out of pocket costs. Liabilities for co-pay assistance are based on actual program participation and estimates of program redemption using data provided by third-party administrators.</w:t>
      </w:r>
    </w:p>
    <w:p>
      <w:pPr>
        <w:spacing w:after="0" w:line="174" w:lineRule="exact"/>
        <w:rPr>
          <w:rFonts w:ascii="Arial" w:cs="Arial" w:eastAsia="Arial" w:hAnsi="Arial"/>
          <w:sz w:val="16"/>
          <w:szCs w:val="16"/>
          <w:color w:val="auto"/>
        </w:rPr>
      </w:pPr>
    </w:p>
    <w:p>
      <w:pPr>
        <w:ind w:left="1080" w:hanging="532"/>
        <w:spacing w:after="0" w:line="298"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Distributor/Wholesaler Deductions and Discounts</w:t>
      </w:r>
      <w:r>
        <w:rPr>
          <w:rFonts w:ascii="Arial" w:cs="Arial" w:eastAsia="Arial" w:hAnsi="Arial"/>
          <w:sz w:val="16"/>
          <w:szCs w:val="16"/>
          <w:color w:val="auto"/>
        </w:rPr>
        <w:t>. U.S. specialty distributors and wholesalers are offered various forms of consideration including allowances, service fees and prompt payment discounts as consideration for distributing our products. Distributor allowances and service fees arise from contractual agreements with distributors and are generally a percentage of the price at which the Company sells product to distributors and wholesalers. Wholesale customers are offered a prompt pay discount for payment within a specified period.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44" w:lineRule="exact"/>
        <w:rPr>
          <w:rFonts w:ascii="Arial" w:cs="Arial" w:eastAsia="Arial" w:hAnsi="Arial"/>
          <w:sz w:val="18"/>
          <w:szCs w:val="18"/>
          <w:b w:val="1"/>
          <w:bCs w:val="1"/>
          <w:color w:val="auto"/>
        </w:rPr>
      </w:pPr>
    </w:p>
    <w:p>
      <w:pPr>
        <w:ind w:left="1080" w:right="100" w:hanging="532"/>
        <w:spacing w:after="0" w:line="306" w:lineRule="auto"/>
        <w:tabs>
          <w:tab w:leader="none" w:pos="108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Returns</w:t>
      </w:r>
      <w:r>
        <w:rPr>
          <w:rFonts w:ascii="Arial" w:cs="Arial" w:eastAsia="Arial" w:hAnsi="Arial"/>
          <w:sz w:val="16"/>
          <w:szCs w:val="16"/>
          <w:color w:val="auto"/>
        </w:rPr>
        <w:t>. Sales of our products are not subject to a general right of return; however, the Company will accept product that is damaged or defective when shipped directly from our warehouse. The Company will accept expired product six months prior to and up to 12 months subsequent to its expiry date. Product that has been used to fill patient prescriptions is no longer subject to any right of return.</w:t>
      </w:r>
    </w:p>
    <w:p>
      <w:pPr>
        <w:spacing w:after="0" w:line="187" w:lineRule="exact"/>
        <w:rPr>
          <w:rFonts w:ascii="Arial" w:cs="Arial" w:eastAsia="Arial" w:hAnsi="Arial"/>
          <w:sz w:val="16"/>
          <w:szCs w:val="16"/>
          <w:color w:val="auto"/>
        </w:rPr>
      </w:pPr>
    </w:p>
    <w:p>
      <w:pPr>
        <w:ind w:left="1080" w:right="60" w:hanging="532"/>
        <w:spacing w:after="0" w:line="294" w:lineRule="auto"/>
        <w:tabs>
          <w:tab w:leader="none" w:pos="108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Chargebacks</w:t>
      </w:r>
      <w:r>
        <w:rPr>
          <w:rFonts w:ascii="Arial" w:cs="Arial" w:eastAsia="Arial" w:hAnsi="Arial"/>
          <w:sz w:val="16"/>
          <w:szCs w:val="16"/>
          <w:color w:val="auto"/>
        </w:rPr>
        <w:t>. Chargebacks are discounts that occur when contracted customers purchase directly from an intermediary distributor or wholesaler. Contracted customers, which currently consist primarily of Public Health Service institutions and federal government entities purchasing via the Federal Supply Schedule, generally purchase our product at a discounted price. The distributor or wholesaler, in turn, charges back the difference between the price initially paid by the distributor or wholesaler and the discounted price paid to the distributor or wholesaler by the customer. The allowance for distributor/wholesaler chargebacks is based on sales to contracted customers.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of License Revenue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License and Collaboration Agreements</w:t>
      </w:r>
    </w:p>
    <w:p>
      <w:pPr>
        <w:spacing w:after="0" w:line="225"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have entered into collaboration agreements to have both Oxtellar XR and Trokendi XR commercialized outside of the U.S. These agreements generally include an up-front license fee and ongoing milestone payments upon the achievement of specific events. We believe that when milestones meet all of the necessary criteria to be considered substantive, these should be recognized as revenue when achieved. For up-front license fees, we have estimated the service period of the contract and are recognizing this revenue on a straight-line basis over the respective service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Milestone Payments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Milestone payments on licensing agreements are recognized as revenue when the collaborative partner acknowledges completion of the milestone and substantive effort was necessary to achieve the milestone. Management may recognize revenue contingent upon the achievement of a milestone in its entirety in the period in which the milestone is achieved only if the milestone meets all the criteria to be considered substantive. Substantive milestone payments are recognized upon achievement of the milestone only if all of the following conditions are met:</w:t>
      </w:r>
    </w:p>
    <w:p>
      <w:pPr>
        <w:spacing w:after="0" w:line="180"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milestone payments are non-refundable;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Achievement of the milestone involves a degree of risk and was not reasonably assured at the inception of the arrangement;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Substantive effort on the partner's part is involved in achieving the milestone;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amount of the milestone payment is reasonable in relation to the effort expended or the risk associated with achievement of the milestone.</w:t>
      </w:r>
    </w:p>
    <w:p>
      <w:pPr>
        <w:spacing w:after="0" w:line="24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Determination as to whether a payment meets the aforementioned conditions involves management's judgment. If any of these conditions are not met, the resulting payment would not be considered 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substantive milestone, and therefore the resulting payment would be considered part of the consideration for the single unit of accounting and amortized over the appropriate period.</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recorded $1.5 million of milestone revenue during the year ended December 31, 2017. There was no milestone revenue during the year ended December 31, 2016 and $0.8 million of milestone revenue for the year ended December 31,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recognize non-cash royalty revenue for royalty amounts earned pursuant to a royalty agreement with United Therapeutics. In 2014, the Company sold certain of these royalty rights to Healthcare Royalty Partners III, L.P. (HC Royalty) (see Note 15). Accordingly, the Company records non-cash royalty revenue when payments are made from United Therapeutics to HC Royalty in connection with these agreements. Royalty revenue also includes royalty amounts received from collaboration partners, including Shire Pharmaceuticals Inc., based on net product sales of Mydayis.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Sales</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cost of product sales consists primarily of materials, third-party manufacturing costs, freight and distribution costs, allocation of labor, quality control and assurance, and other manufacturing overhead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Research and development costs are expensed as incurred. Research and development costs consist primarily of: employee-related expenses, including salaries and benefits; share-based compensation expense; expenses incurred under agreements with CROs; fees paid to clinical investigators who are participating in our clinical trials; fees paid to consultants and other vendors that conduct the Company's clinical trials; the cost of acquiring and manufacturing clinical trial materials; the cost of manufacturing materials used in process validation, but only to the extent that those materials are manufactured prior to receiving regulatory approval and are not expected to be sold commercially; facilities costs that do not have an alternative future use; related depreciation and other allocated expenses; license fees for, and milestone payments related to in-licensed products and technologies; and costs associated with animal testing activities and regulatory approvals.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costs of the Company's advertising efforts are expensed as incurred. The Company incurred approximately $33.8 million, $21.9 million and $19.3 million in advertising costs for the years ended December 31, 2017, 2016 and 2015, respectively. These expenses are recorded in the selling, general and administrative expense line item.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3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Employee share-based compensation is measured based on the estimated fair value as of the grant date. The grant date fair value is calculated using the Black-Scholes option-pricing model, which requires the use of subjective assumptions including stock volatility, expected term, risk-free rate,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underlying common stock. The Company recognizes expense using the straight-line method.</w:t>
      </w:r>
    </w:p>
    <w:p>
      <w:pPr>
        <w:spacing w:after="0" w:line="22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Company records the expense for stock option grants to non-employees based on the estimated fair value of the stock option using the Black-Scholes option pricing model. The fair value of non-employee awards is re-measured at each reporting period. As a result, stock compensation expense for non-employee awards with vesting is affected by subsequent changes in the fair value of the Company's common stock, with those changes recorded in the relevant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utilizes the asset and liability method of accounting for income taxes. Under this method, deferred tax assets and liabilities are determined based on differences between financial reporting and tax reporting bases of assets and liabilities and are measured using tax rates and laws that are expected to be in effect when the differences are expected to reverse. When appropriate, valuation allowances are established to reduce deferred tax assets to the amounts expected to be realized.</w:t>
      </w:r>
    </w:p>
    <w:p>
      <w:pPr>
        <w:spacing w:after="0" w:line="19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accounts for uncertain tax positions in its consolidated financial statements when it is more-likely-than-not that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 The Company's policy is to recognize any interest and penalties related to income taxes as income tax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 in 2017</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March 2016, the Financial Accounting Standards Board (FASB) issued Accounting Standards Update (ASU) No. 2016-09,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Improvements to Employee Share-Based Payment Accounting</w:t>
      </w:r>
      <w:r>
        <w:rPr>
          <w:rFonts w:ascii="Arial" w:cs="Arial" w:eastAsia="Arial" w:hAnsi="Arial"/>
          <w:sz w:val="16"/>
          <w:szCs w:val="16"/>
          <w:color w:val="auto"/>
        </w:rPr>
        <w:t>." The standard is intended to simplify several areas of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compensation arrangements, including the income tax impact, classification on the statement of cash flows and forfeitures. ASU 2016-09 is effective for fiscal years, and interim periods within those years, beginning after December 15, 2016, and early adoption is permitted. The Company adopted ASU 2016-09 on January 1, 2017 using the modified retrospective approach. As a result, the Company recorded a cumulative effect adjustment of $211,000 to increase the 2017 beginning of period additional paid-in capital balance, with an offset to accumulated deficit for historical forfeiture assumptions. Additionally, the Company recorded an opening balance sheet adjustment of $392,000 to increase its deferred tax asset, with an offset to accumulated deficit, primarily to recognize excess tax benefits (i.e. windfalls) from stock option exercises in prior years and the impact of the $211,000 adjustment to historical forfeiture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22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has subsequently issued a number of amendments to ASU 2014-09. The new standard, as amended,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provides a comprehensive model to be used in the accounting for revenue arising from contracts with customers and supersedes current revenue recognition guidance, including industry-specific guidance. The standard's stated core principle is that an entity should recognize revenue to depict the transfer of promised goods or services to customers in an amount that reflects the consideration to which the entity expects to be entitled in exchange for those goods or services. To achieve this core principle, ASU 2014-09 includes provisions with a five step model that includes identifying the contract with a customer, identifying the performance obligations in the contract, determining the transaction price, allocating the transaction price to performance obligations, and recognizing revenue when, or as, an entity satisfies a performance obligation. In addition, the standard requires disclosure of the nature, amount, timing, and uncertainty of revenue and cash flows arising from contracts with customers.</w:t>
      </w:r>
    </w:p>
    <w:p>
      <w:pPr>
        <w:spacing w:after="0" w:line="17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new standard will be effective for the Company beginning January 1, 2018 and permits two methods of adoption: the full retrospective method, which requires the standard to be applied to each prior period presented, or the modified retrospective method, which requires the cumulative effect of adoption to be recognized as an adjustment to opening retained earnings in the period of adoption. The Company will adopt the standard using the modified retrospective method on January 1, 2018.</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completed an analysis of existing contracts with our customers and assessed the differences in accounting for such contracts under ASU 2014-09 compared with current revenue accounting standards. Based on our review of current customer contracts, we do not expect the implementation of ASU 2014-09 to have a material quantitative impact on our consolidated financial statements as the timing of revenue recognition for product sales is not expected to significantly change. Under the new standard, we expect the timing of revenue recognition for upfront licensing fees from our license and collaboration agreements and royalty arrangements to be accelerated. In addition, royalties from sales of licensed products will be recognized as the underlying sales of product occur by the licensee. The Company has substantially completed its impact assessment and expects the cumulative effect adjustment to retained earnings on January 1, 2018, reflecting the acceleration of revenue recognition, is not material. The adoption of the new standard will also result in additional revenue-related disclosures in the footnotes to our consolidated financial statements. The Company continues to evaluate the impact of the new guidance on its financial statement disclosures.</w:t>
      </w:r>
    </w:p>
    <w:p>
      <w:pPr>
        <w:spacing w:after="0" w:line="17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standard requires a lessee to recognize assets and liabilities on the balance sheet for leases with lease terms greater than 12 months. ASU 2016-02 is effective for fiscal years, and interim periods within those years, beginning after December 15, 2018, and early adoption is permitted. We expect the ASU to have a material impact on our assets and liabilities due to the addition of previously classified operating leases, but we do not expect it to have a material impact on our cash flows or results of operations.</w:t>
      </w:r>
    </w:p>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August 2017, the FASB issued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ASU 2017-12 provides new guidance about income statement classification and eliminates the requirement to separately measure and report hedge ineffectiveness. The entire change in fair value for qualifying hedge instruments included in the effectiveness measurement will be recorded in other comprehensive income (OCI) and amounts deferred in OCI will be reclassified to earnings in the same income statement line item in which the earnings effect of the hedged item is reported. This standard will be effective for the first annual period beginning after December 15, 2018, including interim periods within those periods. Early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adoption is permitted. The Company is currently assessing the impact that this standard will have on its consolidated financial statements, but does not expect it to have a material impact.</w:t>
      </w:r>
    </w:p>
    <w:p>
      <w:pPr>
        <w:spacing w:after="0" w:line="18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ASU 2017-09 is effective for all annual periods, and interim periods within those annual periods, beginning after December 15, 2017, with early adoption permitted. The Company does not expect the adoption of this guidance to have a material impact on its consolidated financial statements.</w:t>
      </w:r>
    </w:p>
    <w:p>
      <w:pPr>
        <w:spacing w:after="0" w:line="17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August 2016, the FASB issued ASU No.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The standard eliminates diversity in the practice of how certain cash receipts and cash payments are presented and classified in the statement of cash flows under Topic 230, Statement of Cash Flows, and other Topics. ASU 2016-15 is effective for annual reporting periods, and interim periods therein, beginning after December 15, 2017. The Company does not expect the adoption of this guidance to have a material impact on its consolidated financial statements.</w:t>
      </w:r>
    </w:p>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has evaluated all other ASUs issued through the date the consolidated financials were issued in this Annual Report on Form 10-K and believes that no other ASU will have a material impact on the Company's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fair value of an asset or liability should represent the price that would be received to sell an asset or paid to transfer a liability in an orderly transaction between market participants. Such transactions to sell an asset or transfer a liability are assumed to occur in the principal or most advantageous market for the asset or liability. Accordingly, fair value is determined based on a hypothetical transaction at the measurement date, considered from the perspective of a market participant rather than from a reporting entity's perspective.</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reports assets and liabilities that are measured at fair value using a three 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08" w:lineRule="exact"/>
        <w:rPr>
          <w:sz w:val="20"/>
          <w:szCs w:val="20"/>
          <w:color w:val="auto"/>
        </w:rPr>
      </w:pPr>
    </w:p>
    <w:p>
      <w:pPr>
        <w:ind w:left="1080" w:right="1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that the Company has the ability to access at the measurement date.</w:t>
      </w:r>
    </w:p>
    <w:p>
      <w:pPr>
        <w:spacing w:after="0" w:line="212"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Level 2—Inputs are quoted prices for similar assets and liabilities in active markets, quoted prices for identical or similar assets or liabilities in markets that are not active, inputs other than quoted prices that are observable for the asset or liability (interest rates, yield curves, etc.) and inputs that are derived principally from or corroborated by observable market data by correlation or other means (market corroborated inputs).</w:t>
      </w:r>
    </w:p>
    <w:p>
      <w:pPr>
        <w:spacing w:after="0" w:line="174"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based on the best information available, including the Company's own data.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 (Continued)</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accordance with the fair value hierarchy described above, the following tables show the fair value of the Company's financial assets and liabilities that are required to be measured at fair value, in thousands of dollars: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at December 31, 2017</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Total Carrying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Quoted Prices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Value at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in Active</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Markets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0"/>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100,304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100,304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132,477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132,029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Government debt securities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Marketable securities—restricted (SERP)</w:t>
            </w:r>
          </w:p>
        </w:tc>
        <w:tc>
          <w:tcPr>
            <w:tcW w:w="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171,143</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at December 31, 2016</w:t>
            </w: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Total Carrying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Quoted Prices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Value at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in Active</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Markets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0"/>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66,398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66,398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74,343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72,626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Government debt securities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Marketable securities—restricted (SERP)</w:t>
            </w:r>
          </w:p>
        </w:tc>
        <w:tc>
          <w:tcPr>
            <w:tcW w:w="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97,035</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2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restricted marketable securities is included within other non-current assets in the consolidated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Level 1 assets include cash held with banks, certificates of deposit, and money market funds.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Level 2 assets include the SERP (Supplemental Executive Retirement Plan) assets, commercial paper and investment grade corporate and government debt securities and other fixed income securities. Level 2 securities are valued using third-party pricing sources that apply applicable inputs and other relevant data in their models to estimate fair value.</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 (Continued)</w:t>
      </w:r>
    </w:p>
    <w:p>
      <w:pPr>
        <w:spacing w:after="0" w:line="23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Level 3 liabilities include the estimated fair value of the interest make-whole liability associated with the Company's Notes, which are recorded as derivative liabilities. The "make-whole fundamental change" provision (as defined in the Indenture governing the Notes) expired on May 1, 2017.</w:t>
      </w:r>
    </w:p>
    <w:p>
      <w:pPr>
        <w:spacing w:after="0" w:line="13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Unrestricted marketable securities held by the Company were as follows, in thousands of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Gross</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Amortized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Available for Sale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Gains</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government debt securities</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174,235</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w:t>
            </w: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173,374</w:t>
            </w:r>
          </w:p>
        </w:tc>
        <w:tc>
          <w:tcPr>
            <w:tcW w:w="0" w:type="dxa"/>
            <w:vAlign w:val="bottom"/>
          </w:tcPr>
          <w:p>
            <w:pPr>
              <w:spacing w:after="0"/>
              <w:rPr>
                <w:sz w:val="1"/>
                <w:szCs w:val="1"/>
                <w:color w:val="auto"/>
              </w:rPr>
            </w:pPr>
          </w:p>
        </w:tc>
      </w:tr>
      <w:tr>
        <w:trPr>
          <w:trHeight w:val="430"/>
        </w:trPr>
        <w:tc>
          <w:tcPr>
            <w:tcW w:w="5920" w:type="dxa"/>
            <w:vAlign w:val="bottom"/>
            <w:gridSpan w:val="3"/>
          </w:tcPr>
          <w:p>
            <w:pPr>
              <w:spacing w:after="0"/>
              <w:rPr>
                <w:sz w:val="20"/>
                <w:szCs w:val="20"/>
                <w:color w:val="auto"/>
              </w:rPr>
            </w:pPr>
            <w:r>
              <w:rPr>
                <w:rFonts w:ascii="Arial" w:cs="Arial" w:eastAsia="Arial" w:hAnsi="Arial"/>
                <w:sz w:val="18"/>
                <w:szCs w:val="18"/>
                <w:color w:val="auto"/>
              </w:rPr>
              <w:t>At December 31, 2016: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Gross</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Amortized</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Available for Sale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Gains</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government debt securities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99,487</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99,133</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contractual maturities of the unrestricted available for sale marketable securities held by the Company were as follows, in thousands of dollars:</w:t>
      </w:r>
    </w:p>
    <w:p>
      <w:pPr>
        <w:sectPr>
          <w:pgSz w:w="11900" w:h="16838" w:orient="portrait"/>
          <w:cols w:equalWidth="0" w:num="1">
            <w:col w:w="11320"/>
          </w:cols>
          <w:pgMar w:left="240" w:top="13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Less Than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1 year to 2 years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2 year to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3 years to 4 years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Greater Than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-107315</wp:posOffset>
            </wp:positionV>
            <wp:extent cx="506857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3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78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p>
      <w:pPr>
        <w:jc w:val="center"/>
        <w:ind w:right="178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6089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ind w:left="480" w:hanging="476"/>
        <w:spacing w:after="0"/>
        <w:tabs>
          <w:tab w:leader="none" w:pos="4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39,736</w:t>
      </w:r>
    </w:p>
    <w:p>
      <w:pPr>
        <w:spacing w:after="0" w:line="42"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42,921</w:t>
      </w:r>
    </w:p>
    <w:p>
      <w:pPr>
        <w:spacing w:after="0" w:line="43"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43,021</w:t>
      </w:r>
    </w:p>
    <w:p>
      <w:pPr>
        <w:spacing w:after="0" w:line="43"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47,696</w:t>
      </w:r>
    </w:p>
    <w:p>
      <w:pPr>
        <w:spacing w:after="0" w:line="43"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6089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ind w:left="400" w:hanging="396"/>
        <w:spacing w:after="0"/>
        <w:tabs>
          <w:tab w:leader="none" w:pos="400" w:val="left"/>
        </w:tabs>
        <w:numPr>
          <w:ilvl w:val="0"/>
          <w:numId w:val="51"/>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173,374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50165</wp:posOffset>
            </wp:positionV>
            <wp:extent cx="6089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7860" w:space="720"/>
            <w:col w:w="2740"/>
          </w:cols>
          <w:pgMar w:left="240" w:top="131" w:right="339" w:bottom="1440" w:gutter="0" w:footer="0" w:header="0"/>
          <w:type w:val="continuous"/>
        </w:sectPr>
      </w:pPr>
    </w:p>
    <w:p>
      <w:pPr>
        <w:spacing w:after="0" w:line="6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not experienced any other-than-temporary losses on its marketable securities and restricted marketable securities. The cost of securities sold is calculated using the specific identification method.</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 of dollars: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8,873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8,874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60" w:type="dxa"/>
            <w:vAlign w:val="bottom"/>
            <w:gridSpan w:val="2"/>
          </w:tcPr>
          <w:p>
            <w:pPr>
              <w:spacing w:after="0"/>
              <w:rPr>
                <w:sz w:val="20"/>
                <w:szCs w:val="20"/>
                <w:color w:val="auto"/>
              </w:rPr>
            </w:pPr>
            <w:r>
              <w:rPr>
                <w:rFonts w:ascii="Arial" w:cs="Arial" w:eastAsia="Arial" w:hAnsi="Arial"/>
                <w:sz w:val="18"/>
                <w:szCs w:val="18"/>
                <w:color w:val="auto"/>
              </w:rPr>
              <w:t>Property and equipment consist of the following, in thousands of dollars: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Lab equipment and furniture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Depreciation and amortization expense on property and equipment was approximately $1.2 million, $1.1 million, and $0.7 million for the years ended December 31, 2017, 2016 and 2015,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patent defense costs, which are deferred legal fees incurred in conjunction with defending patents for Oxtellar XR and Trokendi XR.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gross carrying amount and related accumulated amortization of the intangible assets, in thousands of dollars: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400" w:type="dxa"/>
            <w:vAlign w:val="bottom"/>
            <w:gridSpan w:val="3"/>
          </w:tcPr>
          <w:p>
            <w:pPr>
              <w:jc w:val="center"/>
              <w:ind w:right="172"/>
              <w:spacing w:after="0"/>
              <w:rPr>
                <w:sz w:val="20"/>
                <w:szCs w:val="20"/>
                <w:color w:val="auto"/>
              </w:rPr>
            </w:pPr>
            <w:r>
              <w:rPr>
                <w:rFonts w:ascii="Arial" w:cs="Arial" w:eastAsia="Arial" w:hAnsi="Arial"/>
                <w:sz w:val="14"/>
                <w:szCs w:val="14"/>
                <w:b w:val="1"/>
                <w:bCs w:val="1"/>
                <w:color w:val="auto"/>
                <w:w w:val="85"/>
              </w:rPr>
              <w:t>Weighted-</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44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Average Life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Capitalized patent defense costs</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5.9 - 10 years  $</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44,185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37,633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(8,166)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r>
      <w:tr>
        <w:trPr>
          <w:trHeight w:val="20"/>
        </w:trPr>
        <w:tc>
          <w:tcPr>
            <w:tcW w:w="4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36,350</w:t>
            </w:r>
          </w:p>
        </w:tc>
      </w:tr>
      <w:tr>
        <w:trPr>
          <w:trHeight w:val="20"/>
        </w:trPr>
        <w:tc>
          <w:tcPr>
            <w:tcW w:w="4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March 2017, the Company entered into two settlements with various companies related to Trokendi XR patent litigation. The remaining unamortized aggregate capitalized patent defense cost for Trokendi XR is amortized over the remaining useful life of the patents at issue or January 1, 2023, which is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date the Company is obligated under the settlements to grant a non-exclusive license to the patents at issue.</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Amortization expense on intangible assets was approximately $6.9 million, $1.3 million and $0.2 million for the years ended December 31, 2017, 2016 and 2015,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Anticipated annual amortization expense on intangible assets for each of the next five years from 2018 to 2022, is approximately $5.2 million per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indicators of impairment identified.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are comprised of the following, in thousands of dollars: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6,447</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and clinical supply costs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Accrued product costs</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1,794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6,414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5,630</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27,427</w:t>
            </w: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Senior Secured Notes</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May 3, 2013, the Company issued $90.0 million aggregate principal amount of Notes in a private placement offering. As of July 2017, the notes were fully converted into equity.</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issued the Notes under an Indenture, dated May 3, 2013 (the Indenture), between the Company and U.S. Bank National Association, as Trustee and Collateral Agent. The Notes provided for 7.50% interest per annum on the principal amount of the Notes, payable semi-annually in arrears on May 1 and November 1 of each year. The Notes would have matured on May 1, 2019, unless earlier converted, redeemed or repurchased by the Company. The Notes were convertible into the Company's common stock (Common Stock) as described in the Indenture. The conversion rate for the Notes was equal to 188.7059 shares of Common Stock per $1,000 principal amount of notes (which is equivalent to an initial conversion price of approximately $5.30 per share of Common Stock). All of the Notes have converted to Common Stock and as of December 31, 2017, there were no Notes outstanding.</w:t>
      </w:r>
    </w:p>
    <w:p>
      <w:pPr>
        <w:spacing w:after="0" w:line="174"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The Company incurred approximately $3.5 million of financing costs (including the underwriters' fee) in connection with the issuance of the Notes. Approximately $0.9 million of this amount was allocated to additional paid-in capital and the remaining $2.6 million was recorded as a deferred cost and amortized over the term of the Notes.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Senior Secured Notes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activity related to the Notes from issuance on May 3, 2013 through December 31, 2017, in thousands of dollars: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90,000</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Initial value of interest make-whole derivative reported as debt discount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(9,270)</w:t>
            </w: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option reported as debt discount and APIC</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(22,336)</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Conversion of debt to equity—principal</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(85,425)</w:t>
            </w: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debt to equity—accretion of debt discount and deferred financing costs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25,767</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Accretion of debt discount and deferred financing costs</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5,429</w:t>
            </w:r>
          </w:p>
        </w:tc>
      </w:tr>
      <w:tr>
        <w:trPr>
          <w:trHeight w:val="20"/>
        </w:trPr>
        <w:tc>
          <w:tcPr>
            <w:tcW w:w="7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 carrying value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4,165</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Conversion of debt to equity—principal</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(4,575)</w:t>
            </w: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debt to equity—accretion of debt discount and deferred financing costs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Accretion of debt discount and deferred financing costs</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0"/>
        </w:trPr>
        <w:tc>
          <w:tcPr>
            <w:tcW w:w="7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 carrying value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7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year ended December 31, 2017, approximately $4.6 million aggregate principal amount of Notes were presented to the Company for conversion. Accordingly, the Company issued approximately 0.9 million shares of Common Stock in conversion of the principal amount of the Notes. As a result of the conversions, the Company incurred a loss of approximately $0.3 million on extinguishment of debt during the year ended December 31, 2017. This amount was included as a separate component of other income (expense) on the Consolidated Statement of Earnings.</w:t>
      </w:r>
    </w:p>
    <w:p>
      <w:pPr>
        <w:spacing w:after="0" w:line="16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the year ended December 31, 2016, approximately $3.9 million aggregate principal amount of Notes were presented to the Company for conversion. Accordingly, the Company issued approximately 0.7 million shares of Common Stock in conversion of the principal amount of the Notes. The Company issued an additional 24,000 shares of Common Stock in settlement of the interest make-whole provision related to the converted Notes. As a result of the 2016 conversions, the Company incurred a loss on extinguishment of debt of approximately $0.7 million for the year ended December 31,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our Common Stock are entitled to one vote for each share of Common Stock held.</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period from November 1, 2013 through December 31, 2017, the Company issued 17.0 million shares of Common Stock as a result of the conversion of approximately $90.0 million aggregate principal amount of Notes. In addition, the Company issued approximately 2.2 million shares of Common Stock in settlement of the interest-make whole provision associated with those conversions.</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has adopted the Supernus Pharmaceuticals, Inc. 2012 Equity Incentive Plan (the 2012 Plan), which is stockholder approved, and provides for the grant of stock options and certain other awards, including stock appreciation rights (SAR), restricted and unrestricted stock, stock units, performance awards, cash awards and other awards that are convertible into or otherwise based on the Company's common stock, to the Company's key employees, directors, consultants and advisors. The 2012 Plan is administered by the Company's Board of Directors and the Company's Compensation Committee and provides for the issuance of up to 8,000,000 shares of the Company's Common Stock. Option awards are granted with an exercise price equal to the estimated fair value of the Company's Common Stock at the grant date. Option awards granted to employees, consultants and advisors generally vest in four annual installments, starting on the first anniversary of the date of the grant and have ten-year contractual terms. Option awards granted to the directors generally vest over a one year term and have ten-year contractual terms.</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Share-based compensation recognized related to the grant of employee and non-employee stock options, SAR, Employee Stock Purchase Plan (ESPP) awards and non-vested stock was as follows, in thousands of dollars: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4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3,216</w:t>
            </w:r>
          </w:p>
        </w:tc>
      </w:tr>
      <w:tr>
        <w:trPr>
          <w:trHeight w:val="20"/>
        </w:trPr>
        <w:tc>
          <w:tcPr>
            <w:tcW w:w="4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4,090</w:t>
            </w:r>
          </w:p>
        </w:tc>
      </w:tr>
      <w:tr>
        <w:trPr>
          <w:trHeight w:val="20"/>
        </w:trPr>
        <w:tc>
          <w:tcPr>
            <w:tcW w:w="4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option award is estimated on the date of grant using the Black-Scholes option-pricing model and the assumptions in the following table:</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Year Ended December 31,</w:t>
            </w:r>
          </w:p>
        </w:tc>
        <w:tc>
          <w:tcPr>
            <w:tcW w:w="11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80" w:type="dxa"/>
            <w:vAlign w:val="bottom"/>
            <w:tcBorders>
              <w:bottom w:val="single" w:sz="8" w:color="auto"/>
            </w:tcBorders>
          </w:tcPr>
          <w:p>
            <w:pPr>
              <w:jc w:val="center"/>
              <w:ind w:left="35"/>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2015</w:t>
            </w: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12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88"/>
              </w:rPr>
              <w:t>$25.30 - $41.00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 $22.80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$9.13 - $21.21</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tcPr>
          <w:p>
            <w:pPr>
              <w:jc w:val="center"/>
              <w:ind w:left="15"/>
              <w:spacing w:after="0"/>
              <w:rPr>
                <w:sz w:val="20"/>
                <w:szCs w:val="20"/>
                <w:color w:val="auto"/>
              </w:rPr>
            </w:pPr>
            <w:r>
              <w:rPr>
                <w:rFonts w:ascii="Arial" w:cs="Arial" w:eastAsia="Arial" w:hAnsi="Arial"/>
                <w:sz w:val="18"/>
                <w:szCs w:val="18"/>
                <w:color w:val="auto"/>
                <w:w w:val="88"/>
              </w:rPr>
              <w:t>53.61% - 60.6%</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60.9%</w:t>
            </w:r>
          </w:p>
        </w:tc>
        <w:tc>
          <w:tcPr>
            <w:tcW w:w="1980" w:type="dxa"/>
            <w:vAlign w:val="bottom"/>
            <w:gridSpan w:val="3"/>
          </w:tcPr>
          <w:p>
            <w:pPr>
              <w:ind w:left="20"/>
              <w:spacing w:after="0"/>
              <w:rPr>
                <w:sz w:val="20"/>
                <w:szCs w:val="20"/>
                <w:color w:val="auto"/>
              </w:rPr>
            </w:pPr>
            <w:r>
              <w:rPr>
                <w:rFonts w:ascii="Arial" w:cs="Arial" w:eastAsia="Arial" w:hAnsi="Arial"/>
                <w:sz w:val="18"/>
                <w:szCs w:val="18"/>
                <w:color w:val="auto"/>
                <w:w w:val="99"/>
              </w:rPr>
              <w:t>- 64.5%   60.9% - 64.6%</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2"/>
              </w:rPr>
              <w:t>0%</w:t>
            </w:r>
          </w:p>
        </w:tc>
        <w:tc>
          <w:tcPr>
            <w:tcW w:w="1460" w:type="dxa"/>
            <w:vAlign w:val="bottom"/>
            <w:gridSpan w:val="4"/>
            <w:shd w:val="clear" w:color="auto" w:fill="CCEEFF"/>
          </w:tcPr>
          <w:p>
            <w:pPr>
              <w:jc w:val="center"/>
              <w:ind w:left="216"/>
              <w:spacing w:after="0"/>
              <w:rPr>
                <w:sz w:val="20"/>
                <w:szCs w:val="20"/>
                <w:color w:val="auto"/>
              </w:rPr>
            </w:pPr>
            <w:r>
              <w:rPr>
                <w:rFonts w:ascii="Arial" w:cs="Arial" w:eastAsia="Arial" w:hAnsi="Arial"/>
                <w:sz w:val="18"/>
                <w:szCs w:val="18"/>
                <w:color w:val="auto"/>
                <w:w w:val="92"/>
              </w:rPr>
              <w:t>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Expected term</w:t>
            </w:r>
          </w:p>
        </w:tc>
        <w:tc>
          <w:tcPr>
            <w:tcW w:w="1280" w:type="dxa"/>
            <w:vAlign w:val="bottom"/>
          </w:tcPr>
          <w:p>
            <w:pPr>
              <w:ind w:left="340"/>
              <w:spacing w:after="0"/>
              <w:rPr>
                <w:sz w:val="20"/>
                <w:szCs w:val="20"/>
                <w:color w:val="auto"/>
              </w:rPr>
            </w:pPr>
            <w:r>
              <w:rPr>
                <w:rFonts w:ascii="Arial" w:cs="Arial" w:eastAsia="Arial" w:hAnsi="Arial"/>
                <w:sz w:val="18"/>
                <w:szCs w:val="18"/>
                <w:color w:val="auto"/>
              </w:rPr>
              <w:t>6.25 years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ind w:left="220"/>
              <w:spacing w:after="0"/>
              <w:rPr>
                <w:sz w:val="20"/>
                <w:szCs w:val="20"/>
                <w:color w:val="auto"/>
              </w:rPr>
            </w:pPr>
            <w:r>
              <w:rPr>
                <w:rFonts w:ascii="Arial" w:cs="Arial" w:eastAsia="Arial" w:hAnsi="Arial"/>
                <w:sz w:val="18"/>
                <w:szCs w:val="18"/>
                <w:color w:val="auto"/>
              </w:rPr>
              <w:t>6.25 years</w:t>
            </w:r>
          </w:p>
        </w:tc>
        <w:tc>
          <w:tcPr>
            <w:tcW w:w="1160" w:type="dxa"/>
            <w:vAlign w:val="bottom"/>
          </w:tcPr>
          <w:p>
            <w:pPr>
              <w:ind w:left="220"/>
              <w:spacing w:after="0"/>
              <w:rPr>
                <w:sz w:val="20"/>
                <w:szCs w:val="20"/>
                <w:color w:val="auto"/>
              </w:rPr>
            </w:pPr>
            <w:r>
              <w:rPr>
                <w:rFonts w:ascii="Arial" w:cs="Arial" w:eastAsia="Arial" w:hAnsi="Arial"/>
                <w:sz w:val="18"/>
                <w:szCs w:val="18"/>
                <w:color w:val="auto"/>
              </w:rPr>
              <w:t>6.25 years</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89"/>
              </w:rPr>
              <w:t>1.90% - 2.18%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- 2.15%   1.54% - 1.74%</w:t>
            </w: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280" w:type="dxa"/>
            <w:vAlign w:val="bottom"/>
          </w:tcPr>
          <w:p>
            <w:pPr>
              <w:jc w:val="center"/>
              <w:ind w:left="35"/>
              <w:spacing w:after="0"/>
              <w:rPr>
                <w:sz w:val="20"/>
                <w:szCs w:val="20"/>
                <w:color w:val="auto"/>
              </w:rPr>
            </w:pPr>
            <w:r>
              <w:rPr>
                <w:rFonts w:ascii="Arial" w:cs="Arial" w:eastAsia="Arial" w:hAnsi="Arial"/>
                <w:sz w:val="18"/>
                <w:szCs w:val="18"/>
                <w:color w:val="auto"/>
                <w:w w:val="92"/>
              </w:rPr>
              <w:t>0%</w:t>
            </w:r>
          </w:p>
        </w:tc>
        <w:tc>
          <w:tcPr>
            <w:tcW w:w="1460" w:type="dxa"/>
            <w:vAlign w:val="bottom"/>
            <w:gridSpan w:val="4"/>
          </w:tcPr>
          <w:p>
            <w:pPr>
              <w:jc w:val="center"/>
              <w:ind w:left="216"/>
              <w:spacing w:after="0"/>
              <w:rPr>
                <w:sz w:val="20"/>
                <w:szCs w:val="20"/>
                <w:color w:val="auto"/>
              </w:rPr>
            </w:pPr>
            <w:r>
              <w:rPr>
                <w:rFonts w:ascii="Arial" w:cs="Arial" w:eastAsia="Arial" w:hAnsi="Arial"/>
                <w:sz w:val="18"/>
                <w:szCs w:val="18"/>
                <w:color w:val="auto"/>
                <w:w w:val="92"/>
              </w:rPr>
              <w:t>5%</w:t>
            </w:r>
          </w:p>
        </w:tc>
        <w:tc>
          <w:tcPr>
            <w:tcW w:w="1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5%</w:t>
            </w:r>
          </w:p>
        </w:tc>
      </w:tr>
    </w:tbl>
    <w:p>
      <w:pPr>
        <w:spacing w:after="0" w:line="195"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Fair Value of Common Stock</w:t>
      </w:r>
      <w:r>
        <w:rPr>
          <w:rFonts w:ascii="Arial" w:cs="Arial" w:eastAsia="Arial" w:hAnsi="Arial"/>
          <w:sz w:val="18"/>
          <w:szCs w:val="18"/>
          <w:color w:val="auto"/>
        </w:rPr>
        <w:t>—The fair value of the Common Stock underlying the option grants was determined based on observable market prices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Common Stock.</w:t>
      </w:r>
    </w:p>
    <w:p>
      <w:pPr>
        <w:spacing w:after="0" w:line="17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Expected Volatility</w:t>
      </w:r>
      <w:r>
        <w:rPr>
          <w:rFonts w:ascii="Arial" w:cs="Arial" w:eastAsia="Arial" w:hAnsi="Arial"/>
          <w:sz w:val="18"/>
          <w:szCs w:val="18"/>
          <w:color w:val="auto"/>
        </w:rPr>
        <w:t>—Volatility is a measure of the amount by which a financial variable such as a share price has fluctuated (historical volatility) or is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to fluctuate (expected volatility) during a period. The Company has identified several public entities of similar size, complexity, and stage of development. Accordingly, historical volatility has been calculated using the volatility of these companies, as well as taking into consideration the Company's actual volatility since our IPO. As our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 (Continued)</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historical experience is not sufficient to calculate volatility for our option grants, the Company will continue to use the guideline peer group volatility information until the historical volatility of its own Common Stock is sufficient on its own to measure expected volatility for future option grants.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Yield</w:t>
      </w:r>
      <w:r>
        <w:rPr>
          <w:rFonts w:ascii="Arial" w:cs="Arial" w:eastAsia="Arial" w:hAnsi="Arial"/>
          <w:sz w:val="18"/>
          <w:szCs w:val="18"/>
          <w:color w:val="auto"/>
        </w:rPr>
        <w:t>—The Company has never declared or paid dividends and has no plans to do so in the foreseeable future.</w:t>
      </w:r>
    </w:p>
    <w:p>
      <w:pPr>
        <w:spacing w:after="0" w:line="2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color w:val="auto"/>
        </w:rPr>
        <w:t>Expected Term</w:t>
      </w:r>
      <w:r>
        <w:rPr>
          <w:rFonts w:ascii="Arial" w:cs="Arial" w:eastAsia="Arial" w:hAnsi="Arial"/>
          <w:sz w:val="18"/>
          <w:szCs w:val="18"/>
          <w:color w:val="auto"/>
        </w:rPr>
        <w:t>—This is the period of time that the options granted are expected to remain unexercised. Options granted have a maximum term of ten years.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determines the average expected life of stock options according to the "simplified method" as described in Staff Accounting Bulletin 110, which is the mid-point between the vesting date and the end of the contractual term. Over time, management will track estimates of the expected life of the option term so that estimates will approximate actual experience for similar options.</w:t>
      </w:r>
    </w:p>
    <w:p>
      <w:pPr>
        <w:spacing w:after="0" w:line="190"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Risk-Free Interest Rate</w:t>
      </w:r>
      <w:r>
        <w:rPr>
          <w:rFonts w:ascii="Arial" w:cs="Arial" w:eastAsia="Arial" w:hAnsi="Arial"/>
          <w:sz w:val="18"/>
          <w:szCs w:val="18"/>
          <w:color w:val="auto"/>
        </w:rPr>
        <w:t>—This is the U.S. Treasury note rate during the week each option grant was issued during the year, with a term that most closely</w:t>
      </w:r>
      <w:r>
        <w:rPr>
          <w:rFonts w:ascii="Arial" w:cs="Arial" w:eastAsia="Arial" w:hAnsi="Arial"/>
          <w:sz w:val="18"/>
          <w:szCs w:val="18"/>
          <w:b w:val="1"/>
          <w:bCs w:val="1"/>
          <w:color w:val="auto"/>
        </w:rPr>
        <w:t xml:space="preserve"> </w:t>
      </w:r>
      <w:r>
        <w:rPr>
          <w:rFonts w:ascii="Arial" w:cs="Arial" w:eastAsia="Arial" w:hAnsi="Arial"/>
          <w:sz w:val="18"/>
          <w:szCs w:val="18"/>
          <w:color w:val="auto"/>
        </w:rPr>
        <w:t>resembles the expected term of the option.</w:t>
      </w:r>
    </w:p>
    <w:p>
      <w:pPr>
        <w:spacing w:after="0" w:line="174"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Expected Forfeiture Rate</w:t>
      </w:r>
      <w:r>
        <w:rPr>
          <w:rFonts w:ascii="Arial" w:cs="Arial" w:eastAsia="Arial" w:hAnsi="Arial"/>
          <w:sz w:val="18"/>
          <w:szCs w:val="18"/>
          <w:color w:val="auto"/>
        </w:rPr>
        <w:t>—Prior to 2017, the forfeiture rate was the estimated percentage of options granted that are anticipated to be forfeited or canceled on</w:t>
      </w:r>
      <w:r>
        <w:rPr>
          <w:rFonts w:ascii="Arial" w:cs="Arial" w:eastAsia="Arial" w:hAnsi="Arial"/>
          <w:sz w:val="18"/>
          <w:szCs w:val="18"/>
          <w:b w:val="1"/>
          <w:bCs w:val="1"/>
          <w:color w:val="auto"/>
        </w:rPr>
        <w:t xml:space="preserve"> </w:t>
      </w:r>
      <w:r>
        <w:rPr>
          <w:rFonts w:ascii="Arial" w:cs="Arial" w:eastAsia="Arial" w:hAnsi="Arial"/>
          <w:sz w:val="18"/>
          <w:szCs w:val="18"/>
          <w:color w:val="auto"/>
        </w:rPr>
        <w:t>an annual basis before becoming fully vested. Under ASU 2016-09, adopted January 1, 2017, the forfeiture rate is zero. The Company accounts for forfeitures as they occur.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and SAR activity:</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 (in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2,699,007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1,058,850</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(85,694)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(28,075)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1,130,155</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26.57</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(407,477)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(86,096)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17.24</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4,280,670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2017:</w:t>
            </w: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 and expected to vest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4,280,670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Exercisable</w:t>
            </w:r>
          </w:p>
        </w:tc>
        <w:tc>
          <w:tcPr>
            <w:tcW w:w="840" w:type="dxa"/>
            <w:vAlign w:val="bottom"/>
          </w:tcPr>
          <w:p>
            <w:pPr>
              <w:jc w:val="right"/>
              <w:spacing w:after="0"/>
              <w:rPr>
                <w:sz w:val="20"/>
                <w:szCs w:val="20"/>
                <w:color w:val="auto"/>
              </w:rPr>
            </w:pPr>
            <w:r>
              <w:rPr>
                <w:rFonts w:ascii="Arial" w:cs="Arial" w:eastAsia="Arial" w:hAnsi="Arial"/>
                <w:sz w:val="18"/>
                <w:szCs w:val="18"/>
                <w:color w:val="auto"/>
              </w:rPr>
              <w:t>1,952,769</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As of December 31, the aggregate intrinsic value of options outstanding is $108.5 million, $54.7 million, and $12.6 million for 2017, 2016, and 2015, respectively. As of December 31, the aggregate intrinsic value of options vested and expected to vest is $108.5 million, $54.0 million, and $12.4 million, for 2017, 2016, and 2015, respectively. As of December 31, the aggregate intrinsic value of options which are exercisable is $59.6 million, $25.0 million, and $5.0 million, for 2017, 2016, and 2015, respectively.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weighted-average, grant-date, fair value of options which were granted for the years ended December 31, 2017, 2016 and 2015 was $14.35, $7.66 and $6.05 per share, respectively.</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total fair value of the underlying Common Stock related to shares that vested during the years ended December 31, 2017, 2016 and 2015 was approximately $5.4 million, $3.9 million and $2.6 million, respectively.</w:t>
      </w:r>
    </w:p>
    <w:p>
      <w:pPr>
        <w:spacing w:after="0" w:line="18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total intrinsic value of options exercised amounted to approximately $12.8 million, $1.1 million and $1.6 million, respectively, during the years ended December 31, 2017, 2016 and 2015.</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As of December 31, 2017 and 2016, the total unrecognized compensation expense was approximately $17.6 million and $9.8 million, respectively, which the Company expects to recognize over a weighted-average period of 2.8 and 2.7 years,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common share is determined by dividing earnings attributable to common stockholders by the weighted-average number of common shares outstanding during the period, without consideration of common stock equivalents. Diluted earnings per share is computed by dividing the earnings attributable to common stockholders by the weighted-average number of common share equivalents outstanding for the period. The treasury stock method is used to determine the dilutive effect of the Company's stock option grants, SAR, and potential ESPP awards, and the if-converted method is used to determine the dilutive effect of the Company's Notes.</w:t>
      </w:r>
    </w:p>
    <w:p>
      <w:pPr>
        <w:spacing w:after="0" w:line="19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following Common Stock equivalents were excluded in the calculation of diluted earnings per share because their inclusion would be anti-dilutive as applied to the earnings from continuing operations applicable to common stockholders for the years ended December 31, 2017, 2016 and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060" w:type="dxa"/>
            <w:vAlign w:val="bottom"/>
            <w:gridSpan w:val="7"/>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7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20,957</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Stock options, stock appreciation rights, and ESPP awards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40,009</w:t>
            </w:r>
          </w:p>
        </w:tc>
        <w:tc>
          <w:tcPr>
            <w:tcW w:w="620" w:type="dxa"/>
            <w:vAlign w:val="bottom"/>
          </w:tcPr>
          <w:p>
            <w:pPr>
              <w:jc w:val="right"/>
              <w:spacing w:after="0"/>
              <w:rPr>
                <w:sz w:val="20"/>
                <w:szCs w:val="20"/>
                <w:color w:val="auto"/>
              </w:rPr>
            </w:pPr>
            <w:r>
              <w:rPr>
                <w:rFonts w:ascii="Arial" w:cs="Arial" w:eastAsia="Arial" w:hAnsi="Arial"/>
                <w:sz w:val="18"/>
                <w:szCs w:val="18"/>
                <w:color w:val="auto"/>
              </w:rPr>
              <w:t>22,944</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25,027</w:t>
            </w:r>
          </w:p>
        </w:tc>
        <w:tc>
          <w:tcPr>
            <w:tcW w:w="1720" w:type="dxa"/>
            <w:vAlign w:val="bottom"/>
          </w:tcPr>
          <w:p>
            <w:pPr>
              <w:spacing w:after="0"/>
              <w:rPr>
                <w:sz w:val="19"/>
                <w:szCs w:val="19"/>
                <w:color w:val="auto"/>
              </w:rPr>
            </w:pPr>
          </w:p>
        </w:tc>
      </w:tr>
      <w:tr>
        <w:trPr>
          <w:trHeight w:val="424"/>
        </w:trPr>
        <w:tc>
          <w:tcPr>
            <w:tcW w:w="7360" w:type="dxa"/>
            <w:vAlign w:val="bottom"/>
            <w:gridSpan w:val="2"/>
          </w:tcPr>
          <w:p>
            <w:pPr>
              <w:jc w:val="right"/>
              <w:ind w:right="1432"/>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forth the computation of basic and diluted net earnings per share for the years ended December 31, 2017, 2016 and 2015, in thousands of dollars, except share and per share amounts: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3"/>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Numerator, in thousands: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Net earnings used for calculation of basic EPS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57,284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91,221</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on convertible debt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Changes in fair value of derivative liabilities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Loss on extinguishment of outstanding debt,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 if converted</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8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 used for calculation of diluted EPS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50,756,603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49,472,434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47,485,258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Effect of dilutive potential common shares: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Shares underlying Convertible Senior Secured Notes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2,459,009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Shares issuable to settle interest make-whole derivatives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804,507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stock appreciation rights</w:t>
            </w:r>
          </w:p>
        </w:tc>
        <w:tc>
          <w:tcPr>
            <w:tcW w:w="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2,252,278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spacing w:after="0"/>
              <w:rPr>
                <w:sz w:val="20"/>
                <w:szCs w:val="20"/>
                <w:color w:val="auto"/>
              </w:rPr>
            </w:pPr>
            <w:r>
              <w:rPr>
                <w:rFonts w:ascii="Arial" w:cs="Arial" w:eastAsia="Arial" w:hAnsi="Arial"/>
                <w:sz w:val="18"/>
                <w:szCs w:val="18"/>
                <w:color w:val="auto"/>
              </w:rPr>
              <w:t>Total potential dilutive common shares</w:t>
            </w:r>
          </w:p>
        </w:tc>
        <w:tc>
          <w:tcPr>
            <w:tcW w:w="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2,544,547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2,236,549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3,675,122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53,301,150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51,708,983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51,160,380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Net earings per share, basic</w:t>
            </w:r>
          </w:p>
        </w:tc>
        <w:tc>
          <w:tcPr>
            <w:tcW w:w="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diluted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On December 22, 2017, the U.S. enacted the Tax Cuts and Jobs Act (Tax Act), resulting in significant modifications to existing law. The Tax Act, among other things, lowered the U.S. corporate income tax rate from 35 percent to 21 percent effective January 1, 2018. The Tax Act also enhanced and extended through 2026 the option to claim accelerated depreciation on qualified property and expanded limitations on the deductibility of executive compensation.</w:t>
      </w:r>
    </w:p>
    <w:p>
      <w:pPr>
        <w:spacing w:after="0" w:line="16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The Company recognized the income tax effects of the Tax Act in accordance with Staff Accounting Bulletin No. 118, which provides guidance for the application of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in the reporting period in which the Tax Act was signed into law. The Company's financial results in 2017 reflect the income tax effects of the Tax Act for which the accounting under ASC Topic 740 is provisional for those specific income tax effects of the Tax Act for which the accounting under ASC Topic 740 is incomplete but a reasonable estimate could be determined. The Company did not identify items for which the income tax effects of the Tax Act have not been completed and a reasonable estimate could not be determined as of December 31, 2017.</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changes to existing U.S. tax laws as a result of the Tax Act that have most significant impact to the Company's federal income taxes is the reduction of the U.S. corporate income tax rate. The Company's deferred tax assets and liabilities were remeasured to reflect the reduction in the U.S. corporate income tax rate from 35 percent to 21 percent. The Company wrote down its net deferred tax assets as of December 31, 2017 by $9.7 million to reflect the estimated impact of the decrease in federal statutory rates on the value of its net deferred tax asset and recorded a corresponding net one-time income tax expense of $9.7 million, all of which was non-cash. Additionally, the provisional amount recognized by the Company in 2017 attributable to the accelerated depreciation on qualified property is not material. Based on analysis by the Company, the impact on the deductibility of executive compensation as it relates to the stock compensation is also not material.</w:t>
      </w:r>
    </w:p>
    <w:p>
      <w:pPr>
        <w:spacing w:after="0" w:line="20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Company had substantially completed its analysis of the income tax effects of the Tax Act and does not anticipate material adjustments to the recorded amounts, however, the final results could vary from these recorded amounts. The net one-time charge related to the effects of the Tax Act may differ due to, among other things, further refinements of our calculations, changes in interpretations and assumptions that that Company has made, and related accounting policy decisions that the Company may take as a result of the Tax Act. Additionally potential further guidance, regulations, interpretations and rulings may be forthcoming from accounting and regulatory bodies and federal and state tax agencies, which could result in additional impacts. The Company will complete its analysis over a one-year measurement period ending December 22, 2018 and any adjustments during this measurement period will be included in net earnings from continuing operations as adjustment to income tax expense in the reporting period in which such adjustments are determined.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income tax (benefit)/ expense for the years ended December 31, 2017, 2016 and 2015 were as follow, in thousands of dollars: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76"/>
              </w:rPr>
              <w:t>2015</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18,288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544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Deferred</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21,493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(39,898)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State</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(1,576)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43,334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(40,852)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40" w:type="dxa"/>
            <w:vAlign w:val="bottom"/>
            <w:vMerge w:val="restart"/>
          </w:tcPr>
          <w:p>
            <w:pPr>
              <w:jc w:val="right"/>
              <w:ind w:right="1312"/>
              <w:spacing w:after="0"/>
              <w:rPr>
                <w:sz w:val="20"/>
                <w:szCs w:val="20"/>
                <w:color w:val="auto"/>
              </w:rPr>
            </w:pPr>
            <w:r>
              <w:rPr>
                <w:rFonts w:ascii="Arial" w:cs="Arial" w:eastAsia="Arial" w:hAnsi="Arial"/>
                <w:sz w:val="18"/>
                <w:szCs w:val="18"/>
                <w:color w:val="auto"/>
              </w:rPr>
              <w:t>103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 reconciliation of the expected income tax (benefit)/ expense computed using the U.S. Federal statutory income tax rate to the Company's effective income tax rate is as follows, in thousands of dollars: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computed at U.S. Federal statutory tax rate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35,217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17,629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5,114</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Permanent items</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715</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(56,019)</w:t>
            </w: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(4,705)</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Uncertain income tax position</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(2,196)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(1,902)</w:t>
            </w: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Deferred rate change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43,334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(40,852)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w:t>
            </w:r>
          </w:p>
        </w:tc>
      </w:tr>
      <w:tr>
        <w:trPr>
          <w:trHeight w:val="20"/>
        </w:trPr>
        <w:tc>
          <w:tcPr>
            <w:tcW w:w="5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Company's deferred income tax assets (liabilities) were as follow, in thousands of dollars: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6"/>
          </w:tcPr>
          <w:p>
            <w:pPr>
              <w:ind w:left="1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rPr>
              <w:t>Net operating loss carryforward</w:t>
            </w:r>
          </w:p>
        </w:tc>
        <w:tc>
          <w:tcPr>
            <w:tcW w:w="11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5,072</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24,926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credit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rPr>
              <w:t>Accrued compensation and non-qualified stock options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8,128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 costs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706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rPr>
              <w:t>Capitalized overhead into inventory (UNICAP §263A)</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Nonrecourse liability related to sale of future royalties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AMT credit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rPr>
              <w:t>Accrued sales deductions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56,192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900" w:type="dxa"/>
            <w:vAlign w:val="bottom"/>
            <w:gridSpan w:val="2"/>
          </w:tcPr>
          <w:p>
            <w:pPr>
              <w:ind w:left="1720"/>
              <w:spacing w:after="0"/>
              <w:rPr>
                <w:sz w:val="20"/>
                <w:szCs w:val="20"/>
                <w:color w:val="auto"/>
              </w:rPr>
            </w:pPr>
            <w:r>
              <w:rPr>
                <w:rFonts w:ascii="Arial" w:cs="Arial" w:eastAsia="Arial" w:hAnsi="Arial"/>
                <w:sz w:val="18"/>
                <w:szCs w:val="18"/>
                <w:color w:val="auto"/>
              </w:rPr>
              <w:t>Deferred tax liability:</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discount on convertible notes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rPr>
              <w:t>Infringement legal cost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(10,557)</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(13,899)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rPr>
              <w:t>Section 481(a)</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(4,141)</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jc w:val="right"/>
              <w:ind w:right="972"/>
              <w:spacing w:after="0"/>
              <w:rPr>
                <w:sz w:val="20"/>
                <w:szCs w:val="20"/>
                <w:color w:val="auto"/>
              </w:rPr>
            </w:pPr>
            <w:r>
              <w:rPr>
                <w:rFonts w:ascii="Arial" w:cs="Arial" w:eastAsia="Arial" w:hAnsi="Arial"/>
                <w:sz w:val="18"/>
                <w:szCs w:val="18"/>
                <w:color w:val="auto"/>
              </w:rPr>
              <w:t>104</w:t>
            </w: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assessing the realizability of deferred income tax assets, management considers whether it is more-likely-than-not that some or all of the deferred income tax assets will not be realized. The ultimate realization of the deferred income tax assets is dependent upon the generation of future taxable income during the periods in which the net operating loss (NOL) and tax credit carryforwards are available. Management considers projected future taxable income, the scheduled reversal of deferred income tax liabilities, and available tax planning strategies that can be implemented by the Company in making this assessment. Based upon the level of historical taxable income and projections for future taxable income over the periods in which the NOL and credit carryforwards are available to reduce income taxes payable, management had determined it is more-likely-than-not to realize such net deferred tax assets.</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December 31, 2017, the U.S. Federal and state NOL carryforwards amounted to approximately $32.1 million ($6.7 million tax effected) and $8.1 million ($0.5 million tax effected), respectively, and will expire in various years beginning in 2030. As of December 31, 2017, the Company has available research and development credit carryforwards of approximately $4.2 million, which expire, if unused, starting in 2026. The use of the Company's U.S. Federal and State NOL carryforwards and research and development credits are restricted in annual use due to changes in the Company's ownership. For the year ended December 31, 2017, the Company utilized NOLs of approximately $51.0 million and expects the remaining $32.1 million of Federal NOL carryforwards to become available over the years from 2018 to 2020, in amounts ranging from $7.1 million to $18.4 million per year. In addition, the Company has available research and development credits of approximately $4.2 million, expected to become available in 2019 to 2020. The Company's state NOLs will have a similar limitation to the amount noted for the U.S. Federal NOLs. Additionally, despite the NOL carryforwards, the Company may have a future tax liability due to state and local income tax requirements. The Company paid no Federal income taxes in the years ended December 31, 2016 or 2015.</w:t>
      </w:r>
    </w:p>
    <w:p>
      <w:pPr>
        <w:spacing w:after="0" w:line="17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The Company accounts for uncertain income tax positions pursuant to the guidance in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recognizes interest and penalties related to uncertain tax positions, if any, in income tax expense. As of December 31, 2017, the Company accrued interest of a nominal amount and penalties of $0.1 million related to uncertain tax positions. The Company's income taxes have not been subject to examination by any tax jurisdictions since its inception in 2005. Due to NOL and research and development credit carryforwards, all U.S. Federal and state income tax returns filed by the Company are subject to examination by the taxing jurisdictions. Some uncertain income tax position liabilities have been recorded against the Company's deferred income tax assets to offset such tax attribute carryforwards and other positions that can't be offset by tax attributes until a liability has been booked.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 in thousands of dollars: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5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8,964</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Gross increases (decreases) related to prior-year tax positions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increases related to current-year tax positions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Gross decreases related to prior-year tax positions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decreases related to current-year tax positions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Change in tax rates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(2,565)</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0"/>
        </w:trPr>
        <w:tc>
          <w:tcPr>
            <w:tcW w:w="5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9,341</w:t>
            </w:r>
          </w:p>
        </w:tc>
      </w:tr>
      <w:tr>
        <w:trPr>
          <w:trHeight w:val="20"/>
        </w:trPr>
        <w:tc>
          <w:tcPr>
            <w:tcW w:w="5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As of December 31, 2017 and 2016, the Company recorded zero and $0.5 million of current tax expense on setting up an uncertain tax position related to the Alternative Minimum Tax. The Company also recorded a $0.4 million expense on setting up an uncertain tax position related to state tax nexus. The Company does not anticipate a significant increase or decrease in the uncertain income tax benefits within the next 12 months.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concurrent leases for office and lab space that extend through April 2020. The Company may elect to extend the term of the leases for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additional five-year term. The leases provide for a tenant improvement allowance of approximately $2.1 million in aggregate.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approximately $79,000 of the allowance was utilized and is included in fixed assets and deferred rent. During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none of the allowance was utilized. During the year ended December 31, 2015, approximately $0.2 million of the allowance was utilized and is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fixed assets and deferred rent. As of December 31, 2017, $0.4 million is available for tenant improvements.</w:t>
      </w:r>
    </w:p>
    <w:p>
      <w:pPr>
        <w:spacing w:after="0" w:line="21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Rent expense for the leased facilities and leased vehicles for the years ended December 31, 2017, 2016 and 2015 was approximately, $2.7 million, $2.7 million and $2.6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operating leases as of December 31, 2017 are as follows, in thousands of dollars: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3,349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5,249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454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9,052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jc w:val="right"/>
              <w:ind w:right="2992"/>
              <w:spacing w:after="0"/>
              <w:rPr>
                <w:sz w:val="20"/>
                <w:szCs w:val="20"/>
                <w:color w:val="auto"/>
              </w:rPr>
            </w:pPr>
            <w:r>
              <w:rPr>
                <w:rFonts w:ascii="Arial" w:cs="Arial" w:eastAsia="Arial" w:hAnsi="Arial"/>
                <w:sz w:val="18"/>
                <w:szCs w:val="18"/>
                <w:color w:val="auto"/>
              </w:rPr>
              <w:t>106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9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7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23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 has obtained exclusive licenses from third parties for proprietary rights to support the product candidates in the Company's psychiatry portfolio. Under license agreements with Afecta Pharmaceuticals, Inc. (Afecta), the Company has exclusive worldwide rights to selected product candidates, including an exclusive license to SPN-810. We may pay up to $300,000 upon the achievement of certain milestones, none of which is owed as of December 31, 2017. The Company is obligated to pay royalties to Afecta as a low single digit percentage of worldwide net product sales.</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also entered into a purchase and sale agreement with Rune HealthCare Limited (Rune), where the Company obtained the exclusive worldwide rights to a product concept from Rune. There are no future milestone payments due to Rune under this agreement. If the Company receives approval to market and sell any products based on the Rune product concept for SPN-809, the Company is obligated to pay royalties to Rune as a low single digit percentage of worldwide net product sales.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On January 2, 2006, the Company established the Supernus Pharmaceuticals, Inc. 401(k) Profit Sharing Plan (the 401(k) Plan) for its employees under</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401(k) of the Internal Revenue Code (Code). Under the 401(k) Plan, all full-time employees who are at least 18 years old are eligible to participate in the 401(k) Plan. Employees may participate starting on the first day of the month following employment. Employees may contribute up to the lesser of 90% of eligible compensation or the applicable limit as established by the Code.</w:t>
      </w:r>
    </w:p>
    <w:p>
      <w:pPr>
        <w:spacing w:after="0" w:line="19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Employees are 100% vested in their contributions to the 401(k) Plan. The Company matches 100% of a participant's contribution for the first 3% of their salary deferral and matches 50% of the next 2% of their salary deferral. As determined by the Board, the Company may elect to make a discretionary contribution not exceeding 60% of the annual compensation paid to all participating employees. The Company's contributions to the 401(k) Plan were approximately $1.8 million, $1.6 million, and $1.4 million for the years ended December 31, 2017, 2016 and 2015,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Collaboration Agreements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third quarter of 2014, the Company received a $30.0 million payment pursuant to a Royalty Interest Acquisition Agreement related to the purchase by HC Royalty of certain of the Company's rights under the agreement with United Therapeutics Corporation related to the commercialization of Orenitram (treprostinil) Extended-Release Tablets. Full ownership of the royalty rights will revert to the Company if and when a certain threshold is reached per the terms of the Agreement. We have recorded a non-recourse liability related to this transaction of $30 million and have begun to amortize this amount to recognize non-cash royalty revenue as royalties are received by HC Royalty from United Therapeutics. We also recognized non-cash interest expense related to this liability that accrues at an effective interest rate, with that interest rate determined based on projections of HC Royalty's rate of return.</w:t>
      </w:r>
    </w:p>
    <w:p>
      <w:pPr>
        <w:spacing w:after="0" w:line="1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recognized non-cash royalty revenue of $5.3 million, $4.7 million and $3.0 million for the year ended December 31, 2017, 2016 and 2015, respectively. We recognized non-cash interest expense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Collaboration Agreements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$1.4 million $4.5 million and $3.5 million for the years ended December 31, 2017, 2016 and 2015,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Information (unaudited), see accompanying accountants' report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Quarterly financial information for fiscal 2017 and 2016 are presented in the following table, in thousands of dollars, except per share data,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1</w:t>
            </w:r>
            <w:r>
              <w:rPr>
                <w:rFonts w:ascii="Arial" w:cs="Arial" w:eastAsia="Arial" w:hAnsi="Arial"/>
                <w:sz w:val="22"/>
                <w:szCs w:val="22"/>
                <w:b w:val="1"/>
                <w:bCs w:val="1"/>
                <w:color w:val="auto"/>
                <w:w w:val="87"/>
                <w:vertAlign w:val="superscript"/>
              </w:rPr>
              <w:t>st</w:t>
            </w:r>
            <w:r>
              <w:rPr>
                <w:rFonts w:ascii="Arial" w:cs="Arial" w:eastAsia="Arial" w:hAnsi="Arial"/>
                <w:sz w:val="14"/>
                <w:szCs w:val="14"/>
                <w:b w:val="1"/>
                <w:bCs w:val="1"/>
                <w:color w:val="auto"/>
                <w:w w:val="87"/>
              </w:rPr>
              <w:t xml:space="preserve"> Quarter</w:t>
            </w:r>
          </w:p>
        </w:tc>
        <w:tc>
          <w:tcPr>
            <w:tcW w:w="180" w:type="dxa"/>
            <w:vAlign w:val="bottom"/>
          </w:tcPr>
          <w:p>
            <w:pPr>
              <w:spacing w:after="0"/>
              <w:rPr>
                <w:sz w:val="21"/>
                <w:szCs w:val="21"/>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7"/>
              </w:rPr>
              <w:t>2</w:t>
            </w:r>
            <w:r>
              <w:rPr>
                <w:rFonts w:ascii="Arial" w:cs="Arial" w:eastAsia="Arial" w:hAnsi="Arial"/>
                <w:sz w:val="22"/>
                <w:szCs w:val="22"/>
                <w:b w:val="1"/>
                <w:bCs w:val="1"/>
                <w:color w:val="auto"/>
                <w:w w:val="87"/>
                <w:vertAlign w:val="superscript"/>
              </w:rPr>
              <w:t>nd</w:t>
            </w:r>
            <w:r>
              <w:rPr>
                <w:rFonts w:ascii="Arial" w:cs="Arial" w:eastAsia="Arial" w:hAnsi="Arial"/>
                <w:sz w:val="14"/>
                <w:szCs w:val="14"/>
                <w:b w:val="1"/>
                <w:bCs w:val="1"/>
                <w:color w:val="auto"/>
                <w:w w:val="87"/>
              </w:rPr>
              <w:t xml:space="preserve"> Quarter</w:t>
            </w:r>
          </w:p>
        </w:tc>
        <w:tc>
          <w:tcPr>
            <w:tcW w:w="1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3</w:t>
            </w:r>
            <w:r>
              <w:rPr>
                <w:rFonts w:ascii="Arial" w:cs="Arial" w:eastAsia="Arial" w:hAnsi="Arial"/>
                <w:sz w:val="22"/>
                <w:szCs w:val="22"/>
                <w:b w:val="1"/>
                <w:bCs w:val="1"/>
                <w:color w:val="auto"/>
                <w:w w:val="88"/>
                <w:vertAlign w:val="superscript"/>
              </w:rPr>
              <w:t>rd</w:t>
            </w:r>
            <w:r>
              <w:rPr>
                <w:rFonts w:ascii="Arial" w:cs="Arial" w:eastAsia="Arial" w:hAnsi="Arial"/>
                <w:sz w:val="14"/>
                <w:szCs w:val="14"/>
                <w:b w:val="1"/>
                <w:bCs w:val="1"/>
                <w:color w:val="auto"/>
                <w:w w:val="88"/>
              </w:rPr>
              <w:t xml:space="preserve"> Quarter</w:t>
            </w:r>
          </w:p>
        </w:tc>
        <w:tc>
          <w:tcPr>
            <w:tcW w:w="160" w:type="dxa"/>
            <w:vAlign w:val="bottom"/>
          </w:tcPr>
          <w:p>
            <w:pPr>
              <w:spacing w:after="0"/>
              <w:rPr>
                <w:sz w:val="21"/>
                <w:szCs w:val="21"/>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4</w:t>
            </w:r>
            <w:r>
              <w:rPr>
                <w:rFonts w:ascii="Arial" w:cs="Arial" w:eastAsia="Arial" w:hAnsi="Arial"/>
                <w:sz w:val="22"/>
                <w:szCs w:val="22"/>
                <w:b w:val="1"/>
                <w:bCs w:val="1"/>
                <w:color w:val="auto"/>
                <w:vertAlign w:val="superscript"/>
              </w:rPr>
              <w:t>th</w:t>
            </w:r>
            <w:r>
              <w:rPr>
                <w:rFonts w:ascii="Arial" w:cs="Arial" w:eastAsia="Arial" w:hAnsi="Arial"/>
                <w:sz w:val="14"/>
                <w:szCs w:val="14"/>
                <w:b w:val="1"/>
                <w:bCs w:val="1"/>
                <w:color w:val="auto"/>
              </w:rPr>
              <w:t xml:space="preserve"> Quarter</w:t>
            </w:r>
          </w:p>
        </w:tc>
      </w:tr>
      <w:tr>
        <w:trPr>
          <w:trHeight w:val="210"/>
        </w:trPr>
        <w:tc>
          <w:tcPr>
            <w:tcW w:w="1160" w:type="dxa"/>
            <w:vAlign w:val="bottom"/>
          </w:tcPr>
          <w:p>
            <w:pPr>
              <w:spacing w:after="0"/>
              <w:rPr>
                <w:sz w:val="18"/>
                <w:szCs w:val="18"/>
                <w:color w:val="auto"/>
              </w:rPr>
            </w:pPr>
          </w:p>
        </w:tc>
        <w:tc>
          <w:tcPr>
            <w:tcW w:w="3280" w:type="dxa"/>
            <w:vAlign w:val="bottom"/>
            <w:shd w:val="clear" w:color="auto" w:fill="CCEEFF"/>
          </w:tcPr>
          <w:p>
            <w:pPr>
              <w:jc w:val="right"/>
              <w:ind w:right="2852"/>
              <w:spacing w:after="0"/>
              <w:rPr>
                <w:sz w:val="20"/>
                <w:szCs w:val="20"/>
                <w:color w:val="auto"/>
              </w:rPr>
            </w:pPr>
            <w:r>
              <w:rPr>
                <w:rFonts w:ascii="Arial" w:cs="Arial" w:eastAsia="Arial" w:hAnsi="Arial"/>
                <w:sz w:val="18"/>
                <w:szCs w:val="18"/>
                <w:color w:val="auto"/>
                <w:w w:val="79"/>
              </w:rPr>
              <w:t>2017</w:t>
            </w:r>
          </w:p>
        </w:tc>
        <w:tc>
          <w:tcPr>
            <w:tcW w:w="2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Revenue</w:t>
            </w:r>
          </w:p>
        </w:tc>
        <w:tc>
          <w:tcPr>
            <w:tcW w:w="2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57,576</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75,829</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80,398</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88,435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40,788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49,762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58,056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54,091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Operating earnings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16,788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26,067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22,342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34,344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13,658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Net earnings per share, basic</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diluted</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4440" w:type="dxa"/>
            <w:vAlign w:val="bottom"/>
            <w:gridSpan w:val="2"/>
          </w:tcPr>
          <w:p>
            <w:pPr>
              <w:jc w:val="right"/>
              <w:ind w:right="2852"/>
              <w:spacing w:after="0"/>
              <w:rPr>
                <w:sz w:val="20"/>
                <w:szCs w:val="20"/>
                <w:color w:val="auto"/>
              </w:rPr>
            </w:pPr>
            <w:r>
              <w:rPr>
                <w:rFonts w:ascii="Arial" w:cs="Arial" w:eastAsia="Arial" w:hAnsi="Arial"/>
                <w:sz w:val="18"/>
                <w:szCs w:val="18"/>
                <w:color w:val="auto"/>
              </w:rPr>
              <w:t>2016</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11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44,194</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51,626</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56,810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62,374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37,757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39,981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36,971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46,078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16,296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Net earnings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61,826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14,320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basic</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Net earnings per share, diluted</w:t>
            </w:r>
          </w:p>
        </w:tc>
        <w:tc>
          <w:tcPr>
            <w:tcW w:w="2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80" w:type="dxa"/>
            <w:vAlign w:val="bottom"/>
          </w:tcPr>
          <w:p>
            <w:pPr>
              <w:jc w:val="right"/>
              <w:ind w:right="792"/>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Attached to this Annual Report on Form 10-K as Exhibits 31.1 and 31.2 there are two certifications, termed the Section 302 certifications, one by each of our Chief Executive Officer (CEO) and our Chief Financial Officer (CFO). This Item 9A contains information concerning the evaluation of our disclosure controls and procedures and internal control over financial reporting that is referred to in the Section 302 Certifications. This information should be read in conjunction with the Section 302 Certifications for a more complete understanding of the topics presented.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w:t>
      </w:r>
    </w:p>
    <w:p>
      <w:pPr>
        <w:spacing w:after="0" w:line="19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We conducted an evaluation of the effectiveness of the design and operation of our disclosure controls and procedures as of December 31, 2017, the end of the period covered by this report. Based on that evaluation, under the supervision and with the participation of our management, including our CEO and CFO, we concluded that our disclosure controls and procedures were effective as of December 31, 2017.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3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Our management, under the supervision and with the participation of the CEO and CFO, is responsible for establishing and maintaining adequate internal control over financial reporting for the Company. Internal control over financial reporting is defined in Exchange Act Rule 13a-15(f) as a process designed to provide reasonable assurance regarding the reliability of financial reporting and the preparation of financial statements for external purposes in accordance with</w:t>
      </w:r>
    </w:p>
    <w:p>
      <w:pPr>
        <w:spacing w:after="0" w:line="1"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auto"/>
        </w:rPr>
        <w:t>U.S. GAAP. The Company's internal control over financial reporting includes those policies and procedures that (1) pertain to the management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All internal control systems, no matter how well designed, have inherent limitations. Because of their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CEO and CFO, we conducted an evaluation of the effectiveness of our internal control over financial reporting as of December 31, 2017 based on criteria related to internal control over financial reporting described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(COSO 2013 Framework).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management's assessment using these criteria, management concluded that the Company's internal control over financial reporting was effective as of December 31, 2017.</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KPMG LLP, an independent registered public accounting firm, has audited the Company's consolidated financial statements included in this Annual Report on Form 10-K and, as part of its audit, has issued an unqualified opinion on the effectiveness of the Company's internal control over financial reporting as of December 31, 2017 which is included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Weaknesses in Internal Control over Financial Reporting</w:t>
      </w:r>
    </w:p>
    <w:p>
      <w:pPr>
        <w:spacing w:after="0" w:line="23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Last year-end, based on our assessment of the effectiveness of internal control over financial reporting as of December 31, 2016 as previously disclosed under "Item 9A. Controls and Procedures" in our Annual Report on Form 10-K, management identified the following material weaknesses in internal control:</w:t>
      </w:r>
    </w:p>
    <w:p>
      <w:pPr>
        <w:spacing w:after="0" w:line="153"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Lack of adequately trained resources with assigned responsibility and accountability over the design and operation of internal controls;</w:t>
      </w:r>
    </w:p>
    <w:p>
      <w:pPr>
        <w:spacing w:after="0" w:line="275" w:lineRule="exact"/>
        <w:rPr>
          <w:rFonts w:ascii="Arial" w:cs="Arial" w:eastAsia="Arial" w:hAnsi="Arial"/>
          <w:sz w:val="16"/>
          <w:szCs w:val="16"/>
          <w:color w:val="auto"/>
        </w:rPr>
      </w:pPr>
    </w:p>
    <w:p>
      <w:pPr>
        <w:ind w:left="1080" w:right="84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Lack of an effective risk assessment process for identifying changes in financial reporting and internal controls impacted by changes in information technology systems;</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Lack of effective operation of controls over the completeness and accuracy of key assumptions used to determine the returns portion of an accrued sales deduction; and lack of effective operation of GITCs (General Information Technology Controls) over the Microsoft Dynamics AX and employee expense reimbursement system.</w:t>
      </w:r>
    </w:p>
    <w:p>
      <w:pPr>
        <w:spacing w:after="0" w:line="194"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To remediate the first two material weaknesses, management recruited personnel with relevant experience working with internal controls and procedures. Specifically, management created a new Associate Director position whose primary responsibility is to oversee remediation efforts with respect to the design, implementation and operation of internal controls over financial reporting and the documentation of financial reporting processes and related internal controls. Management also hired replacements for the Associate Controller and Accounting Manager. Each of the three new employees brings an increased level of expertise to the financial close and reporting process, with a strong background in internal controls over financial reporting.</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Additionally, during the second quarter of 2017, management sponsored several mandatory training sessions focused on the design and operation of internal controls, including outlining best practices for personnel that are accountable for financial reporting and internal control over financial reporting. These personnel included not only individuals within the Finance organization, but also the key business stakeholders and process owners who are responsible for the recognition and measurement of financial transactions and the control operators within our internal control framework. These training sessions, along with focused follow-on sessions specific to each key business process and process owner, focused not only on best practices for ensuring completeness, accuracy and accountability, but also focused on IT systems and GITCs and ensuring the control operators were appropriately identifying and assessing risks associated with changes to information technology systems.</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 respect to the material weakness associated with the lack of effective operation of controls over the completeness and accuracy of key assumptions and computations in determining the returns portion of our accrued sales deductions, management performed a full retrospective review of the returns data to ensure all inputs were appropriately identified and validated as complete and accurate along with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ensuring the accuracy of all subsequent calculations utilizing that data. Going forward, management has enhanced existing process level controls to achieve this objective on an ongoing periodic basis.</w:t>
      </w:r>
    </w:p>
    <w:p>
      <w:pPr>
        <w:spacing w:after="0" w:line="1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respect to the material weakness associated with the lack of effective operation of GITCs over the Microsoft Dynamics AX and employee expense reimbursement systems, management has implemented new controls and enhanced existing controls over IT applications. Specifically, management implemented process level controls to review appropriate user access commensurate with their job responsibilities and authorities, program change controls to ensure the completeness, accuracy and authorization of IT program changes as they are required and logging of system administrator activity, including actions made directly to the Dynamics AX database.</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is satisfied that these remediation activities are sufficient to conclude that there is effective operation of controls over the completeness and accuracy of key assumptions used to determine the returns portion of an accrued sales deduction; and effective operation of GITCs over the Microsoft Dynamics AX and employee expense reimbursement system as of the fourth quarter of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management, including our CEO and CFO, evaluated changes in our internal control over financial reporting that occurred during the quarterly period ended December 31, 2017. Other than the remediation of the material weaknesses described above under "Remediation of Material Weaknesses in Internal Control over Financial Reporting," there were no changes in our internal control over financial reporting identified in connection with the evaluation required by paragraph (d) of Exchange Act Rule 13a-15 that occurred during the quarter ended December 31, 2017, that have materially affected, or are reasonably likely to materially affect, our internal control over financial reporting.</w:t>
      </w:r>
    </w:p>
    <w:p>
      <w:pPr>
        <w:spacing w:after="0" w:line="19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2018 Annual Meeting to be filed with the Securities and Exchange Commission not later than 120 days after December 31, 2017.</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2018 Annual Meeting to be filed with the Securities and Exchange Commission not later than 120 days after December 31, 2017.</w:t>
      </w:r>
    </w:p>
    <w:p>
      <w:pPr>
        <w:spacing w:after="0" w:line="180"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required by Item 201(d) of Regulation S-K is set forth below. The remainder of the information required by this Item 12 is incorporated by reference to our definitive proxy statement for our 2018 Annual Meeting to be filed with the Securities and Exchange Commission not later than 120 days after December 31, 2017.</w:t>
      </w:r>
    </w:p>
    <w:p>
      <w:pPr>
        <w:spacing w:after="0" w:line="194"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2017:</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16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16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4"/>
              </w:rPr>
              <w:t>price of outstanding</w:t>
            </w:r>
          </w:p>
        </w:tc>
        <w:tc>
          <w:tcPr>
            <w:tcW w:w="16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6"/>
              </w:rPr>
              <w:t>options, warrants and</w:t>
            </w:r>
          </w:p>
        </w:tc>
        <w:tc>
          <w:tcPr>
            <w:tcW w:w="16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reflected in the first</w:t>
            </w:r>
          </w:p>
        </w:tc>
        <w:tc>
          <w:tcPr>
            <w:tcW w:w="0" w:type="dxa"/>
            <w:vAlign w:val="bottom"/>
          </w:tcPr>
          <w:p>
            <w:pPr>
              <w:spacing w:after="0"/>
              <w:rPr>
                <w:sz w:val="1"/>
                <w:szCs w:val="1"/>
                <w:color w:val="auto"/>
              </w:rPr>
            </w:pPr>
          </w:p>
        </w:tc>
      </w:tr>
      <w:tr>
        <w:trPr>
          <w:trHeight w:val="161"/>
        </w:trPr>
        <w:tc>
          <w:tcPr>
            <w:tcW w:w="376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8"/>
              </w:rPr>
              <w:t>warrants and rights(1)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rights(1)</w:t>
            </w:r>
          </w:p>
        </w:tc>
        <w:tc>
          <w:tcPr>
            <w:tcW w:w="160" w:type="dxa"/>
            <w:vAlign w:val="bottom"/>
          </w:tcPr>
          <w:p>
            <w:pPr>
              <w:spacing w:after="0"/>
              <w:rPr>
                <w:sz w:val="14"/>
                <w:szCs w:val="14"/>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column(2))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Equity compensation plans approved by security</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4,280,670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3,343,432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gridSpan w:val="3"/>
          </w:tcPr>
          <w:p>
            <w:pPr>
              <w:ind w:left="160"/>
              <w:spacing w:after="0"/>
              <w:rPr>
                <w:sz w:val="20"/>
                <w:szCs w:val="20"/>
                <w:color w:val="auto"/>
              </w:rPr>
            </w:pPr>
            <w:r>
              <w:rPr>
                <w:rFonts w:ascii="Arial" w:cs="Arial" w:eastAsia="Arial" w:hAnsi="Arial"/>
                <w:sz w:val="18"/>
                <w:szCs w:val="18"/>
                <w:color w:val="auto"/>
              </w:rPr>
              <w:t>security holders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4,280,670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3,343,432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securities that may be issued are shares of the Company's Common Stock, issuable upon conversion of outstanding stock options.</w:t>
      </w:r>
    </w:p>
    <w:p>
      <w:pPr>
        <w:spacing w:after="0" w:line="275" w:lineRule="exact"/>
        <w:rPr>
          <w:rFonts w:ascii="Arial" w:cs="Arial" w:eastAsia="Arial" w:hAnsi="Arial"/>
          <w:sz w:val="16"/>
          <w:szCs w:val="16"/>
          <w:color w:val="auto"/>
        </w:rPr>
      </w:pPr>
    </w:p>
    <w:p>
      <w:pPr>
        <w:ind w:left="1680" w:hanging="531"/>
        <w:spacing w:after="0"/>
        <w:tabs>
          <w:tab w:leader="none" w:pos="1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securities that remain available for future issuance are issuable pursuant to the 2012 Equity Incentive Plan.</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2018 Annual Meeting to be filed with the Securities and Exchange Commission not later than 120 days after December 31, 2017.</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2018 Annual Meeting to be filed with the Securities and Exchange Commission not later than 120 days after December 31, 2017.</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31" w:lineRule="exact"/>
        <w:rPr>
          <w:sz w:val="20"/>
          <w:szCs w:val="20"/>
          <w:color w:val="auto"/>
        </w:rPr>
      </w:pPr>
    </w:p>
    <w:p>
      <w:pPr>
        <w:ind w:left="540"/>
        <w:spacing w:after="0"/>
        <w:tabs>
          <w:tab w:leader="none" w:pos="14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Index to consolidated Financial Statements</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Financial Statements listed in the Index to Consolidated Financial Statements are filed as part of this Annual Report on Form 10-K. See Part II, Item 8, "Financial Statement and Supplementary Data."</w:t>
      </w:r>
    </w:p>
    <w:p>
      <w:pPr>
        <w:spacing w:after="0" w:line="186" w:lineRule="exact"/>
        <w:rPr>
          <w:sz w:val="20"/>
          <w:szCs w:val="20"/>
          <w:color w:val="auto"/>
        </w:rPr>
      </w:pPr>
    </w:p>
    <w:p>
      <w:pPr>
        <w:ind w:left="540"/>
        <w:spacing w:after="0"/>
        <w:tabs>
          <w:tab w:leader="none" w:pos="14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Other financial statement schedules for the years ended December 31, 2017 and 2016 have been omitted since they are either not required, not applicable, or the information is otherwise included in the consolidated financial statements or the notes to consolidated financial statements.</w:t>
      </w:r>
    </w:p>
    <w:p>
      <w:pPr>
        <w:spacing w:after="0" w:line="139" w:lineRule="exact"/>
        <w:rPr>
          <w:sz w:val="20"/>
          <w:szCs w:val="20"/>
          <w:color w:val="auto"/>
        </w:rPr>
      </w:pPr>
    </w:p>
    <w:p>
      <w:pPr>
        <w:ind w:left="540"/>
        <w:spacing w:after="0"/>
        <w:tabs>
          <w:tab w:leader="none" w:pos="14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attached and incorporated herein by reference and filed as part of this report.</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80"/>
          </w:cols>
          <w:pgMar w:left="240" w:top="131" w:right="1379" w:bottom="1440" w:gutter="0" w:footer="0" w:header="0"/>
        </w:sectPr>
      </w:pPr>
    </w:p>
    <w:p>
      <w:pPr>
        <w:spacing w:after="0" w:line="227"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232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22225</wp:posOffset>
            </wp:positionV>
            <wp:extent cx="51200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200" w:space="720"/>
            <w:col w:w="4360"/>
          </w:cols>
          <w:pgMar w:left="240" w:top="131" w:right="1379" w:bottom="1440" w:gutter="0" w:footer="0" w:header="0"/>
          <w:type w:val="continuous"/>
        </w:sectPr>
      </w:pPr>
    </w:p>
    <w:p>
      <w:pPr>
        <w:jc w:val="right"/>
        <w:ind w:left="1760" w:right="160"/>
        <w:spacing w:after="0" w:line="32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3.1*  </w:t>
      </w:r>
      <w:hyperlink r:id="rId147">
        <w:r>
          <w:rPr>
            <w:rFonts w:ascii="Arial" w:cs="Arial" w:eastAsia="Arial" w:hAnsi="Arial"/>
            <w:sz w:val="16"/>
            <w:szCs w:val="16"/>
            <w:u w:val="single" w:color="auto"/>
            <w:color w:val="0000EE"/>
          </w:rPr>
          <w:t>Amended and Restated Certificate of Incorporation of the Registrant (incorporated by reference to Exhibit 3.1 to</w:t>
        </w:r>
      </w:hyperlink>
      <w:r>
        <w:rPr>
          <w:rFonts w:ascii="Arial" w:cs="Arial" w:eastAsia="Arial" w:hAnsi="Arial"/>
          <w:sz w:val="16"/>
          <w:szCs w:val="16"/>
          <w:color w:val="auto"/>
        </w:rPr>
        <w:t xml:space="preserve"> </w:t>
      </w:r>
      <w:hyperlink r:id="rId147">
        <w:r>
          <w:rPr>
            <w:rFonts w:ascii="Arial" w:cs="Arial" w:eastAsia="Arial" w:hAnsi="Arial"/>
            <w:sz w:val="16"/>
            <w:szCs w:val="16"/>
            <w:u w:val="single" w:color="auto"/>
            <w:color w:val="0000EE"/>
          </w:rPr>
          <w:t>the Company's Registration Statement on Form S-1, File No. 333-184930, as amended on November 14, 2012.)</w:t>
        </w:r>
      </w:hyperlink>
    </w:p>
    <w:p>
      <w:pPr>
        <w:spacing w:after="0" w:line="148" w:lineRule="exact"/>
        <w:rPr>
          <w:sz w:val="20"/>
          <w:szCs w:val="20"/>
          <w:color w:val="auto"/>
        </w:rPr>
      </w:pPr>
    </w:p>
    <w:p>
      <w:pPr>
        <w:ind w:left="2220" w:right="420" w:hanging="462"/>
        <w:spacing w:after="0" w:line="370" w:lineRule="auto"/>
        <w:tabs>
          <w:tab w:leader="none" w:pos="2200" w:val="left"/>
        </w:tabs>
        <w:rPr>
          <w:rFonts w:ascii="Arial" w:cs="Arial" w:eastAsia="Arial" w:hAnsi="Arial"/>
          <w:sz w:val="15"/>
          <w:szCs w:val="15"/>
          <w:u w:val="single" w:color="auto"/>
          <w:color w:val="0000EE"/>
        </w:rPr>
      </w:pPr>
      <w:r>
        <w:rPr>
          <w:rFonts w:ascii="Arial" w:cs="Arial" w:eastAsia="Arial" w:hAnsi="Arial"/>
          <w:sz w:val="18"/>
          <w:szCs w:val="18"/>
          <w:color w:val="auto"/>
        </w:rPr>
        <w:t>3.2*</w:t>
      </w:r>
      <w:r>
        <w:rPr>
          <w:sz w:val="20"/>
          <w:szCs w:val="20"/>
          <w:color w:val="auto"/>
        </w:rPr>
        <w:tab/>
      </w:r>
      <w:hyperlink r:id="rId148">
        <w:r>
          <w:rPr>
            <w:rFonts w:ascii="Arial" w:cs="Arial" w:eastAsia="Arial" w:hAnsi="Arial"/>
            <w:sz w:val="15"/>
            <w:szCs w:val="15"/>
            <w:u w:val="single" w:color="auto"/>
            <w:color w:val="0000EE"/>
          </w:rPr>
          <w:t>Amended and Restated By-laws of the Registrant (incorporated by reference to Exhibit 3.2 to the Company's</w:t>
        </w:r>
      </w:hyperlink>
      <w:r>
        <w:rPr>
          <w:rFonts w:ascii="Arial" w:cs="Arial" w:eastAsia="Arial" w:hAnsi="Arial"/>
          <w:sz w:val="15"/>
          <w:szCs w:val="15"/>
          <w:u w:val="single" w:color="auto"/>
          <w:color w:val="0000EE"/>
        </w:rPr>
        <w:t xml:space="preserve"> </w:t>
      </w:r>
      <w:hyperlink r:id="rId148">
        <w:r>
          <w:rPr>
            <w:rFonts w:ascii="Arial" w:cs="Arial" w:eastAsia="Arial" w:hAnsi="Arial"/>
            <w:sz w:val="15"/>
            <w:szCs w:val="15"/>
            <w:u w:val="single" w:color="auto"/>
            <w:color w:val="0000EE"/>
          </w:rPr>
          <w:t>Registration Statement on Form S-1, File No. 333-184930, as amended on November 26, 2012.)</w:t>
        </w:r>
      </w:hyperlink>
    </w:p>
    <w:p>
      <w:pPr>
        <w:spacing w:after="0" w:line="116" w:lineRule="exact"/>
        <w:rPr>
          <w:sz w:val="20"/>
          <w:szCs w:val="20"/>
          <w:color w:val="auto"/>
        </w:rPr>
      </w:pPr>
    </w:p>
    <w:p>
      <w:pPr>
        <w:ind w:left="2220" w:right="240" w:hanging="462"/>
        <w:spacing w:after="0" w:line="370" w:lineRule="auto"/>
        <w:tabs>
          <w:tab w:leader="none" w:pos="2200" w:val="left"/>
        </w:tabs>
        <w:rPr>
          <w:rFonts w:ascii="Arial" w:cs="Arial" w:eastAsia="Arial" w:hAnsi="Arial"/>
          <w:sz w:val="15"/>
          <w:szCs w:val="15"/>
          <w:u w:val="single" w:color="auto"/>
          <w:color w:val="0000EE"/>
        </w:rPr>
      </w:pPr>
      <w:r>
        <w:rPr>
          <w:rFonts w:ascii="Arial" w:cs="Arial" w:eastAsia="Arial" w:hAnsi="Arial"/>
          <w:sz w:val="18"/>
          <w:szCs w:val="18"/>
          <w:color w:val="auto"/>
        </w:rPr>
        <w:t>4.1*</w:t>
      </w:r>
      <w:r>
        <w:rPr>
          <w:sz w:val="20"/>
          <w:szCs w:val="20"/>
          <w:color w:val="auto"/>
        </w:rPr>
        <w:tab/>
      </w:r>
      <w:hyperlink r:id="rId149">
        <w:r>
          <w:rPr>
            <w:rFonts w:ascii="Arial" w:cs="Arial" w:eastAsia="Arial" w:hAnsi="Arial"/>
            <w:sz w:val="15"/>
            <w:szCs w:val="15"/>
            <w:u w:val="single" w:color="auto"/>
            <w:color w:val="0000EE"/>
          </w:rPr>
          <w:t>Specimen Stock Certificate evidencing the shares of common stock (incorporated by reference to Exhibit 4.1 to</w:t>
        </w:r>
      </w:hyperlink>
      <w:r>
        <w:rPr>
          <w:rFonts w:ascii="Arial" w:cs="Arial" w:eastAsia="Arial" w:hAnsi="Arial"/>
          <w:sz w:val="15"/>
          <w:szCs w:val="15"/>
          <w:u w:val="single" w:color="auto"/>
          <w:color w:val="0000EE"/>
        </w:rPr>
        <w:t xml:space="preserve"> </w:t>
      </w:r>
      <w:hyperlink r:id="rId149">
        <w:r>
          <w:rPr>
            <w:rFonts w:ascii="Arial" w:cs="Arial" w:eastAsia="Arial" w:hAnsi="Arial"/>
            <w:sz w:val="15"/>
            <w:szCs w:val="15"/>
            <w:u w:val="single" w:color="auto"/>
            <w:color w:val="0000EE"/>
          </w:rPr>
          <w:t>the Company's Registration Statement on Form S-1, File No. 333-171375, as amended on March 16, 2012.)</w:t>
        </w:r>
      </w:hyperlink>
    </w:p>
    <w:p>
      <w:pPr>
        <w:spacing w:after="0" w:line="116" w:lineRule="exact"/>
        <w:rPr>
          <w:sz w:val="20"/>
          <w:szCs w:val="20"/>
          <w:color w:val="auto"/>
        </w:rPr>
      </w:pPr>
    </w:p>
    <w:p>
      <w:pPr>
        <w:ind w:left="2220" w:right="280" w:hanging="549"/>
        <w:spacing w:after="0" w:line="33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10.1*+ </w:t>
      </w:r>
      <w:hyperlink r:id="rId150">
        <w:r>
          <w:rPr>
            <w:rFonts w:ascii="Arial" w:cs="Arial" w:eastAsia="Arial" w:hAnsi="Arial"/>
            <w:sz w:val="16"/>
            <w:szCs w:val="16"/>
            <w:u w:val="single" w:color="auto"/>
            <w:color w:val="0000EE"/>
          </w:rPr>
          <w:t>2005 Stock Plan and form agreements there under (incorporated by reference to Exhibit 10.1 to the Company's</w:t>
        </w:r>
      </w:hyperlink>
      <w:r>
        <w:rPr>
          <w:rFonts w:ascii="Arial" w:cs="Arial" w:eastAsia="Arial" w:hAnsi="Arial"/>
          <w:sz w:val="16"/>
          <w:szCs w:val="16"/>
          <w:color w:val="auto"/>
        </w:rPr>
        <w:t xml:space="preserve"> </w:t>
      </w:r>
      <w:hyperlink r:id="rId150">
        <w:r>
          <w:rPr>
            <w:rFonts w:ascii="Arial" w:cs="Arial" w:eastAsia="Arial" w:hAnsi="Arial"/>
            <w:sz w:val="16"/>
            <w:szCs w:val="16"/>
            <w:u w:val="single" w:color="auto"/>
            <w:color w:val="0000EE"/>
          </w:rPr>
          <w:t>Registration Statement on Form S-1, File No. 333-171375, as amended on December 23, 2010).</w:t>
        </w:r>
      </w:hyperlink>
    </w:p>
    <w:p>
      <w:pPr>
        <w:spacing w:after="0" w:line="139" w:lineRule="exact"/>
        <w:rPr>
          <w:sz w:val="20"/>
          <w:szCs w:val="20"/>
          <w:color w:val="auto"/>
        </w:rPr>
      </w:pPr>
    </w:p>
    <w:p>
      <w:pPr>
        <w:ind w:left="2220" w:hanging="549"/>
        <w:spacing w:after="0" w:line="33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10.2*+ </w:t>
      </w:r>
      <w:hyperlink r:id="rId151">
        <w:r>
          <w:rPr>
            <w:rFonts w:ascii="Arial" w:cs="Arial" w:eastAsia="Arial" w:hAnsi="Arial"/>
            <w:sz w:val="16"/>
            <w:szCs w:val="16"/>
            <w:u w:val="single" w:color="auto"/>
            <w:color w:val="0000EE"/>
          </w:rPr>
          <w:t>Supplemental Executive Retirement Plan (incorporated by reference to Exhibit 10.2 to the Company's Registration</w:t>
        </w:r>
      </w:hyperlink>
      <w:r>
        <w:rPr>
          <w:rFonts w:ascii="Arial" w:cs="Arial" w:eastAsia="Arial" w:hAnsi="Arial"/>
          <w:sz w:val="16"/>
          <w:szCs w:val="16"/>
          <w:color w:val="auto"/>
        </w:rPr>
        <w:t xml:space="preserve"> </w:t>
      </w:r>
      <w:hyperlink r:id="rId151">
        <w:r>
          <w:rPr>
            <w:rFonts w:ascii="Arial" w:cs="Arial" w:eastAsia="Arial" w:hAnsi="Arial"/>
            <w:sz w:val="16"/>
            <w:szCs w:val="16"/>
            <w:u w:val="single" w:color="auto"/>
            <w:color w:val="0000EE"/>
          </w:rPr>
          <w:t>Statement on Form S-1, File No. 333-171375, as amended on December 23, 2010).</w:t>
        </w:r>
      </w:hyperlink>
    </w:p>
    <w:p>
      <w:pPr>
        <w:spacing w:after="0" w:line="139" w:lineRule="exact"/>
        <w:rPr>
          <w:sz w:val="20"/>
          <w:szCs w:val="20"/>
          <w:color w:val="auto"/>
        </w:rPr>
      </w:pPr>
    </w:p>
    <w:p>
      <w:pPr>
        <w:ind w:left="2220" w:right="240" w:hanging="549"/>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 </w:t>
      </w:r>
      <w:hyperlink r:id="rId152">
        <w:r>
          <w:rPr>
            <w:rFonts w:ascii="Arial" w:cs="Arial" w:eastAsia="Arial" w:hAnsi="Arial"/>
            <w:sz w:val="18"/>
            <w:szCs w:val="18"/>
            <w:u w:val="single" w:color="auto"/>
            <w:color w:val="0000EE"/>
          </w:rPr>
          <w:t>Employment Agreement, dated as of December 22, 2005, by and between the Registrant and Jack Khattar</w:t>
        </w:r>
      </w:hyperlink>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EE"/>
          </w:rPr>
          <w:t>(incorporated by reference to Exhibit 10.3 to the Company's Registration Statement on Form S-1, File No. 333-</w:t>
        </w:r>
      </w:hyperlink>
      <w:hyperlink r:id="rId152">
        <w:r>
          <w:rPr>
            <w:rFonts w:ascii="Arial" w:cs="Arial" w:eastAsia="Arial" w:hAnsi="Arial"/>
            <w:sz w:val="18"/>
            <w:szCs w:val="18"/>
            <w:u w:val="single" w:color="auto"/>
            <w:color w:val="0000EE"/>
          </w:rPr>
          <w:t>171375, as amended on December 23, 2010).</w:t>
        </w:r>
      </w:hyperlink>
    </w:p>
    <w:p>
      <w:pPr>
        <w:spacing w:after="0" w:line="194" w:lineRule="exact"/>
        <w:rPr>
          <w:rFonts w:ascii="Arial" w:cs="Arial" w:eastAsia="Arial" w:hAnsi="Arial"/>
          <w:sz w:val="18"/>
          <w:szCs w:val="18"/>
          <w:color w:val="auto"/>
        </w:rPr>
      </w:pPr>
    </w:p>
    <w:p>
      <w:pPr>
        <w:ind w:left="2220" w:right="240" w:hanging="549"/>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10.4*+ </w:t>
      </w:r>
      <w:hyperlink r:id="rId153">
        <w:r>
          <w:rPr>
            <w:rFonts w:ascii="Arial" w:cs="Arial" w:eastAsia="Arial" w:hAnsi="Arial"/>
            <w:sz w:val="18"/>
            <w:szCs w:val="18"/>
            <w:u w:val="single" w:color="auto"/>
            <w:color w:val="0000EE"/>
          </w:rPr>
          <w:t>Stock Restriction Agreement, dated December 22, 2005, by and between the Registrant and Jack Khattar</w:t>
        </w:r>
      </w:hyperlink>
      <w:r>
        <w:rPr>
          <w:rFonts w:ascii="Arial" w:cs="Arial" w:eastAsia="Arial" w:hAnsi="Arial"/>
          <w:sz w:val="18"/>
          <w:szCs w:val="18"/>
          <w:color w:val="auto"/>
        </w:rPr>
        <w:t xml:space="preserve"> </w:t>
      </w:r>
      <w:hyperlink r:id="rId153">
        <w:r>
          <w:rPr>
            <w:rFonts w:ascii="Arial" w:cs="Arial" w:eastAsia="Arial" w:hAnsi="Arial"/>
            <w:sz w:val="18"/>
            <w:szCs w:val="18"/>
            <w:u w:val="single" w:color="auto"/>
            <w:color w:val="0000EE"/>
          </w:rPr>
          <w:t>(incorporated by reference to Exhibit 10.4 to the Company's Registration Statement on Form S-1, File No. 333-</w:t>
        </w:r>
      </w:hyperlink>
      <w:hyperlink r:id="rId153">
        <w:r>
          <w:rPr>
            <w:rFonts w:ascii="Arial" w:cs="Arial" w:eastAsia="Arial" w:hAnsi="Arial"/>
            <w:sz w:val="18"/>
            <w:szCs w:val="18"/>
            <w:u w:val="single" w:color="auto"/>
            <w:color w:val="0000EE"/>
          </w:rPr>
          <w:t>171375, as amended on December 23, 2010).</w:t>
        </w:r>
      </w:hyperlink>
    </w:p>
    <w:p>
      <w:pPr>
        <w:spacing w:after="0" w:line="194" w:lineRule="exact"/>
        <w:rPr>
          <w:rFonts w:ascii="Arial" w:cs="Arial" w:eastAsia="Arial" w:hAnsi="Arial"/>
          <w:sz w:val="18"/>
          <w:szCs w:val="18"/>
          <w:color w:val="auto"/>
        </w:rPr>
      </w:pPr>
    </w:p>
    <w:p>
      <w:pPr>
        <w:ind w:left="2220" w:right="240" w:hanging="549"/>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54">
        <w:r>
          <w:rPr>
            <w:rFonts w:ascii="Arial" w:cs="Arial" w:eastAsia="Arial" w:hAnsi="Arial"/>
            <w:sz w:val="18"/>
            <w:szCs w:val="18"/>
            <w:u w:val="single" w:color="auto"/>
            <w:color w:val="0000EE"/>
          </w:rPr>
          <w:t>Lease, dated as of April 19, 1999, by and between ARE Acquisitions, LLC and Shire Laboratories Inc.</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(incorporated by reference to Exhibit 10.5 to the Company's Registration Statement on Form S-1, File No. 333-</w:t>
        </w:r>
      </w:hyperlink>
      <w:hyperlink r:id="rId154">
        <w:r>
          <w:rPr>
            <w:rFonts w:ascii="Arial" w:cs="Arial" w:eastAsia="Arial" w:hAnsi="Arial"/>
            <w:sz w:val="18"/>
            <w:szCs w:val="18"/>
            <w:u w:val="single" w:color="auto"/>
            <w:color w:val="0000EE"/>
          </w:rPr>
          <w:t>171375, as amended on December 23, 2010).</w:t>
        </w:r>
      </w:hyperlink>
    </w:p>
    <w:p>
      <w:pPr>
        <w:spacing w:after="0" w:line="194" w:lineRule="exact"/>
        <w:rPr>
          <w:rFonts w:ascii="Arial" w:cs="Arial" w:eastAsia="Arial" w:hAnsi="Arial"/>
          <w:sz w:val="18"/>
          <w:szCs w:val="18"/>
          <w:u w:val="single" w:color="auto"/>
          <w:color w:val="0000EE"/>
        </w:rPr>
      </w:pPr>
    </w:p>
    <w:p>
      <w:pPr>
        <w:ind w:left="2220" w:right="100" w:hanging="549"/>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55">
        <w:r>
          <w:rPr>
            <w:rFonts w:ascii="Arial" w:cs="Arial" w:eastAsia="Arial" w:hAnsi="Arial"/>
            <w:sz w:val="18"/>
            <w:szCs w:val="18"/>
            <w:u w:val="single" w:color="auto"/>
            <w:color w:val="0000EE"/>
          </w:rPr>
          <w:t>First Amendment to Lease, dated as of November 1, 2002, by and between ARE Acquisitions, LLC and Shire</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Laboratories Inc. (incorporated by reference to Exhibit 10.6 to the Company's Registration Statement on Form S-</w:t>
        </w:r>
      </w:hyperlink>
      <w:hyperlink r:id="rId155">
        <w:r>
          <w:rPr>
            <w:rFonts w:ascii="Arial" w:cs="Arial" w:eastAsia="Arial" w:hAnsi="Arial"/>
            <w:sz w:val="18"/>
            <w:szCs w:val="18"/>
            <w:u w:val="single" w:color="auto"/>
            <w:color w:val="0000EE"/>
          </w:rPr>
          <w:t>1, File No. 333-171375, as amended on December 23, 2010).</w:t>
        </w:r>
      </w:hyperlink>
    </w:p>
    <w:p>
      <w:pPr>
        <w:spacing w:after="0" w:line="194" w:lineRule="exact"/>
        <w:rPr>
          <w:rFonts w:ascii="Arial" w:cs="Arial" w:eastAsia="Arial" w:hAnsi="Arial"/>
          <w:sz w:val="18"/>
          <w:szCs w:val="18"/>
          <w:u w:val="single" w:color="auto"/>
          <w:color w:val="0000EE"/>
        </w:rPr>
      </w:pPr>
    </w:p>
    <w:p>
      <w:pPr>
        <w:jc w:val="both"/>
        <w:ind w:left="2220" w:right="60" w:hanging="549"/>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156">
        <w:r>
          <w:rPr>
            <w:rFonts w:ascii="Arial" w:cs="Arial" w:eastAsia="Arial" w:hAnsi="Arial"/>
            <w:sz w:val="16"/>
            <w:szCs w:val="16"/>
            <w:u w:val="single" w:color="auto"/>
            <w:color w:val="0000EE"/>
          </w:rPr>
          <w:t>Second Amendment to Lease, dated as of December 22, 2005, by and among ARE-East Gude Lease, LLC, Shire</w:t>
        </w:r>
      </w:hyperlink>
      <w:r>
        <w:rPr>
          <w:rFonts w:ascii="Arial" w:cs="Arial" w:eastAsia="Arial" w:hAnsi="Arial"/>
          <w:sz w:val="16"/>
          <w:szCs w:val="16"/>
          <w:u w:val="single" w:color="auto"/>
          <w:color w:val="0000EE"/>
        </w:rPr>
        <w:t xml:space="preserve"> </w:t>
      </w:r>
      <w:hyperlink r:id="rId156">
        <w:r>
          <w:rPr>
            <w:rFonts w:ascii="Arial" w:cs="Arial" w:eastAsia="Arial" w:hAnsi="Arial"/>
            <w:sz w:val="16"/>
            <w:szCs w:val="16"/>
            <w:u w:val="single" w:color="auto"/>
            <w:color w:val="0000EE"/>
          </w:rPr>
          <w:t>Laboratories Inc. and Supernus Pharmaceuticals, Inc. (incorporated by reference to Exhibit 10.7 to the Company's</w:t>
        </w:r>
      </w:hyperlink>
      <w:r>
        <w:rPr>
          <w:rFonts w:ascii="Arial" w:cs="Arial" w:eastAsia="Arial" w:hAnsi="Arial"/>
          <w:sz w:val="16"/>
          <w:szCs w:val="16"/>
          <w:u w:val="single" w:color="auto"/>
          <w:color w:val="0000EE"/>
        </w:rPr>
        <w:t xml:space="preserve"> </w:t>
      </w:r>
      <w:hyperlink r:id="rId156">
        <w:r>
          <w:rPr>
            <w:rFonts w:ascii="Arial" w:cs="Arial" w:eastAsia="Arial" w:hAnsi="Arial"/>
            <w:sz w:val="16"/>
            <w:szCs w:val="16"/>
            <w:u w:val="single" w:color="auto"/>
            <w:color w:val="0000EE"/>
          </w:rPr>
          <w:t>Registration Statement on Form S-1, File No. 333-171375, as amended on December 23, 2010).</w:t>
        </w:r>
      </w:hyperlink>
    </w:p>
    <w:p>
      <w:pPr>
        <w:spacing w:after="0" w:line="161" w:lineRule="exact"/>
        <w:rPr>
          <w:rFonts w:ascii="Arial" w:cs="Arial" w:eastAsia="Arial" w:hAnsi="Arial"/>
          <w:sz w:val="16"/>
          <w:szCs w:val="16"/>
          <w:u w:val="single" w:color="auto"/>
          <w:color w:val="0000EE"/>
        </w:rPr>
      </w:pPr>
    </w:p>
    <w:p>
      <w:pPr>
        <w:ind w:left="2220" w:right="40" w:hanging="549"/>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r:id="rId157">
        <w:r>
          <w:rPr>
            <w:rFonts w:ascii="Arial" w:cs="Arial" w:eastAsia="Arial" w:hAnsi="Arial"/>
            <w:sz w:val="16"/>
            <w:szCs w:val="16"/>
            <w:u w:val="single" w:color="auto"/>
            <w:color w:val="0000EE"/>
          </w:rPr>
          <w:t>Third Amendment to Lease, dated as of November 24, 2010, by and between ARE-East Gude Lease, LLC and the</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Registrant (successor-in-interest to Shire Laboratories Inc.) (incorporated by reference to Exhibit 10.8 to the</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Company's Registration Statement on Form S-1, File No. 333-171375, as amended on December 23, 2010).</w:t>
        </w:r>
      </w:hyperlink>
    </w:p>
    <w:p>
      <w:pPr>
        <w:spacing w:after="0" w:line="161" w:lineRule="exact"/>
        <w:rPr>
          <w:rFonts w:ascii="Arial" w:cs="Arial" w:eastAsia="Arial" w:hAnsi="Arial"/>
          <w:sz w:val="16"/>
          <w:szCs w:val="16"/>
          <w:u w:val="single" w:color="auto"/>
          <w:color w:val="0000EE"/>
        </w:rPr>
      </w:pPr>
    </w:p>
    <w:p>
      <w:pPr>
        <w:jc w:val="center"/>
        <w:ind w:left="420"/>
        <w:spacing w:after="0"/>
        <w:rPr>
          <w:rFonts w:ascii="Arial" w:cs="Arial" w:eastAsia="Arial" w:hAnsi="Arial"/>
          <w:sz w:val="15"/>
          <w:szCs w:val="15"/>
          <w:color w:val="auto"/>
        </w:rPr>
      </w:pPr>
      <w:r>
        <w:rPr>
          <w:rFonts w:ascii="Arial" w:cs="Arial" w:eastAsia="Arial" w:hAnsi="Arial"/>
          <w:sz w:val="15"/>
          <w:szCs w:val="15"/>
          <w:color w:val="auto"/>
        </w:rPr>
        <w:t xml:space="preserve">10.9†* </w:t>
      </w:r>
      <w:hyperlink r:id="rId158">
        <w:r>
          <w:rPr>
            <w:rFonts w:ascii="Arial" w:cs="Arial" w:eastAsia="Arial" w:hAnsi="Arial"/>
            <w:sz w:val="15"/>
            <w:szCs w:val="15"/>
            <w:u w:val="single" w:color="auto"/>
            <w:color w:val="0000EE"/>
          </w:rPr>
          <w:t>Asset Purchase and Contribution Agreement, dated as of December 22, 2005, by and among the Registrant, Shire</w:t>
        </w:r>
      </w:hyperlink>
    </w:p>
    <w:p>
      <w:pPr>
        <w:spacing w:after="0" w:line="50" w:lineRule="exact"/>
        <w:rPr>
          <w:rFonts w:ascii="Arial" w:cs="Arial" w:eastAsia="Arial" w:hAnsi="Arial"/>
          <w:sz w:val="16"/>
          <w:szCs w:val="16"/>
          <w:u w:val="single" w:color="auto"/>
          <w:color w:val="0000EE"/>
        </w:rPr>
      </w:pPr>
    </w:p>
    <w:p>
      <w:pPr>
        <w:ind w:left="2220" w:right="640"/>
        <w:spacing w:after="0" w:line="261" w:lineRule="auto"/>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Laboratories Inc. and Shire plc (incorporated by reference to Exhibit 10.10 to the Company's Registration</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Statement on Form S-1, File No. 333-171375, as amended on March 16, 2012).</w:t>
        </w:r>
      </w:hyperlink>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116" w:name="page117"/>
    <w:bookmarkEnd w:id="11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0240"/>
          </w:cols>
          <w:pgMar w:left="240" w:top="131" w:right="1419" w:bottom="1440" w:gutter="0" w:footer="0" w:header="0"/>
        </w:sectPr>
      </w:pPr>
    </w:p>
    <w:p>
      <w:pPr>
        <w:spacing w:after="0" w:line="25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232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22225</wp:posOffset>
            </wp:positionV>
            <wp:extent cx="51200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200" w:space="720"/>
            <w:col w:w="4320"/>
          </w:cols>
          <w:pgMar w:left="240" w:top="131" w:right="1419" w:bottom="1440" w:gutter="0" w:footer="0" w:header="0"/>
          <w:type w:val="continuous"/>
        </w:sectPr>
      </w:pPr>
    </w:p>
    <w:p>
      <w:pPr>
        <w:jc w:val="both"/>
        <w:ind w:left="2220" w:right="280" w:hanging="637"/>
        <w:spacing w:after="0" w:line="30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10.10†* </w:t>
      </w:r>
      <w:hyperlink r:id="rId162">
        <w:r>
          <w:rPr>
            <w:rFonts w:ascii="Arial" w:cs="Arial" w:eastAsia="Arial" w:hAnsi="Arial"/>
            <w:sz w:val="16"/>
            <w:szCs w:val="16"/>
            <w:u w:val="single" w:color="auto"/>
            <w:color w:val="0000EE"/>
          </w:rPr>
          <w:t>Guanfacine License Agreement, dated as of December 22, 2005, by and among the Registrant, Shire LLC and</w:t>
        </w:r>
      </w:hyperlink>
      <w:r>
        <w:rPr>
          <w:rFonts w:ascii="Arial" w:cs="Arial" w:eastAsia="Arial" w:hAnsi="Arial"/>
          <w:sz w:val="16"/>
          <w:szCs w:val="16"/>
          <w:color w:val="auto"/>
        </w:rPr>
        <w:t xml:space="preserve"> </w:t>
      </w:r>
      <w:hyperlink r:id="rId162">
        <w:r>
          <w:rPr>
            <w:rFonts w:ascii="Arial" w:cs="Arial" w:eastAsia="Arial" w:hAnsi="Arial"/>
            <w:sz w:val="16"/>
            <w:szCs w:val="16"/>
            <w:u w:val="single" w:color="auto"/>
            <w:color w:val="0000EE"/>
          </w:rPr>
          <w:t>Shire plc, as amended (incorporated by reference to Exhibit 10.11 to the Company's Registration Statement on</w:t>
        </w:r>
      </w:hyperlink>
      <w:r>
        <w:rPr>
          <w:rFonts w:ascii="Arial" w:cs="Arial" w:eastAsia="Arial" w:hAnsi="Arial"/>
          <w:sz w:val="16"/>
          <w:szCs w:val="16"/>
          <w:u w:val="single" w:color="auto"/>
          <w:color w:val="0000EE"/>
        </w:rPr>
        <w:t xml:space="preserve"> </w:t>
      </w:r>
      <w:hyperlink r:id="rId162">
        <w:r>
          <w:rPr>
            <w:rFonts w:ascii="Arial" w:cs="Arial" w:eastAsia="Arial" w:hAnsi="Arial"/>
            <w:sz w:val="16"/>
            <w:szCs w:val="16"/>
            <w:u w:val="single" w:color="auto"/>
            <w:color w:val="0000EE"/>
          </w:rPr>
          <w:t>Form S-1, File No. 333-171375, as amended on March 16, 2012).</w:t>
        </w:r>
      </w:hyperlink>
    </w:p>
    <w:p>
      <w:pPr>
        <w:spacing w:after="0" w:line="164" w:lineRule="exact"/>
        <w:rPr>
          <w:rFonts w:ascii="Arial" w:cs="Arial" w:eastAsia="Arial" w:hAnsi="Arial"/>
          <w:sz w:val="16"/>
          <w:szCs w:val="16"/>
          <w:color w:val="auto"/>
        </w:rPr>
      </w:pPr>
    </w:p>
    <w:p>
      <w:pPr>
        <w:jc w:val="both"/>
        <w:ind w:left="2220" w:right="140" w:hanging="631"/>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10.11†* </w:t>
      </w:r>
      <w:hyperlink r:id="rId163">
        <w:r>
          <w:rPr>
            <w:rFonts w:ascii="Arial" w:cs="Arial" w:eastAsia="Arial" w:hAnsi="Arial"/>
            <w:sz w:val="18"/>
            <w:szCs w:val="18"/>
            <w:u w:val="single" w:color="auto"/>
            <w:color w:val="0000EE"/>
          </w:rPr>
          <w:t>Exclusive License Agreement, dated as of June 6, 2006, by and between the Registrant and United Therapeutics</w:t>
        </w:r>
      </w:hyperlink>
      <w:r>
        <w:rPr>
          <w:rFonts w:ascii="Arial" w:cs="Arial" w:eastAsia="Arial" w:hAnsi="Arial"/>
          <w:sz w:val="18"/>
          <w:szCs w:val="18"/>
          <w:color w:val="auto"/>
        </w:rPr>
        <w:t xml:space="preserve"> </w:t>
      </w:r>
      <w:hyperlink r:id="rId163">
        <w:r>
          <w:rPr>
            <w:rFonts w:ascii="Arial" w:cs="Arial" w:eastAsia="Arial" w:hAnsi="Arial"/>
            <w:sz w:val="18"/>
            <w:szCs w:val="18"/>
            <w:u w:val="single" w:color="auto"/>
            <w:color w:val="0000EE"/>
          </w:rPr>
          <w:t>Corporation (incorporated by reference to Exhibit 10.12 to the Company's Registration Statement on Form S-1,</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File No. 333-171375, as amended on March 16, 2012).</w:t>
        </w:r>
      </w:hyperlink>
    </w:p>
    <w:p>
      <w:pPr>
        <w:spacing w:after="0" w:line="194" w:lineRule="exact"/>
        <w:rPr>
          <w:rFonts w:ascii="Arial" w:cs="Arial" w:eastAsia="Arial" w:hAnsi="Arial"/>
          <w:sz w:val="18"/>
          <w:szCs w:val="18"/>
          <w:color w:val="auto"/>
        </w:rPr>
      </w:pPr>
    </w:p>
    <w:p>
      <w:pPr>
        <w:ind w:left="2220" w:right="140" w:hanging="637"/>
        <w:spacing w:after="0" w:line="306"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10.12†* </w:t>
      </w:r>
      <w:hyperlink r:id="rId164">
        <w:r>
          <w:rPr>
            <w:rFonts w:ascii="Arial" w:cs="Arial" w:eastAsia="Arial" w:hAnsi="Arial"/>
            <w:sz w:val="16"/>
            <w:szCs w:val="16"/>
            <w:u w:val="single" w:color="auto"/>
            <w:color w:val="0000EE"/>
          </w:rPr>
          <w:t>Exclusive Option and License Agreement, dated as of April 27, 2006, by and between the Registrant and Afecta</w:t>
        </w:r>
      </w:hyperlink>
      <w:r>
        <w:rPr>
          <w:rFonts w:ascii="Arial" w:cs="Arial" w:eastAsia="Arial" w:hAnsi="Arial"/>
          <w:sz w:val="16"/>
          <w:szCs w:val="16"/>
          <w:color w:val="auto"/>
        </w:rPr>
        <w:t xml:space="preserve"> </w:t>
      </w:r>
      <w:hyperlink r:id="rId164">
        <w:r>
          <w:rPr>
            <w:rFonts w:ascii="Arial" w:cs="Arial" w:eastAsia="Arial" w:hAnsi="Arial"/>
            <w:sz w:val="16"/>
            <w:szCs w:val="16"/>
            <w:u w:val="single" w:color="auto"/>
            <w:color w:val="0000EE"/>
          </w:rPr>
          <w:t>Pharmaceuticals, Inc. (incorporated by reference to Exhibit 10.13 to the Company's Registration Statement on</w:t>
        </w:r>
      </w:hyperlink>
      <w:r>
        <w:rPr>
          <w:rFonts w:ascii="Arial" w:cs="Arial" w:eastAsia="Arial" w:hAnsi="Arial"/>
          <w:sz w:val="16"/>
          <w:szCs w:val="16"/>
          <w:u w:val="single" w:color="auto"/>
          <w:color w:val="0000EE"/>
        </w:rPr>
        <w:t xml:space="preserve"> </w:t>
      </w:r>
      <w:hyperlink r:id="rId164">
        <w:r>
          <w:rPr>
            <w:rFonts w:ascii="Arial" w:cs="Arial" w:eastAsia="Arial" w:hAnsi="Arial"/>
            <w:sz w:val="16"/>
            <w:szCs w:val="16"/>
            <w:u w:val="single" w:color="auto"/>
            <w:color w:val="0000EE"/>
          </w:rPr>
          <w:t>Form S-1, File No. 333-171375, as amended on March 16, 2012).</w:t>
        </w:r>
      </w:hyperlink>
    </w:p>
    <w:p>
      <w:pPr>
        <w:spacing w:after="0" w:line="161" w:lineRule="exact"/>
        <w:rPr>
          <w:rFonts w:ascii="Arial" w:cs="Arial" w:eastAsia="Arial" w:hAnsi="Arial"/>
          <w:sz w:val="16"/>
          <w:szCs w:val="16"/>
          <w:color w:val="auto"/>
        </w:rPr>
      </w:pPr>
    </w:p>
    <w:p>
      <w:pPr>
        <w:ind w:left="2220" w:right="180" w:hanging="637"/>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10.13†* </w:t>
      </w:r>
      <w:hyperlink r:id="rId165">
        <w:r>
          <w:rPr>
            <w:rFonts w:ascii="Arial" w:cs="Arial" w:eastAsia="Arial" w:hAnsi="Arial"/>
            <w:sz w:val="18"/>
            <w:szCs w:val="18"/>
            <w:u w:val="single" w:color="auto"/>
            <w:color w:val="0000EE"/>
          </w:rPr>
          <w:t>Purchase and Sale Agreement, dated as of June 9, 2006, by and between the Registrant and Rune HealthCare</w:t>
        </w:r>
      </w:hyperlink>
      <w:r>
        <w:rPr>
          <w:rFonts w:ascii="Arial" w:cs="Arial" w:eastAsia="Arial" w:hAnsi="Arial"/>
          <w:sz w:val="18"/>
          <w:szCs w:val="18"/>
          <w:color w:val="auto"/>
        </w:rPr>
        <w:t xml:space="preserve"> </w:t>
      </w:r>
      <w:hyperlink r:id="rId165">
        <w:r>
          <w:rPr>
            <w:rFonts w:ascii="Arial" w:cs="Arial" w:eastAsia="Arial" w:hAnsi="Arial"/>
            <w:sz w:val="18"/>
            <w:szCs w:val="18"/>
            <w:u w:val="single" w:color="auto"/>
            <w:color w:val="0000EE"/>
          </w:rPr>
          <w:t>Limited (incorporated by reference to Exhibit 10.14 to the Company's Registration Statement on Form S-1, File</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No. 333-171375, as amended on March 16, 2012).</w:t>
        </w:r>
      </w:hyperlink>
    </w:p>
    <w:p>
      <w:pPr>
        <w:spacing w:after="0" w:line="194" w:lineRule="exact"/>
        <w:rPr>
          <w:rFonts w:ascii="Arial" w:cs="Arial" w:eastAsia="Arial" w:hAnsi="Arial"/>
          <w:sz w:val="18"/>
          <w:szCs w:val="18"/>
          <w:color w:val="auto"/>
        </w:rPr>
      </w:pPr>
    </w:p>
    <w:p>
      <w:pPr>
        <w:ind w:left="2220" w:right="260" w:hanging="637"/>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10.14†* </w:t>
      </w:r>
      <w:hyperlink r:id="rId166">
        <w:r>
          <w:rPr>
            <w:rFonts w:ascii="Arial" w:cs="Arial" w:eastAsia="Arial" w:hAnsi="Arial"/>
            <w:sz w:val="18"/>
            <w:szCs w:val="18"/>
            <w:u w:val="single" w:color="auto"/>
            <w:color w:val="0000EE"/>
          </w:rPr>
          <w:t>Exclusive License Agreement, dated as of November 2, 2007, by and between the Registrant and Afecta</w:t>
        </w:r>
      </w:hyperlink>
      <w:r>
        <w:rPr>
          <w:rFonts w:ascii="Arial" w:cs="Arial" w:eastAsia="Arial" w:hAnsi="Arial"/>
          <w:sz w:val="18"/>
          <w:szCs w:val="18"/>
          <w:color w:val="auto"/>
        </w:rPr>
        <w:t xml:space="preserve"> </w:t>
      </w:r>
      <w:hyperlink r:id="rId166">
        <w:r>
          <w:rPr>
            <w:rFonts w:ascii="Arial" w:cs="Arial" w:eastAsia="Arial" w:hAnsi="Arial"/>
            <w:sz w:val="18"/>
            <w:szCs w:val="18"/>
            <w:u w:val="single" w:color="auto"/>
            <w:color w:val="0000EE"/>
          </w:rPr>
          <w:t>Pharmaceuticals, Inc. (incorporated by reference to Exhibit 10.15 to the Company's Registration Statement on</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Form S-1, File No. 333-171375, as amended on March 16, 2012).</w:t>
        </w:r>
      </w:hyperlink>
    </w:p>
    <w:p>
      <w:pPr>
        <w:spacing w:after="0" w:line="194" w:lineRule="exact"/>
        <w:rPr>
          <w:rFonts w:ascii="Arial" w:cs="Arial" w:eastAsia="Arial" w:hAnsi="Arial"/>
          <w:sz w:val="18"/>
          <w:szCs w:val="18"/>
          <w:color w:val="auto"/>
        </w:rPr>
      </w:pPr>
    </w:p>
    <w:p>
      <w:pPr>
        <w:ind w:left="2220" w:right="200" w:hanging="637"/>
        <w:spacing w:after="0" w:line="268"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67">
        <w:r>
          <w:rPr>
            <w:rFonts w:ascii="Arial" w:cs="Arial" w:eastAsia="Arial" w:hAnsi="Arial"/>
            <w:sz w:val="18"/>
            <w:szCs w:val="18"/>
            <w:u w:val="single" w:color="auto"/>
            <w:color w:val="0000EE"/>
          </w:rPr>
          <w:t>Form of Indemnification Agreement (incorporated by reference to Exhibit 10.20 to the Company's Registration</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Statement on Form S-1, File No. 333-171375, as amended on February 14, 2012.</w:t>
        </w:r>
      </w:hyperlink>
    </w:p>
    <w:p>
      <w:pPr>
        <w:spacing w:after="0" w:line="186" w:lineRule="exact"/>
        <w:rPr>
          <w:sz w:val="20"/>
          <w:szCs w:val="20"/>
          <w:color w:val="auto"/>
        </w:rPr>
      </w:pPr>
    </w:p>
    <w:p>
      <w:pPr>
        <w:ind w:left="2220" w:right="260" w:hanging="637"/>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10.16*+ </w:t>
      </w:r>
      <w:hyperlink r:id="rId168">
        <w:r>
          <w:rPr>
            <w:rFonts w:ascii="Arial" w:cs="Arial" w:eastAsia="Arial" w:hAnsi="Arial"/>
            <w:sz w:val="18"/>
            <w:szCs w:val="18"/>
            <w:u w:val="single" w:color="auto"/>
            <w:color w:val="0000EE"/>
          </w:rPr>
          <w:t>Offer Letter, dated June 10, 2005, to Dr. Padmanabh P. Bhatt from the Registrant (incorporated by reference to</w:t>
        </w:r>
      </w:hyperlink>
      <w:r>
        <w:rPr>
          <w:rFonts w:ascii="Arial" w:cs="Arial" w:eastAsia="Arial" w:hAnsi="Arial"/>
          <w:sz w:val="18"/>
          <w:szCs w:val="18"/>
          <w:color w:val="auto"/>
        </w:rPr>
        <w:t xml:space="preserve"> </w:t>
      </w:r>
      <w:hyperlink r:id="rId168">
        <w:r>
          <w:rPr>
            <w:rFonts w:ascii="Arial" w:cs="Arial" w:eastAsia="Arial" w:hAnsi="Arial"/>
            <w:sz w:val="18"/>
            <w:szCs w:val="18"/>
            <w:u w:val="single" w:color="auto"/>
            <w:color w:val="0000EE"/>
          </w:rPr>
          <w:t>Exhibit 10.22 to the Company's Registration Statement on Form S-1, File No. 333-171375, as amended on</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March 16, 2012).</w:t>
        </w:r>
      </w:hyperlink>
    </w:p>
    <w:p>
      <w:pPr>
        <w:spacing w:after="0" w:line="194" w:lineRule="exact"/>
        <w:rPr>
          <w:rFonts w:ascii="Arial" w:cs="Arial" w:eastAsia="Arial" w:hAnsi="Arial"/>
          <w:sz w:val="18"/>
          <w:szCs w:val="18"/>
          <w:color w:val="auto"/>
        </w:rPr>
      </w:pPr>
    </w:p>
    <w:p>
      <w:pPr>
        <w:ind w:left="2220" w:right="160" w:hanging="637"/>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10.17*+ </w:t>
      </w:r>
      <w:hyperlink r:id="rId169">
        <w:r>
          <w:rPr>
            <w:rFonts w:ascii="Arial" w:cs="Arial" w:eastAsia="Arial" w:hAnsi="Arial"/>
            <w:sz w:val="18"/>
            <w:szCs w:val="18"/>
            <w:u w:val="single" w:color="auto"/>
            <w:color w:val="0000EE"/>
          </w:rPr>
          <w:t>Amended and Restated Employment Agreement, dated February 29, 2012, by and between the Registrant and</w:t>
        </w:r>
      </w:hyperlink>
      <w:r>
        <w:rPr>
          <w:rFonts w:ascii="Arial" w:cs="Arial" w:eastAsia="Arial" w:hAnsi="Arial"/>
          <w:sz w:val="18"/>
          <w:szCs w:val="18"/>
          <w:color w:val="auto"/>
        </w:rPr>
        <w:t xml:space="preserve"> </w:t>
      </w:r>
      <w:hyperlink r:id="rId169">
        <w:r>
          <w:rPr>
            <w:rFonts w:ascii="Arial" w:cs="Arial" w:eastAsia="Arial" w:hAnsi="Arial"/>
            <w:sz w:val="18"/>
            <w:szCs w:val="18"/>
            <w:u w:val="single" w:color="auto"/>
            <w:color w:val="0000EE"/>
          </w:rPr>
          <w:t>Jack Khattar (incorporated by reference to Exhibit 10.23 to the Company's Registration Statement on Form S-1,</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File No. 333-171375, as amended on March 16, 2012).</w:t>
        </w:r>
      </w:hyperlink>
    </w:p>
    <w:p>
      <w:pPr>
        <w:spacing w:after="0" w:line="194" w:lineRule="exact"/>
        <w:rPr>
          <w:rFonts w:ascii="Arial" w:cs="Arial" w:eastAsia="Arial" w:hAnsi="Arial"/>
          <w:sz w:val="18"/>
          <w:szCs w:val="18"/>
          <w:color w:val="auto"/>
        </w:rPr>
      </w:pPr>
    </w:p>
    <w:p>
      <w:pPr>
        <w:ind w:left="2220" w:right="100" w:hanging="637"/>
        <w:spacing w:after="0" w:line="306"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10.18*+ </w:t>
      </w:r>
      <w:hyperlink r:id="rId170">
        <w:r>
          <w:rPr>
            <w:rFonts w:ascii="Arial" w:cs="Arial" w:eastAsia="Arial" w:hAnsi="Arial"/>
            <w:sz w:val="16"/>
            <w:szCs w:val="16"/>
            <w:u w:val="single" w:color="auto"/>
            <w:color w:val="0000EE"/>
          </w:rPr>
          <w:t>Form of Time-Based Incentive Stock Option Agreement under the Supernus Pharmaceuticals, Inc. 2012 Equity</w:t>
        </w:r>
      </w:hyperlink>
      <w:r>
        <w:rPr>
          <w:rFonts w:ascii="Arial" w:cs="Arial" w:eastAsia="Arial" w:hAnsi="Arial"/>
          <w:sz w:val="16"/>
          <w:szCs w:val="16"/>
          <w:color w:val="auto"/>
        </w:rPr>
        <w:t xml:space="preserve"> </w:t>
      </w:r>
      <w:hyperlink r:id="rId170">
        <w:r>
          <w:rPr>
            <w:rFonts w:ascii="Arial" w:cs="Arial" w:eastAsia="Arial" w:hAnsi="Arial"/>
            <w:sz w:val="16"/>
            <w:szCs w:val="16"/>
            <w:u w:val="single" w:color="auto"/>
            <w:color w:val="0000EE"/>
          </w:rPr>
          <w:t>Incentive Plan, as amended (incorporated by reference to Exhibit 10.26 to the Company's Registration Statement</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on Form S-1, File No. 333-171375, as amended on April 11, 2012).</w:t>
        </w:r>
      </w:hyperlink>
    </w:p>
    <w:p>
      <w:pPr>
        <w:spacing w:after="0" w:line="161" w:lineRule="exact"/>
        <w:rPr>
          <w:rFonts w:ascii="Arial" w:cs="Arial" w:eastAsia="Arial" w:hAnsi="Arial"/>
          <w:sz w:val="16"/>
          <w:szCs w:val="16"/>
          <w:color w:val="auto"/>
        </w:rPr>
      </w:pPr>
    </w:p>
    <w:p>
      <w:pPr>
        <w:jc w:val="both"/>
        <w:ind w:left="2220" w:right="340" w:hanging="637"/>
        <w:spacing w:after="0" w:line="306"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10.19*+ </w:t>
      </w:r>
      <w:hyperlink r:id="rId171">
        <w:r>
          <w:rPr>
            <w:rFonts w:ascii="Arial" w:cs="Arial" w:eastAsia="Arial" w:hAnsi="Arial"/>
            <w:sz w:val="16"/>
            <w:szCs w:val="16"/>
            <w:u w:val="single" w:color="auto"/>
            <w:color w:val="0000EE"/>
          </w:rPr>
          <w:t>Form of Non-Statutory Time-Based Stock Option Agreement under the Supernus Pharmaceuticals, Inc. 2012</w:t>
        </w:r>
      </w:hyperlink>
      <w:r>
        <w:rPr>
          <w:rFonts w:ascii="Arial" w:cs="Arial" w:eastAsia="Arial" w:hAnsi="Arial"/>
          <w:sz w:val="16"/>
          <w:szCs w:val="16"/>
          <w:color w:val="auto"/>
        </w:rPr>
        <w:t xml:space="preserve"> </w:t>
      </w:r>
      <w:hyperlink r:id="rId171">
        <w:r>
          <w:rPr>
            <w:rFonts w:ascii="Arial" w:cs="Arial" w:eastAsia="Arial" w:hAnsi="Arial"/>
            <w:sz w:val="16"/>
            <w:szCs w:val="16"/>
            <w:u w:val="single" w:color="auto"/>
            <w:color w:val="0000EE"/>
          </w:rPr>
          <w:t>Equity Incentive Plan, as amended (incorporated by reference to Exhibit 10.27 to the Company's Registration</w:t>
        </w:r>
      </w:hyperlink>
      <w:r>
        <w:rPr>
          <w:rFonts w:ascii="Arial" w:cs="Arial" w:eastAsia="Arial" w:hAnsi="Arial"/>
          <w:sz w:val="16"/>
          <w:szCs w:val="16"/>
          <w:u w:val="single" w:color="auto"/>
          <w:color w:val="0000EE"/>
        </w:rPr>
        <w:t xml:space="preserve"> </w:t>
      </w:r>
      <w:hyperlink r:id="rId171">
        <w:r>
          <w:rPr>
            <w:rFonts w:ascii="Arial" w:cs="Arial" w:eastAsia="Arial" w:hAnsi="Arial"/>
            <w:sz w:val="16"/>
            <w:szCs w:val="16"/>
            <w:u w:val="single" w:color="auto"/>
            <w:color w:val="0000EE"/>
          </w:rPr>
          <w:t>Statement on Form S-1, File No. 333-171375, as amended on April 11, 2012).</w:t>
        </w:r>
      </w:hyperlink>
    </w:p>
    <w:p>
      <w:pPr>
        <w:spacing w:after="0" w:line="161" w:lineRule="exact"/>
        <w:rPr>
          <w:rFonts w:ascii="Arial" w:cs="Arial" w:eastAsia="Arial" w:hAnsi="Arial"/>
          <w:sz w:val="16"/>
          <w:szCs w:val="16"/>
          <w:color w:val="auto"/>
        </w:rPr>
      </w:pPr>
    </w:p>
    <w:p>
      <w:pPr>
        <w:ind w:left="2220" w:hanging="637"/>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10.20*+ </w:t>
      </w:r>
      <w:hyperlink r:id="rId172">
        <w:r>
          <w:rPr>
            <w:rFonts w:ascii="Arial" w:cs="Arial" w:eastAsia="Arial" w:hAnsi="Arial"/>
            <w:sz w:val="18"/>
            <w:szCs w:val="18"/>
            <w:u w:val="single" w:color="auto"/>
            <w:color w:val="0000EE"/>
          </w:rPr>
          <w:t>Offer letter to Stefan K.F. Schwabe dated June 25, 2012 (incorporated by reference to Exhibit 10.1 to the</w:t>
        </w:r>
      </w:hyperlink>
      <w:r>
        <w:rPr>
          <w:rFonts w:ascii="Arial" w:cs="Arial" w:eastAsia="Arial" w:hAnsi="Arial"/>
          <w:sz w:val="18"/>
          <w:szCs w:val="18"/>
          <w:color w:val="auto"/>
        </w:rPr>
        <w:t xml:space="preserve"> </w:t>
      </w:r>
      <w:hyperlink r:id="rId172">
        <w:r>
          <w:rPr>
            <w:rFonts w:ascii="Arial" w:cs="Arial" w:eastAsia="Arial" w:hAnsi="Arial"/>
            <w:sz w:val="18"/>
            <w:szCs w:val="18"/>
            <w:u w:val="single" w:color="auto"/>
            <w:color w:val="0000EE"/>
          </w:rPr>
          <w:t>Company's Quarterly Report on Form 10-Q for the period ended September 30, 2012, filed on November 2, 2012,</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File No. 001-35518).</w:t>
        </w:r>
      </w:hyperlink>
    </w:p>
    <w:p>
      <w:pPr>
        <w:spacing w:after="0" w:line="194" w:lineRule="exact"/>
        <w:rPr>
          <w:rFonts w:ascii="Arial" w:cs="Arial" w:eastAsia="Arial" w:hAnsi="Arial"/>
          <w:sz w:val="18"/>
          <w:szCs w:val="18"/>
          <w:color w:val="auto"/>
        </w:rPr>
      </w:pPr>
    </w:p>
    <w:p>
      <w:pPr>
        <w:ind w:left="2220" w:right="440" w:hanging="637"/>
        <w:spacing w:after="0" w:line="33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10.21†* </w:t>
      </w:r>
      <w:hyperlink r:id="rId173">
        <w:r>
          <w:rPr>
            <w:rFonts w:ascii="Arial" w:cs="Arial" w:eastAsia="Arial" w:hAnsi="Arial"/>
            <w:sz w:val="16"/>
            <w:szCs w:val="16"/>
            <w:u w:val="single" w:color="auto"/>
            <w:color w:val="0000EE"/>
          </w:rPr>
          <w:t>Commercial Supply Agreement, dated August 23, 2012, by and among Patheon, Inc. and the Company</w:t>
        </w:r>
      </w:hyperlink>
      <w:r>
        <w:rPr>
          <w:rFonts w:ascii="Arial" w:cs="Arial" w:eastAsia="Arial" w:hAnsi="Arial"/>
          <w:sz w:val="16"/>
          <w:szCs w:val="16"/>
          <w:color w:val="auto"/>
        </w:rPr>
        <w:t xml:space="preserve"> </w:t>
      </w:r>
      <w:hyperlink r:id="rId173">
        <w:r>
          <w:rPr>
            <w:rFonts w:ascii="Arial" w:cs="Arial" w:eastAsia="Arial" w:hAnsi="Arial"/>
            <w:sz w:val="16"/>
            <w:szCs w:val="16"/>
            <w:u w:val="single" w:color="auto"/>
            <w:color w:val="0000EE"/>
          </w:rPr>
          <w:t>(incorporated by reference to Exhibit 10.1 to the Form 8-K filed on February 7, 2013, File No., 001-35518).</w:t>
        </w:r>
      </w:hyperlink>
    </w:p>
    <w:p>
      <w:pPr>
        <w:spacing w:after="0" w:line="38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type w:val="continuous"/>
        </w:sectPr>
      </w:pPr>
    </w:p>
    <w:bookmarkStart w:id="117" w:name="page118"/>
    <w:bookmarkEnd w:id="11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0280"/>
          </w:cols>
          <w:pgMar w:left="240" w:top="131" w:right="1379" w:bottom="1440" w:gutter="0" w:footer="0" w:header="0"/>
        </w:sectPr>
      </w:pPr>
    </w:p>
    <w:p>
      <w:pPr>
        <w:spacing w:after="0" w:line="25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232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22225</wp:posOffset>
            </wp:positionV>
            <wp:extent cx="51200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200" w:space="720"/>
            <w:col w:w="4360"/>
          </w:cols>
          <w:pgMar w:left="240" w:top="131" w:right="1379" w:bottom="1440" w:gutter="0" w:footer="0" w:header="0"/>
          <w:type w:val="continuous"/>
        </w:sectPr>
      </w:pPr>
    </w:p>
    <w:p>
      <w:pPr>
        <w:ind w:left="2220" w:right="160" w:hanging="637"/>
        <w:spacing w:after="0" w:line="254"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77">
        <w:r>
          <w:rPr>
            <w:rFonts w:ascii="Arial" w:cs="Arial" w:eastAsia="Arial" w:hAnsi="Arial"/>
            <w:sz w:val="18"/>
            <w:szCs w:val="18"/>
            <w:u w:val="single" w:color="auto"/>
            <w:color w:val="0000EE"/>
          </w:rPr>
          <w:t>Lease Agreement, dated February 6, 2013, by and among ARE-1500 East Gude, LLC and the Company</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(incorporated by reference to Exhibit 10.33 to the Company's Annual Report on Form 10-K for the period ended</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December 31, 2012, filed on March 15, 2013, File No. 001-35518).</w:t>
        </w:r>
      </w:hyperlink>
    </w:p>
    <w:p>
      <w:pPr>
        <w:spacing w:after="0" w:line="199" w:lineRule="exact"/>
        <w:rPr>
          <w:rFonts w:ascii="Arial" w:cs="Arial" w:eastAsia="Arial" w:hAnsi="Arial"/>
          <w:sz w:val="18"/>
          <w:szCs w:val="18"/>
          <w:u w:val="single" w:color="auto"/>
          <w:color w:val="0000EE"/>
        </w:rPr>
      </w:pPr>
    </w:p>
    <w:p>
      <w:pPr>
        <w:ind w:left="2220" w:right="60" w:hanging="637"/>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10.23†* </w:t>
      </w:r>
      <w:hyperlink r:id="rId178">
        <w:r>
          <w:rPr>
            <w:rFonts w:ascii="Arial" w:cs="Arial" w:eastAsia="Arial" w:hAnsi="Arial"/>
            <w:sz w:val="18"/>
            <w:szCs w:val="18"/>
            <w:u w:val="single" w:color="auto"/>
            <w:color w:val="0000EE"/>
          </w:rPr>
          <w:t>Commercial Supply Agreement dated December 15, 2012 by and among Catalent Pharma Solutions, LLC and the</w:t>
        </w:r>
      </w:hyperlink>
      <w:r>
        <w:rPr>
          <w:rFonts w:ascii="Arial" w:cs="Arial" w:eastAsia="Arial" w:hAnsi="Arial"/>
          <w:sz w:val="18"/>
          <w:szCs w:val="18"/>
          <w:color w:val="auto"/>
        </w:rPr>
        <w:t xml:space="preserve"> </w:t>
      </w:r>
      <w:hyperlink r:id="rId178">
        <w:r>
          <w:rPr>
            <w:rFonts w:ascii="Arial" w:cs="Arial" w:eastAsia="Arial" w:hAnsi="Arial"/>
            <w:sz w:val="18"/>
            <w:szCs w:val="18"/>
            <w:u w:val="single" w:color="auto"/>
            <w:color w:val="0000EE"/>
          </w:rPr>
          <w:t>Company (incorporated by reference to Exhibit 10.1 to the Form 8-K filed on August 21, 2013, File No. 001-</w:t>
        </w:r>
      </w:hyperlink>
      <w:hyperlink r:id="rId178">
        <w:r>
          <w:rPr>
            <w:rFonts w:ascii="Arial" w:cs="Arial" w:eastAsia="Arial" w:hAnsi="Arial"/>
            <w:sz w:val="18"/>
            <w:szCs w:val="18"/>
            <w:u w:val="single" w:color="auto"/>
            <w:color w:val="0000EE"/>
          </w:rPr>
          <w:t>35518).</w:t>
        </w:r>
      </w:hyperlink>
    </w:p>
    <w:p>
      <w:pPr>
        <w:spacing w:after="0" w:line="194" w:lineRule="exact"/>
        <w:rPr>
          <w:rFonts w:ascii="Arial" w:cs="Arial" w:eastAsia="Arial" w:hAnsi="Arial"/>
          <w:sz w:val="18"/>
          <w:szCs w:val="18"/>
          <w:color w:val="auto"/>
        </w:rPr>
      </w:pPr>
    </w:p>
    <w:p>
      <w:pPr>
        <w:ind w:left="2220" w:right="260" w:hanging="637"/>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10.24*+ </w:t>
      </w:r>
      <w:hyperlink r:id="rId179">
        <w:r>
          <w:rPr>
            <w:rFonts w:ascii="Arial" w:cs="Arial" w:eastAsia="Arial" w:hAnsi="Arial"/>
            <w:sz w:val="18"/>
            <w:szCs w:val="18"/>
            <w:u w:val="single" w:color="auto"/>
            <w:color w:val="0000EE"/>
          </w:rPr>
          <w:t>Compensatory Arrangements of Certain Executive Officers for 2018 (incorporated by reference to Item 5.02 of</w:t>
        </w:r>
      </w:hyperlink>
      <w:r>
        <w:rPr>
          <w:rFonts w:ascii="Arial" w:cs="Arial" w:eastAsia="Arial" w:hAnsi="Arial"/>
          <w:sz w:val="18"/>
          <w:szCs w:val="18"/>
          <w:color w:val="auto"/>
        </w:rPr>
        <w:t xml:space="preserve"> </w:t>
      </w:r>
      <w:hyperlink r:id="rId179">
        <w:r>
          <w:rPr>
            <w:rFonts w:ascii="Arial" w:cs="Arial" w:eastAsia="Arial" w:hAnsi="Arial"/>
            <w:sz w:val="18"/>
            <w:szCs w:val="18"/>
            <w:u w:val="single" w:color="auto"/>
            <w:color w:val="0000EE"/>
          </w:rPr>
          <w:t>the Form 8-K filed on February 20, 2018, File No. 001-35518).</w:t>
        </w:r>
      </w:hyperlink>
    </w:p>
    <w:p>
      <w:pPr>
        <w:spacing w:after="0" w:line="186" w:lineRule="exact"/>
        <w:rPr>
          <w:sz w:val="20"/>
          <w:szCs w:val="20"/>
          <w:color w:val="auto"/>
        </w:rPr>
      </w:pPr>
    </w:p>
    <w:p>
      <w:pPr>
        <w:jc w:val="both"/>
        <w:ind w:left="2220" w:right="140" w:hanging="637"/>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80">
        <w:r>
          <w:rPr>
            <w:rFonts w:ascii="Arial" w:cs="Arial" w:eastAsia="Arial" w:hAnsi="Arial"/>
            <w:sz w:val="18"/>
            <w:szCs w:val="18"/>
            <w:u w:val="single" w:color="auto"/>
            <w:color w:val="0000EE"/>
          </w:rPr>
          <w:t>Royalty Interest Acquisition Agreement, dated July 1, 2014, by and between Supernus Pharmaceuticals, Inc. and</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HealthCare Royalty Partners III, L.P. (incorporated by reference to Exhibit 10.1 to the Form 8-K filed on July 8,</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2014, File No. 001-35518).</w:t>
        </w:r>
      </w:hyperlink>
    </w:p>
    <w:p>
      <w:pPr>
        <w:spacing w:after="0" w:line="194" w:lineRule="exact"/>
        <w:rPr>
          <w:rFonts w:ascii="Arial" w:cs="Arial" w:eastAsia="Arial" w:hAnsi="Arial"/>
          <w:sz w:val="18"/>
          <w:szCs w:val="18"/>
          <w:u w:val="single" w:color="auto"/>
          <w:color w:val="0000EE"/>
        </w:rPr>
      </w:pPr>
    </w:p>
    <w:p>
      <w:pPr>
        <w:ind w:left="2220" w:right="100" w:hanging="637"/>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81">
        <w:r>
          <w:rPr>
            <w:rFonts w:ascii="Arial" w:cs="Arial" w:eastAsia="Arial" w:hAnsi="Arial"/>
            <w:sz w:val="18"/>
            <w:szCs w:val="18"/>
            <w:u w:val="single" w:color="auto"/>
            <w:color w:val="0000EE"/>
          </w:rPr>
          <w:t>Security Agreement, dated July 1, 2014, by and between Supernus Pharmaceuticals, Inc. and HealthCare Royalty</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Partners III, L.P. (incorporated by reference to Exhibit 10.2 to the Form 8-K filed on July 8, 2014, File No. 001-</w:t>
        </w:r>
      </w:hyperlink>
      <w:hyperlink r:id="rId181">
        <w:r>
          <w:rPr>
            <w:rFonts w:ascii="Arial" w:cs="Arial" w:eastAsia="Arial" w:hAnsi="Arial"/>
            <w:sz w:val="18"/>
            <w:szCs w:val="18"/>
            <w:u w:val="single" w:color="auto"/>
            <w:color w:val="0000EE"/>
          </w:rPr>
          <w:t>35518).</w:t>
        </w:r>
      </w:hyperlink>
    </w:p>
    <w:p>
      <w:pPr>
        <w:spacing w:after="0" w:line="194" w:lineRule="exact"/>
        <w:rPr>
          <w:rFonts w:ascii="Arial" w:cs="Arial" w:eastAsia="Arial" w:hAnsi="Arial"/>
          <w:sz w:val="18"/>
          <w:szCs w:val="18"/>
          <w:u w:val="single" w:color="auto"/>
          <w:color w:val="0000EE"/>
        </w:rPr>
      </w:pPr>
    </w:p>
    <w:p>
      <w:pPr>
        <w:ind w:left="2220" w:right="440" w:hanging="637"/>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10.27*+ </w:t>
      </w:r>
      <w:hyperlink r:id="rId182">
        <w:r>
          <w:rPr>
            <w:rFonts w:ascii="Arial" w:cs="Arial" w:eastAsia="Arial" w:hAnsi="Arial"/>
            <w:sz w:val="18"/>
            <w:szCs w:val="18"/>
            <w:u w:val="single" w:color="auto"/>
            <w:color w:val="0000EE"/>
          </w:rPr>
          <w:t>Form of Executive Retention Agreement (incorporated by reference to Exhibit 10.1 to the Form 8-K filed on</w:t>
        </w:r>
      </w:hyperlink>
      <w:r>
        <w:rPr>
          <w:rFonts w:ascii="Arial" w:cs="Arial" w:eastAsia="Arial" w:hAnsi="Arial"/>
          <w:sz w:val="18"/>
          <w:szCs w:val="18"/>
          <w:color w:val="auto"/>
        </w:rPr>
        <w:t xml:space="preserve"> </w:t>
      </w:r>
      <w:hyperlink r:id="rId182">
        <w:r>
          <w:rPr>
            <w:rFonts w:ascii="Arial" w:cs="Arial" w:eastAsia="Arial" w:hAnsi="Arial"/>
            <w:sz w:val="18"/>
            <w:szCs w:val="18"/>
            <w:u w:val="single" w:color="auto"/>
            <w:color w:val="0000EE"/>
          </w:rPr>
          <w:t>September 18, 2014, File No. 001-35518).</w:t>
        </w:r>
      </w:hyperlink>
    </w:p>
    <w:p>
      <w:pPr>
        <w:spacing w:after="0" w:line="186" w:lineRule="exact"/>
        <w:rPr>
          <w:sz w:val="20"/>
          <w:szCs w:val="20"/>
          <w:color w:val="auto"/>
        </w:rPr>
      </w:pPr>
    </w:p>
    <w:p>
      <w:pPr>
        <w:ind w:left="2220" w:right="100" w:hanging="637"/>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10.28*+ </w:t>
      </w:r>
      <w:hyperlink r:id="rId183">
        <w:r>
          <w:rPr>
            <w:rFonts w:ascii="Arial" w:cs="Arial" w:eastAsia="Arial" w:hAnsi="Arial"/>
            <w:sz w:val="18"/>
            <w:szCs w:val="18"/>
            <w:u w:val="single" w:color="auto"/>
            <w:color w:val="0000EE"/>
          </w:rPr>
          <w:t>Amendment to Amended and Restated Employment Agreement, dated August 8, 2014, by and between Supernus</w:t>
        </w:r>
      </w:hyperlink>
      <w:r>
        <w:rPr>
          <w:rFonts w:ascii="Arial" w:cs="Arial" w:eastAsia="Arial" w:hAnsi="Arial"/>
          <w:sz w:val="18"/>
          <w:szCs w:val="18"/>
          <w:color w:val="auto"/>
        </w:rPr>
        <w:t xml:space="preserve"> </w:t>
      </w:r>
      <w:hyperlink r:id="rId183">
        <w:r>
          <w:rPr>
            <w:rFonts w:ascii="Arial" w:cs="Arial" w:eastAsia="Arial" w:hAnsi="Arial"/>
            <w:sz w:val="18"/>
            <w:szCs w:val="18"/>
            <w:u w:val="single" w:color="auto"/>
            <w:color w:val="0000EE"/>
          </w:rPr>
          <w:t>Pharmaceuticals, Inc. and Jack Khattar (incorporated by reference to Exhibit 10.2 to the Form 8-K filed on</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August 11, 2014, File No. 001-35518).</w:t>
        </w:r>
      </w:hyperlink>
    </w:p>
    <w:p>
      <w:pPr>
        <w:spacing w:after="0" w:line="194" w:lineRule="exact"/>
        <w:rPr>
          <w:rFonts w:ascii="Arial" w:cs="Arial" w:eastAsia="Arial" w:hAnsi="Arial"/>
          <w:sz w:val="18"/>
          <w:szCs w:val="18"/>
          <w:color w:val="auto"/>
        </w:rPr>
      </w:pPr>
    </w:p>
    <w:p>
      <w:pPr>
        <w:jc w:val="both"/>
        <w:ind w:left="2220" w:right="220" w:hanging="637"/>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84">
        <w:r>
          <w:rPr>
            <w:rFonts w:ascii="Arial" w:cs="Arial" w:eastAsia="Arial" w:hAnsi="Arial"/>
            <w:sz w:val="18"/>
            <w:szCs w:val="18"/>
            <w:u w:val="single" w:color="auto"/>
            <w:color w:val="0000EE"/>
          </w:rPr>
          <w:t>Fourth Amendment to Lease Agreement, dated October 20, 2014, by and between ARE-Acquisitions, LLC and</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Supernus Pharmaceuticals, Inc. (incorporated by reference to Exhibit 10.1 to the Form 8-K filed on October 24,</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2014, File No. 001-35518).</w:t>
        </w:r>
      </w:hyperlink>
    </w:p>
    <w:p>
      <w:pPr>
        <w:spacing w:after="0" w:line="194" w:lineRule="exact"/>
        <w:rPr>
          <w:rFonts w:ascii="Arial" w:cs="Arial" w:eastAsia="Arial" w:hAnsi="Arial"/>
          <w:sz w:val="18"/>
          <w:szCs w:val="18"/>
          <w:u w:val="single" w:color="auto"/>
          <w:color w:val="0000EE"/>
        </w:rPr>
      </w:pPr>
    </w:p>
    <w:p>
      <w:pPr>
        <w:jc w:val="both"/>
        <w:ind w:left="2220" w:right="160" w:hanging="637"/>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85">
        <w:r>
          <w:rPr>
            <w:rFonts w:ascii="Arial" w:cs="Arial" w:eastAsia="Arial" w:hAnsi="Arial"/>
            <w:sz w:val="18"/>
            <w:szCs w:val="18"/>
            <w:u w:val="single" w:color="auto"/>
            <w:color w:val="0000EE"/>
          </w:rPr>
          <w:t>First Amendment to Lease Agreement, dated October 20, 2014, by and between ARE-1500 East Gude, LLC and</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Supernus Pharmaceuticals, Inc. (incorporated by reference to Exhibit 10.2 to the Form 8-K filed on October 24,</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2014, File No. 001-35518).</w:t>
        </w:r>
      </w:hyperlink>
    </w:p>
    <w:p>
      <w:pPr>
        <w:spacing w:after="0" w:line="194" w:lineRule="exact"/>
        <w:rPr>
          <w:rFonts w:ascii="Arial" w:cs="Arial" w:eastAsia="Arial" w:hAnsi="Arial"/>
          <w:sz w:val="18"/>
          <w:szCs w:val="18"/>
          <w:u w:val="single" w:color="auto"/>
          <w:color w:val="0000EE"/>
        </w:rPr>
      </w:pPr>
    </w:p>
    <w:p>
      <w:pPr>
        <w:ind w:left="2220" w:right="100" w:hanging="637"/>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10.31*+ </w:t>
      </w:r>
      <w:hyperlink r:id="rId186">
        <w:r>
          <w:rPr>
            <w:rFonts w:ascii="Arial" w:cs="Arial" w:eastAsia="Arial" w:hAnsi="Arial"/>
            <w:sz w:val="18"/>
            <w:szCs w:val="18"/>
            <w:u w:val="single" w:color="auto"/>
            <w:color w:val="0000EE"/>
          </w:rPr>
          <w:t>Second Amendment to Amended and Restated Employment Agreement, dated March 2, 2016, by and between</w:t>
        </w:r>
      </w:hyperlink>
      <w:r>
        <w:rPr>
          <w:rFonts w:ascii="Arial" w:cs="Arial" w:eastAsia="Arial" w:hAnsi="Arial"/>
          <w:sz w:val="18"/>
          <w:szCs w:val="18"/>
          <w:color w:val="auto"/>
        </w:rPr>
        <w:t xml:space="preserve"> </w:t>
      </w:r>
      <w:hyperlink r:id="rId186">
        <w:r>
          <w:rPr>
            <w:rFonts w:ascii="Arial" w:cs="Arial" w:eastAsia="Arial" w:hAnsi="Arial"/>
            <w:sz w:val="18"/>
            <w:szCs w:val="18"/>
            <w:u w:val="single" w:color="auto"/>
            <w:color w:val="0000EE"/>
          </w:rPr>
          <w:t>Supernus Pharmaceuticals, Inc. and Jack Khattar (incorporated by reference to Exhibit 10.1 to the Form 8-K filed</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on March 4, 2016, File No. 001-35518).</w:t>
        </w:r>
      </w:hyperlink>
    </w:p>
    <w:p>
      <w:pPr>
        <w:spacing w:after="0" w:line="194" w:lineRule="exact"/>
        <w:rPr>
          <w:rFonts w:ascii="Arial" w:cs="Arial" w:eastAsia="Arial" w:hAnsi="Arial"/>
          <w:sz w:val="18"/>
          <w:szCs w:val="18"/>
          <w:color w:val="auto"/>
        </w:rPr>
      </w:pPr>
    </w:p>
    <w:p>
      <w:pPr>
        <w:ind w:left="2220" w:right="160" w:hanging="637"/>
        <w:spacing w:after="0" w:line="256"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10.32†* </w:t>
      </w:r>
      <w:hyperlink r:id="rId187">
        <w:r>
          <w:rPr>
            <w:rFonts w:ascii="Arial" w:cs="Arial" w:eastAsia="Arial" w:hAnsi="Arial"/>
            <w:sz w:val="18"/>
            <w:szCs w:val="18"/>
            <w:u w:val="single" w:color="auto"/>
            <w:color w:val="0000EE"/>
          </w:rPr>
          <w:t>Settlement Agreement, dated October 14, 2015, by and between Supernus Pharmaceuticals, Inc., Par</w:t>
        </w:r>
      </w:hyperlink>
      <w:r>
        <w:rPr>
          <w:rFonts w:ascii="Arial" w:cs="Arial" w:eastAsia="Arial" w:hAnsi="Arial"/>
          <w:sz w:val="18"/>
          <w:szCs w:val="18"/>
          <w:color w:val="auto"/>
        </w:rPr>
        <w:t xml:space="preserve"> </w:t>
      </w:r>
      <w:hyperlink r:id="rId187">
        <w:r>
          <w:rPr>
            <w:rFonts w:ascii="Arial" w:cs="Arial" w:eastAsia="Arial" w:hAnsi="Arial"/>
            <w:sz w:val="18"/>
            <w:szCs w:val="18"/>
            <w:u w:val="single" w:color="auto"/>
            <w:color w:val="0000EE"/>
          </w:rPr>
          <w:t>Pharmaceutical Companies, Inc., and Par Pharmaceutical, Inc. (incorporated by reference to Exhibit 10.36 to the</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Company's Annual Report on Form 10-K for the period ended December 31, 2015, filed on March 9, 2016, File</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No. 001-35518).</w:t>
        </w:r>
      </w:hyperlink>
    </w:p>
    <w:p>
      <w:pPr>
        <w:spacing w:after="0" w:line="197" w:lineRule="exact"/>
        <w:rPr>
          <w:rFonts w:ascii="Arial" w:cs="Arial" w:eastAsia="Arial" w:hAnsi="Arial"/>
          <w:sz w:val="18"/>
          <w:szCs w:val="18"/>
          <w:u w:val="single" w:color="auto"/>
          <w:color w:val="0000EE"/>
        </w:rPr>
      </w:pPr>
    </w:p>
    <w:p>
      <w:pPr>
        <w:jc w:val="both"/>
        <w:ind w:left="2220" w:right="440" w:hanging="637"/>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10.33*+ </w:t>
      </w:r>
      <w:hyperlink r:id="rId188">
        <w:r>
          <w:rPr>
            <w:rFonts w:ascii="Arial" w:cs="Arial" w:eastAsia="Arial" w:hAnsi="Arial"/>
            <w:sz w:val="18"/>
            <w:szCs w:val="18"/>
            <w:u w:val="single" w:color="auto"/>
            <w:color w:val="0000EE"/>
          </w:rPr>
          <w:t>Supernus Pharmaceuticals, Inc. Second Amended and Restated 2012 Equity Incentive Plan (incorporated by</w:t>
        </w:r>
      </w:hyperlink>
      <w:r>
        <w:rPr>
          <w:rFonts w:ascii="Arial" w:cs="Arial" w:eastAsia="Arial" w:hAnsi="Arial"/>
          <w:sz w:val="18"/>
          <w:szCs w:val="18"/>
          <w:color w:val="auto"/>
        </w:rPr>
        <w:t xml:space="preserve"> </w:t>
      </w:r>
      <w:hyperlink r:id="rId188">
        <w:r>
          <w:rPr>
            <w:rFonts w:ascii="Arial" w:cs="Arial" w:eastAsia="Arial" w:hAnsi="Arial"/>
            <w:sz w:val="18"/>
            <w:szCs w:val="18"/>
            <w:u w:val="single" w:color="auto"/>
            <w:color w:val="0000EE"/>
          </w:rPr>
          <w:t>reference to Appendix A to the Company's Proxy Statement on Form DEF 14A, filed on April 19, 2016, File</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No. 001-35518).</w:t>
        </w:r>
      </w:hyperlink>
    </w:p>
    <w:p>
      <w:pPr>
        <w:spacing w:after="0" w:line="194" w:lineRule="exact"/>
        <w:rPr>
          <w:rFonts w:ascii="Arial" w:cs="Arial" w:eastAsia="Arial" w:hAnsi="Arial"/>
          <w:sz w:val="18"/>
          <w:szCs w:val="18"/>
          <w:color w:val="auto"/>
        </w:rPr>
      </w:pPr>
    </w:p>
    <w:p>
      <w:pPr>
        <w:ind w:left="2220" w:hanging="637"/>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10.34*+ </w:t>
      </w:r>
      <w:hyperlink r:id="rId188">
        <w:r>
          <w:rPr>
            <w:rFonts w:ascii="Arial" w:cs="Arial" w:eastAsia="Arial" w:hAnsi="Arial"/>
            <w:sz w:val="18"/>
            <w:szCs w:val="18"/>
            <w:u w:val="single" w:color="auto"/>
            <w:color w:val="0000EE"/>
          </w:rPr>
          <w:t>Supernus Pharmaceuticals, Inc. Second Amended and Restated 2012 Employee Stock Purchase Plan (incorporated</w:t>
        </w:r>
      </w:hyperlink>
      <w:r>
        <w:rPr>
          <w:rFonts w:ascii="Arial" w:cs="Arial" w:eastAsia="Arial" w:hAnsi="Arial"/>
          <w:sz w:val="18"/>
          <w:szCs w:val="18"/>
          <w:color w:val="auto"/>
        </w:rPr>
        <w:t xml:space="preserve"> </w:t>
      </w:r>
      <w:hyperlink r:id="rId188">
        <w:r>
          <w:rPr>
            <w:rFonts w:ascii="Arial" w:cs="Arial" w:eastAsia="Arial" w:hAnsi="Arial"/>
            <w:sz w:val="18"/>
            <w:szCs w:val="18"/>
            <w:u w:val="single" w:color="auto"/>
            <w:color w:val="0000EE"/>
          </w:rPr>
          <w:t>by reference to Appendix B to the Company's Proxy Statement on Form DEF 14A, filed on April 19, 2016, File</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No. 001-35518).</w:t>
        </w:r>
      </w:hyperlink>
    </w:p>
    <w:p>
      <w:pPr>
        <w:spacing w:after="0" w:line="194" w:lineRule="exact"/>
        <w:rPr>
          <w:rFonts w:ascii="Arial" w:cs="Arial" w:eastAsia="Arial" w:hAnsi="Arial"/>
          <w:sz w:val="18"/>
          <w:szCs w:val="18"/>
          <w:color w:val="auto"/>
        </w:rPr>
      </w:pPr>
    </w:p>
    <w:p>
      <w:pPr>
        <w:ind w:left="2220" w:right="400" w:hanging="637"/>
        <w:spacing w:after="0" w:line="256"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10.35†* </w:t>
      </w:r>
      <w:hyperlink r:id="rId189">
        <w:r>
          <w:rPr>
            <w:rFonts w:ascii="Arial" w:cs="Arial" w:eastAsia="Arial" w:hAnsi="Arial"/>
            <w:sz w:val="18"/>
            <w:szCs w:val="18"/>
            <w:u w:val="single" w:color="auto"/>
            <w:color w:val="0000EE"/>
          </w:rPr>
          <w:t>Settlement Agreement, dated March 6, 2017, by and between Supernus Pharmaceuticals, Inc., Zydus</w:t>
        </w:r>
      </w:hyperlink>
      <w:r>
        <w:rPr>
          <w:rFonts w:ascii="Arial" w:cs="Arial" w:eastAsia="Arial" w:hAnsi="Arial"/>
          <w:sz w:val="18"/>
          <w:szCs w:val="18"/>
          <w:color w:val="auto"/>
        </w:rPr>
        <w:t xml:space="preserve"> </w:t>
      </w:r>
      <w:hyperlink r:id="rId189">
        <w:r>
          <w:rPr>
            <w:rFonts w:ascii="Arial" w:cs="Arial" w:eastAsia="Arial" w:hAnsi="Arial"/>
            <w:sz w:val="18"/>
            <w:szCs w:val="18"/>
            <w:u w:val="single" w:color="auto"/>
            <w:color w:val="0000EE"/>
          </w:rPr>
          <w:t>Pharmaceuticals (USA) Inc., and Cadila Healthcare Limited (incorporated by reference to Exhibit 10.1 to the</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Company's Quarterly Report on Form 10-Q for the period ended March 31, 2017, filed on May 9, 2017, File</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No. 001-35518).</w:t>
        </w:r>
      </w:hyperlink>
    </w:p>
    <w:p>
      <w:pPr>
        <w:spacing w:after="0" w:line="200" w:lineRule="exact"/>
        <w:rPr>
          <w:rFonts w:ascii="Arial" w:cs="Arial" w:eastAsia="Arial" w:hAnsi="Arial"/>
          <w:sz w:val="18"/>
          <w:szCs w:val="18"/>
          <w:u w:val="single" w:color="auto"/>
          <w:color w:val="0000EE"/>
        </w:rPr>
      </w:pPr>
    </w:p>
    <w:p>
      <w:pPr>
        <w:spacing w:after="0" w:line="240" w:lineRule="exact"/>
        <w:rPr>
          <w:rFonts w:ascii="Arial" w:cs="Arial" w:eastAsia="Arial" w:hAnsi="Arial"/>
          <w:sz w:val="18"/>
          <w:szCs w:val="18"/>
          <w:u w:val="single" w:color="auto"/>
          <w:color w:val="0000EE"/>
        </w:rPr>
      </w:pPr>
    </w:p>
    <w:p>
      <w:pPr>
        <w:ind w:left="5580"/>
        <w:spacing w:after="0"/>
        <w:rPr>
          <w:sz w:val="20"/>
          <w:szCs w:val="20"/>
          <w:color w:val="auto"/>
        </w:rPr>
      </w:pPr>
      <w:r>
        <w:rPr>
          <w:rFonts w:ascii="Arial" w:cs="Arial" w:eastAsia="Arial" w:hAnsi="Arial"/>
          <w:sz w:val="18"/>
          <w:szCs w:val="18"/>
          <w:color w:val="auto"/>
        </w:rPr>
        <w:t>117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118" w:name="page119"/>
    <w:bookmarkEnd w:id="11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380"/>
          </w:cols>
          <w:pgMar w:left="240" w:top="131" w:right="279" w:bottom="1440" w:gutter="0" w:footer="0" w:header="0"/>
        </w:sectPr>
      </w:pPr>
    </w:p>
    <w:p>
      <w:pPr>
        <w:spacing w:after="0" w:line="25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232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22225</wp:posOffset>
            </wp:positionV>
            <wp:extent cx="51200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200" w:space="720"/>
            <w:col w:w="5460"/>
          </w:cols>
          <w:pgMar w:left="240" w:top="131" w:right="279" w:bottom="1440" w:gutter="0" w:footer="0" w:header="0"/>
          <w:type w:val="continuous"/>
        </w:sectPr>
      </w:pPr>
    </w:p>
    <w:p>
      <w:pPr>
        <w:ind w:left="2220" w:right="1220" w:hanging="637"/>
        <w:spacing w:after="0" w:line="25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10.36†* </w:t>
      </w:r>
      <w:hyperlink r:id="rId193">
        <w:r>
          <w:rPr>
            <w:rFonts w:ascii="Arial" w:cs="Arial" w:eastAsia="Arial" w:hAnsi="Arial"/>
            <w:sz w:val="18"/>
            <w:szCs w:val="18"/>
            <w:u w:val="single" w:color="auto"/>
            <w:color w:val="0000EE"/>
          </w:rPr>
          <w:t>Term Sheet Agreement, dated March 6, 2017, by and between Supernus Pharmaceuticals, Inc., Actavis</w:t>
        </w:r>
      </w:hyperlink>
      <w:r>
        <w:rPr>
          <w:rFonts w:ascii="Arial" w:cs="Arial" w:eastAsia="Arial" w:hAnsi="Arial"/>
          <w:sz w:val="18"/>
          <w:szCs w:val="18"/>
          <w:color w:val="auto"/>
        </w:rPr>
        <w:t xml:space="preserve"> </w:t>
      </w:r>
      <w:hyperlink r:id="rId193">
        <w:r>
          <w:rPr>
            <w:rFonts w:ascii="Arial" w:cs="Arial" w:eastAsia="Arial" w:hAnsi="Arial"/>
            <w:sz w:val="18"/>
            <w:szCs w:val="18"/>
            <w:u w:val="single" w:color="auto"/>
            <w:color w:val="0000EE"/>
          </w:rPr>
          <w:t>Laboratories, FL, Inc., Actavis Pharma, Inc., and Watson Laboratories, Inc. (incorporated by reference to Exhibit</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10.2 to the Company's Quarterly Report on Form 10-Q for the period ended March 31, 2017, filed on May 9,</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2017, File No. 001-35518).</w:t>
        </w:r>
      </w:hyperlink>
    </w:p>
    <w:p>
      <w:pPr>
        <w:spacing w:after="0" w:line="200" w:lineRule="exact"/>
        <w:rPr>
          <w:rFonts w:ascii="Arial" w:cs="Arial" w:eastAsia="Arial" w:hAnsi="Arial"/>
          <w:sz w:val="18"/>
          <w:szCs w:val="18"/>
          <w:u w:val="single" w:color="auto"/>
          <w:color w:val="0000EE"/>
        </w:rPr>
      </w:pPr>
    </w:p>
    <w:p>
      <w:pPr>
        <w:ind w:left="2220" w:right="1220" w:hanging="637"/>
        <w:spacing w:after="0" w:line="256"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10.37†* </w:t>
      </w:r>
      <w:hyperlink r:id="rId194">
        <w:r>
          <w:rPr>
            <w:rFonts w:ascii="Arial" w:cs="Arial" w:eastAsia="Arial" w:hAnsi="Arial"/>
            <w:sz w:val="18"/>
            <w:szCs w:val="18"/>
            <w:u w:val="single" w:color="auto"/>
            <w:color w:val="0000EE"/>
          </w:rPr>
          <w:t>Settlement Agreement, dated March 13, 2017, by and between Supernus Pharmaceuticals, Inc., Actavis</w:t>
        </w:r>
      </w:hyperlink>
      <w:r>
        <w:rPr>
          <w:rFonts w:ascii="Arial" w:cs="Arial" w:eastAsia="Arial" w:hAnsi="Arial"/>
          <w:sz w:val="18"/>
          <w:szCs w:val="18"/>
          <w:color w:val="auto"/>
        </w:rPr>
        <w:t xml:space="preserve"> </w:t>
      </w:r>
      <w:hyperlink r:id="rId194">
        <w:r>
          <w:rPr>
            <w:rFonts w:ascii="Arial" w:cs="Arial" w:eastAsia="Arial" w:hAnsi="Arial"/>
            <w:sz w:val="18"/>
            <w:szCs w:val="18"/>
            <w:u w:val="single" w:color="auto"/>
            <w:color w:val="0000EE"/>
          </w:rPr>
          <w:t>Laboratories, FL, Inc., Actavis Pharma, Inc., and Watson Laboratories, Inc. (incorporated by reference to Exhibit</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10.3 to the Company's Quarterly Report on Form 10-Q for the period ended March 31, 2017, filed on May 9,</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2017, File No. 001-35518).</w:t>
        </w:r>
      </w:hyperlink>
    </w:p>
    <w:p>
      <w:pPr>
        <w:spacing w:after="0" w:line="197" w:lineRule="exact"/>
        <w:rPr>
          <w:rFonts w:ascii="Arial" w:cs="Arial" w:eastAsia="Arial" w:hAnsi="Arial"/>
          <w:sz w:val="18"/>
          <w:szCs w:val="18"/>
          <w:u w:val="single" w:color="auto"/>
          <w:color w:val="0000EE"/>
        </w:rPr>
      </w:pPr>
    </w:p>
    <w:p>
      <w:pPr>
        <w:ind w:left="2220" w:right="1340" w:hanging="419"/>
        <w:spacing w:after="0" w:line="268"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14*</w:t>
      </w:r>
      <w:r>
        <w:rPr>
          <w:sz w:val="20"/>
          <w:szCs w:val="20"/>
          <w:color w:val="auto"/>
        </w:rPr>
        <w:tab/>
      </w:r>
      <w:hyperlink r:id="rId195">
        <w:r>
          <w:rPr>
            <w:rFonts w:ascii="Arial" w:cs="Arial" w:eastAsia="Arial" w:hAnsi="Arial"/>
            <w:sz w:val="18"/>
            <w:szCs w:val="18"/>
            <w:u w:val="single" w:color="auto"/>
            <w:color w:val="0000EE"/>
          </w:rPr>
          <w:t>Code of Ethics (incorporated by reference to Exhibit 14 to the Company's Annual Report on Form 10-K for the</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period ended December 31, 2012, filed on March 15, 2013, File No. 001-35518).</w:t>
        </w:r>
      </w:hyperlink>
    </w:p>
    <w:p>
      <w:pPr>
        <w:spacing w:after="0" w:line="186" w:lineRule="exact"/>
        <w:rPr>
          <w:sz w:val="20"/>
          <w:szCs w:val="20"/>
          <w:color w:val="auto"/>
        </w:rPr>
      </w:pPr>
    </w:p>
    <w:p>
      <w:pPr>
        <w:ind w:left="2220" w:right="1180" w:hanging="419"/>
        <w:spacing w:after="0" w:line="268"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96">
        <w:r>
          <w:rPr>
            <w:rFonts w:ascii="Arial" w:cs="Arial" w:eastAsia="Arial" w:hAnsi="Arial"/>
            <w:sz w:val="18"/>
            <w:szCs w:val="18"/>
            <w:u w:val="single" w:color="auto"/>
            <w:color w:val="0000EE"/>
          </w:rPr>
          <w:t>Subsidiaries of the Registrant (incorporated by reference to Exhibit 21.1 to the Company's Registration Statement</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on Form S-1, File No. 333-184930, as amended on November 28, 2012).</w:t>
        </w:r>
      </w:hyperlink>
    </w:p>
    <w:p>
      <w:pPr>
        <w:spacing w:after="0" w:line="186" w:lineRule="exact"/>
        <w:rPr>
          <w:sz w:val="20"/>
          <w:szCs w:val="20"/>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 xml:space="preserve">23.1** </w:t>
      </w:r>
      <w:hyperlink w:anchor="page122">
        <w:r>
          <w:rPr>
            <w:rFonts w:ascii="Arial" w:cs="Arial" w:eastAsia="Arial" w:hAnsi="Arial"/>
            <w:sz w:val="18"/>
            <w:szCs w:val="18"/>
            <w:u w:val="single" w:color="auto"/>
            <w:color w:val="0000EE"/>
          </w:rPr>
          <w:t>Consent of KPMG LLP</w:t>
        </w:r>
      </w:hyperlink>
    </w:p>
    <w:p>
      <w:pPr>
        <w:spacing w:after="0" w:line="225" w:lineRule="exact"/>
        <w:rPr>
          <w:sz w:val="20"/>
          <w:szCs w:val="20"/>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124">
        <w:r>
          <w:rPr>
            <w:rFonts w:ascii="Arial" w:cs="Arial" w:eastAsia="Arial" w:hAnsi="Arial"/>
            <w:sz w:val="18"/>
            <w:szCs w:val="18"/>
            <w:u w:val="single" w:color="auto"/>
            <w:color w:val="0000EE"/>
          </w:rPr>
          <w:t>Certification of Chief Executive Officer pursuant to Rule 13a-14(a).</w:t>
        </w:r>
      </w:hyperlink>
    </w:p>
    <w:p>
      <w:pPr>
        <w:spacing w:after="0" w:line="225" w:lineRule="exact"/>
        <w:rPr>
          <w:sz w:val="20"/>
          <w:szCs w:val="20"/>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126">
        <w:r>
          <w:rPr>
            <w:rFonts w:ascii="Arial" w:cs="Arial" w:eastAsia="Arial" w:hAnsi="Arial"/>
            <w:sz w:val="18"/>
            <w:szCs w:val="18"/>
            <w:u w:val="single" w:color="auto"/>
            <w:color w:val="0000EE"/>
          </w:rPr>
          <w:t>Certification of Chief Financial Officer pursuant to Rule 13a-14(a).</w:t>
        </w:r>
      </w:hyperlink>
    </w:p>
    <w:p>
      <w:pPr>
        <w:spacing w:after="0" w:line="225" w:lineRule="exact"/>
        <w:rPr>
          <w:sz w:val="20"/>
          <w:szCs w:val="20"/>
          <w:color w:val="auto"/>
        </w:rPr>
      </w:pPr>
    </w:p>
    <w:p>
      <w:pPr>
        <w:ind w:left="2220" w:right="1280" w:hanging="549"/>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32.1** </w:t>
      </w:r>
      <w:hyperlink w:anchor="page128">
        <w:r>
          <w:rPr>
            <w:rFonts w:ascii="Arial" w:cs="Arial" w:eastAsia="Arial" w:hAnsi="Arial"/>
            <w:sz w:val="18"/>
            <w:szCs w:val="18"/>
            <w:u w:val="single" w:color="auto"/>
            <w:color w:val="0000EE"/>
          </w:rPr>
          <w:t>Certification of Chief Executive Officer pursuant to 18 U.S.C. Section 1350, as adopted pursuant to Section 906</w:t>
        </w:r>
      </w:hyperlink>
      <w:r>
        <w:rPr>
          <w:rFonts w:ascii="Arial" w:cs="Arial" w:eastAsia="Arial" w:hAnsi="Arial"/>
          <w:sz w:val="18"/>
          <w:szCs w:val="18"/>
          <w:color w:val="auto"/>
        </w:rPr>
        <w:t xml:space="preserve"> </w:t>
      </w:r>
      <w:hyperlink w:anchor="page128">
        <w:r>
          <w:rPr>
            <w:rFonts w:ascii="Arial" w:cs="Arial" w:eastAsia="Arial" w:hAnsi="Arial"/>
            <w:sz w:val="18"/>
            <w:szCs w:val="18"/>
            <w:u w:val="single" w:color="auto"/>
            <w:color w:val="0000EE"/>
          </w:rPr>
          <w:t>of the Sarbanes-Oxley Act of 2002.</w:t>
        </w:r>
      </w:hyperlink>
    </w:p>
    <w:p>
      <w:pPr>
        <w:spacing w:after="0" w:line="186" w:lineRule="exact"/>
        <w:rPr>
          <w:sz w:val="20"/>
          <w:szCs w:val="20"/>
          <w:color w:val="auto"/>
        </w:rPr>
      </w:pPr>
    </w:p>
    <w:p>
      <w:pPr>
        <w:ind w:left="2220" w:right="1140" w:hanging="549"/>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32.2** </w:t>
      </w:r>
      <w:hyperlink w:anchor="page130">
        <w:r>
          <w:rPr>
            <w:rFonts w:ascii="Arial" w:cs="Arial" w:eastAsia="Arial" w:hAnsi="Arial"/>
            <w:sz w:val="18"/>
            <w:szCs w:val="18"/>
            <w:u w:val="single" w:color="auto"/>
            <w:color w:val="0000EE"/>
          </w:rPr>
          <w:t>Certification of Chief Financial Officer pursuant to 18 U.S.C. Section 1350, as adopted pursuant to Section 906 of</w:t>
        </w:r>
      </w:hyperlink>
      <w:r>
        <w:rPr>
          <w:rFonts w:ascii="Arial" w:cs="Arial" w:eastAsia="Arial" w:hAnsi="Arial"/>
          <w:sz w:val="18"/>
          <w:szCs w:val="18"/>
          <w:color w:val="auto"/>
        </w:rPr>
        <w:t xml:space="preserve"> </w:t>
      </w:r>
      <w:hyperlink w:anchor="page130">
        <w:r>
          <w:rPr>
            <w:rFonts w:ascii="Arial" w:cs="Arial" w:eastAsia="Arial" w:hAnsi="Arial"/>
            <w:sz w:val="18"/>
            <w:szCs w:val="18"/>
            <w:u w:val="single" w:color="auto"/>
            <w:color w:val="0000EE"/>
          </w:rPr>
          <w:t>the Sarbanes-Oxley Act of 2002.</w:t>
        </w:r>
      </w:hyperlink>
    </w:p>
    <w:p>
      <w:pPr>
        <w:spacing w:after="0" w:line="18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101 INS** XBRL Instance Document.</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101 SCH** XBRL Taxonomy Extension Schema Documents.</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101 CAL** XBRL Taxonomy Extension Calculation Linkbase Document.</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101 DEF** XBRL Taxonomy Extension Definition Linkbase Document.</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101 LAB** XBRL Taxonomy Extension Label/Linkbase Document.</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101 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5176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jc w:val="both"/>
        <w:ind w:left="1680" w:hanging="531"/>
        <w:spacing w:after="0" w:line="259" w:lineRule="auto"/>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Confidential treatment requested under 17 C.F.R. §§200.80(b)(4) and 230.406. The confidential portions of this exhibit have been omitted and are marked accordingly. The confidential portions have been filed separately with the Securities and Exchange Commission pursuant to the </w:t>
      </w:r>
      <w:r>
        <w:rPr>
          <w:rFonts w:ascii="Arial" w:cs="Arial" w:eastAsia="Arial" w:hAnsi="Arial"/>
          <w:sz w:val="18"/>
          <w:szCs w:val="18"/>
          <w:b w:val="1"/>
          <w:bCs w:val="1"/>
          <w:color w:val="auto"/>
        </w:rPr>
        <w:t>Confidential Treatment Request.</w:t>
      </w:r>
    </w:p>
    <w:p>
      <w:pPr>
        <w:spacing w:after="0" w:line="221" w:lineRule="exact"/>
        <w:rPr>
          <w:sz w:val="20"/>
          <w:szCs w:val="20"/>
          <w:color w:val="auto"/>
        </w:rPr>
      </w:pPr>
    </w:p>
    <w:p>
      <w:pPr>
        <w:ind w:left="1680" w:hanging="531"/>
        <w:spacing w:after="0"/>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directors or officers participate.</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238"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requirements of Securities 13 or 15(d) of the Securities and Exchange Act of 1934, as amended, the Registrant has duly caused this report to be signed on its behalf by the undersigned, thereunto duly authorized.</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SUPERNUS PHARMACEUTICALS, INC.</w:t>
      </w:r>
    </w:p>
    <w:p>
      <w:pPr>
        <w:spacing w:after="0" w:line="231"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148590</wp:posOffset>
            </wp:positionV>
            <wp:extent cx="26416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27" w:lineRule="exact"/>
        <w:rPr>
          <w:sz w:val="20"/>
          <w:szCs w:val="20"/>
          <w:color w:val="auto"/>
        </w:rPr>
      </w:pPr>
    </w:p>
    <w:p>
      <w:pPr>
        <w:ind w:left="6140"/>
        <w:spacing w:after="0"/>
        <w:tabs>
          <w:tab w:leader="none" w:pos="6800" w:val="left"/>
        </w:tabs>
        <w:rPr>
          <w:sz w:val="20"/>
          <w:szCs w:val="20"/>
          <w:color w:val="auto"/>
        </w:rPr>
      </w:pPr>
      <w:r>
        <w:rPr>
          <w:rFonts w:ascii="Arial" w:cs="Arial" w:eastAsia="Arial" w:hAnsi="Arial"/>
          <w:sz w:val="18"/>
          <w:szCs w:val="18"/>
          <w:color w:val="auto"/>
        </w:rPr>
        <w:t>Name:</w:t>
        <w:tab/>
        <w:t>Jack A. Khattar</w:t>
      </w:r>
    </w:p>
    <w:p>
      <w:pPr>
        <w:spacing w:after="0" w:line="15" w:lineRule="exact"/>
        <w:rPr>
          <w:sz w:val="20"/>
          <w:szCs w:val="20"/>
          <w:color w:val="auto"/>
        </w:rPr>
      </w:pPr>
    </w:p>
    <w:p>
      <w:pPr>
        <w:ind w:left="614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2018</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Act of 1934, as amended, this report has been signed by the following persons on behalf of the registrant and in the capacities and the dates indicated below:</w:t>
      </w:r>
    </w:p>
    <w:p>
      <w:pPr>
        <w:spacing w:after="0" w:line="182"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3323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3323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/s/ CHARLES W. NEWHALL,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3323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3323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 FREDERICK M. HUDSON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3323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/s/ JOHN M. SIEBERT,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3323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w w:val="94"/>
              </w:rPr>
              <w:t>President and Chief Executive Officer and Director</w:t>
            </w:r>
          </w:p>
        </w:tc>
        <w:tc>
          <w:tcPr>
            <w:tcW w:w="1260" w:type="dxa"/>
            <w:vAlign w:val="bottom"/>
            <w:vMerge w:val="restart"/>
          </w:tcPr>
          <w:p>
            <w:pPr>
              <w:ind w:left="220"/>
              <w:spacing w:after="0"/>
              <w:rPr>
                <w:sz w:val="20"/>
                <w:szCs w:val="20"/>
                <w:color w:val="auto"/>
              </w:rPr>
            </w:pPr>
            <w:r>
              <w:rPr>
                <w:rFonts w:ascii="Arial" w:cs="Arial" w:eastAsia="Arial" w:hAnsi="Arial"/>
                <w:sz w:val="18"/>
                <w:szCs w:val="18"/>
                <w:color w:val="auto"/>
                <w:w w:val="88"/>
              </w:rPr>
              <w:t>March 1, 2018</w:t>
            </w:r>
          </w:p>
        </w:tc>
        <w:tc>
          <w:tcPr>
            <w:tcW w:w="0" w:type="dxa"/>
            <w:vAlign w:val="bottom"/>
          </w:tcPr>
          <w:p>
            <w:pPr>
              <w:spacing w:after="0"/>
              <w:rPr>
                <w:sz w:val="1"/>
                <w:szCs w:val="1"/>
                <w:color w:val="auto"/>
              </w:rPr>
            </w:pPr>
          </w:p>
        </w:tc>
      </w:tr>
      <w:tr>
        <w:trPr>
          <w:trHeight w:val="114"/>
        </w:trPr>
        <w:tc>
          <w:tcPr>
            <w:tcW w:w="3820" w:type="dxa"/>
            <w:vAlign w:val="bottom"/>
            <w:vMerge w:val="restart"/>
          </w:tcPr>
          <w:p>
            <w:pPr>
              <w:spacing w:after="0"/>
              <w:rPr>
                <w:sz w:val="20"/>
                <w:szCs w:val="20"/>
                <w:color w:val="auto"/>
              </w:rPr>
            </w:pPr>
            <w:r>
              <w:rPr>
                <w:rFonts w:ascii="Arial" w:cs="Arial" w:eastAsia="Arial" w:hAnsi="Arial"/>
                <w:sz w:val="18"/>
                <w:szCs w:val="18"/>
                <w:color w:val="auto"/>
              </w:rPr>
              <w:t>(Principal Executive Officer)</w:t>
            </w: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3"/>
        </w:trPr>
        <w:tc>
          <w:tcPr>
            <w:tcW w:w="382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c>
          <w:tcPr>
            <w:tcW w:w="1260" w:type="dxa"/>
            <w:vAlign w:val="bottom"/>
          </w:tcPr>
          <w:p>
            <w:pPr>
              <w:ind w:left="220"/>
              <w:spacing w:after="0"/>
              <w:rPr>
                <w:sz w:val="20"/>
                <w:szCs w:val="20"/>
                <w:color w:val="auto"/>
              </w:rPr>
            </w:pPr>
            <w:r>
              <w:rPr>
                <w:rFonts w:ascii="Arial" w:cs="Arial" w:eastAsia="Arial" w:hAnsi="Arial"/>
                <w:sz w:val="18"/>
                <w:szCs w:val="18"/>
                <w:color w:val="auto"/>
                <w:w w:val="88"/>
              </w:rPr>
              <w:t>March 1, 2018</w:t>
            </w: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Accounting Officer)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3820" w:type="dxa"/>
            <w:vAlign w:val="bottom"/>
          </w:tcPr>
          <w:p>
            <w:pPr>
              <w:spacing w:after="0"/>
              <w:rPr>
                <w:sz w:val="20"/>
                <w:szCs w:val="20"/>
                <w:color w:val="auto"/>
              </w:rPr>
            </w:pPr>
            <w:r>
              <w:rPr>
                <w:rFonts w:ascii="Arial" w:cs="Arial" w:eastAsia="Arial" w:hAnsi="Arial"/>
                <w:sz w:val="18"/>
                <w:szCs w:val="18"/>
                <w:color w:val="auto"/>
              </w:rPr>
              <w:t>Director and Chairman of the Board</w:t>
            </w:r>
          </w:p>
        </w:tc>
        <w:tc>
          <w:tcPr>
            <w:tcW w:w="1260" w:type="dxa"/>
            <w:vAlign w:val="bottom"/>
          </w:tcPr>
          <w:p>
            <w:pPr>
              <w:ind w:left="220"/>
              <w:spacing w:after="0"/>
              <w:rPr>
                <w:sz w:val="20"/>
                <w:szCs w:val="20"/>
                <w:color w:val="auto"/>
              </w:rPr>
            </w:pPr>
            <w:r>
              <w:rPr>
                <w:rFonts w:ascii="Arial" w:cs="Arial" w:eastAsia="Arial" w:hAnsi="Arial"/>
                <w:sz w:val="18"/>
                <w:szCs w:val="18"/>
                <w:color w:val="auto"/>
                <w:w w:val="88"/>
              </w:rPr>
              <w:t>March 1, 2018</w:t>
            </w:r>
          </w:p>
        </w:tc>
        <w:tc>
          <w:tcPr>
            <w:tcW w:w="0" w:type="dxa"/>
            <w:vAlign w:val="bottom"/>
          </w:tcPr>
          <w:p>
            <w:pPr>
              <w:spacing w:after="0"/>
              <w:rPr>
                <w:sz w:val="1"/>
                <w:szCs w:val="1"/>
                <w:color w:val="auto"/>
              </w:rPr>
            </w:pPr>
          </w:p>
        </w:tc>
      </w:tr>
      <w:tr>
        <w:trPr>
          <w:trHeight w:val="648"/>
        </w:trPr>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220"/>
              <w:spacing w:after="0"/>
              <w:rPr>
                <w:sz w:val="20"/>
                <w:szCs w:val="20"/>
                <w:color w:val="auto"/>
              </w:rPr>
            </w:pPr>
            <w:r>
              <w:rPr>
                <w:rFonts w:ascii="Arial" w:cs="Arial" w:eastAsia="Arial" w:hAnsi="Arial"/>
                <w:sz w:val="18"/>
                <w:szCs w:val="18"/>
                <w:color w:val="auto"/>
                <w:w w:val="88"/>
              </w:rPr>
              <w:t>March 1, 2018</w:t>
            </w:r>
          </w:p>
        </w:tc>
        <w:tc>
          <w:tcPr>
            <w:tcW w:w="0" w:type="dxa"/>
            <w:vAlign w:val="bottom"/>
          </w:tcPr>
          <w:p>
            <w:pPr>
              <w:spacing w:after="0"/>
              <w:rPr>
                <w:sz w:val="1"/>
                <w:szCs w:val="1"/>
                <w:color w:val="auto"/>
              </w:rPr>
            </w:pPr>
          </w:p>
        </w:tc>
      </w:tr>
      <w:tr>
        <w:trPr>
          <w:trHeight w:val="648"/>
        </w:trPr>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220"/>
              <w:spacing w:after="0"/>
              <w:rPr>
                <w:sz w:val="20"/>
                <w:szCs w:val="20"/>
                <w:color w:val="auto"/>
              </w:rPr>
            </w:pPr>
            <w:r>
              <w:rPr>
                <w:rFonts w:ascii="Arial" w:cs="Arial" w:eastAsia="Arial" w:hAnsi="Arial"/>
                <w:sz w:val="18"/>
                <w:szCs w:val="18"/>
                <w:color w:val="auto"/>
                <w:w w:val="88"/>
              </w:rPr>
              <w:t>March 1, 2018</w:t>
            </w:r>
          </w:p>
        </w:tc>
        <w:tc>
          <w:tcPr>
            <w:tcW w:w="0" w:type="dxa"/>
            <w:vAlign w:val="bottom"/>
          </w:tcPr>
          <w:p>
            <w:pPr>
              <w:spacing w:after="0"/>
              <w:rPr>
                <w:sz w:val="1"/>
                <w:szCs w:val="1"/>
                <w:color w:val="auto"/>
              </w:rPr>
            </w:pPr>
          </w:p>
        </w:tc>
      </w:tr>
      <w:tr>
        <w:trPr>
          <w:trHeight w:val="648"/>
        </w:trPr>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220"/>
              <w:spacing w:after="0"/>
              <w:rPr>
                <w:sz w:val="20"/>
                <w:szCs w:val="20"/>
                <w:color w:val="auto"/>
              </w:rPr>
            </w:pPr>
            <w:r>
              <w:rPr>
                <w:rFonts w:ascii="Arial" w:cs="Arial" w:eastAsia="Arial" w:hAnsi="Arial"/>
                <w:sz w:val="18"/>
                <w:szCs w:val="18"/>
                <w:color w:val="auto"/>
                <w:w w:val="88"/>
              </w:rPr>
              <w:t>March 1,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127635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280" w:space="720"/>
            <w:col w:w="6340"/>
          </w:cols>
          <w:pgMar w:left="240" w:top="131" w:right="319" w:bottom="1440" w:gutter="0" w:footer="0" w:header="0"/>
          <w:type w:val="continuous"/>
        </w:sectPr>
      </w:pPr>
    </w:p>
    <w:bookmarkStart w:id="120" w:name="page121"/>
    <w:bookmarkEnd w:id="12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spacing w:after="0"/>
        <w:rPr>
          <w:rFonts w:ascii="Arial" w:cs="Arial" w:eastAsia="Arial" w:hAnsi="Arial"/>
          <w:sz w:val="22"/>
          <w:szCs w:val="22"/>
          <w:color w:val="0000EE"/>
        </w:rPr>
      </w:pPr>
      <w:hyperlink w:anchor="page12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Supernus Pharmaceuticals, Inc.:</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Nos. 333-181479, 333-201049, 333-216135 on Form S-8, and No. 333-200716 on Form S-3 of Supernus Pharmaceuticals, Inc. of our reports dated March 1, 2018, with respect to the consolidated balance sheets of Supernus Pharmaceuticals, Inc. as of December 31, 2017 and 2016, and the related consolidated statements of earnings, statements of comprehensive earnings, statements of changes in stockholders' equity, and statements of cash flows for each of the years in the three-year period ended December 31, 2017, and the related notes (collectively, the "consolidated financial statements"), and the effectiveness of internal control over financial reporting as of December 31, 2017, which reports appear in the December 31, 2017 annual report on Form 10-K of Supernus Pharmaceuticals, Inc.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2">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23" w:name="page124"/>
    <w:bookmarkEnd w:id="123"/>
    <w:p>
      <w:pPr>
        <w:spacing w:after="0"/>
        <w:rPr>
          <w:rFonts w:ascii="Arial" w:cs="Arial" w:eastAsia="Arial" w:hAnsi="Arial"/>
          <w:sz w:val="22"/>
          <w:szCs w:val="22"/>
          <w:color w:val="0000EE"/>
        </w:rPr>
      </w:pPr>
      <w:hyperlink w:anchor="page12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Jack A. Khattar, certify that:</w:t>
      </w:r>
    </w:p>
    <w:p>
      <w:pPr>
        <w:spacing w:after="0" w:line="225"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Supernus Pharmaceuticals, Inc.;</w:t>
      </w:r>
    </w:p>
    <w:p>
      <w:pPr>
        <w:spacing w:after="0" w:line="225" w:lineRule="exact"/>
        <w:rPr>
          <w:rFonts w:ascii="Arial" w:cs="Arial" w:eastAsia="Arial" w:hAnsi="Arial"/>
          <w:sz w:val="18"/>
          <w:szCs w:val="18"/>
          <w:color w:val="auto"/>
        </w:rPr>
      </w:pPr>
    </w:p>
    <w:p>
      <w:pPr>
        <w:ind w:right="40" w:firstLine="8"/>
        <w:spacing w:after="0" w:line="332" w:lineRule="auto"/>
        <w:tabs>
          <w:tab w:leader="none" w:pos="351"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40" w:firstLine="8"/>
        <w:spacing w:after="0" w:line="268" w:lineRule="auto"/>
        <w:tabs>
          <w:tab w:leader="none" w:pos="351"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59" w:lineRule="auto"/>
        <w:tabs>
          <w:tab w:leader="none" w:pos="3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 w:firstLine="8"/>
        <w:spacing w:after="0" w:line="259" w:lineRule="auto"/>
        <w:tabs>
          <w:tab w:leader="none" w:pos="86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540" w:right="80" w:firstLine="8"/>
        <w:spacing w:after="0" w:line="259" w:lineRule="auto"/>
        <w:tabs>
          <w:tab w:leader="none" w:pos="8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140" w:firstLine="8"/>
        <w:spacing w:after="0" w:line="332" w:lineRule="auto"/>
        <w:tabs>
          <w:tab w:leader="none" w:pos="867"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200" w:firstLine="8"/>
        <w:spacing w:after="0" w:line="259" w:lineRule="auto"/>
        <w:tabs>
          <w:tab w:leader="none" w:pos="8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740" w:firstLine="8"/>
        <w:spacing w:after="0" w:line="332" w:lineRule="auto"/>
        <w:tabs>
          <w:tab w:leader="none" w:pos="34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80" w:firstLine="8"/>
        <w:spacing w:after="0" w:line="268" w:lineRule="auto"/>
        <w:tabs>
          <w:tab w:leader="none" w:pos="867"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8"/>
        <w:spacing w:after="0" w:line="268" w:lineRule="auto"/>
        <w:tabs>
          <w:tab w:leader="none" w:pos="8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 March 1, 2018</w:t>
      </w:r>
      <w:r>
        <w:rPr>
          <w:sz w:val="20"/>
          <w:szCs w:val="20"/>
          <w:color w:val="auto"/>
        </w:rPr>
        <w:tab/>
      </w:r>
      <w:r>
        <w:rPr>
          <w:rFonts w:ascii="Arial" w:cs="Arial" w:eastAsia="Arial" w:hAnsi="Arial"/>
          <w:sz w:val="16"/>
          <w:szCs w:val="16"/>
          <w:color w:val="auto"/>
        </w:rPr>
        <w:t>By:  /s/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71120</wp:posOffset>
            </wp:positionV>
            <wp:extent cx="2675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Jack A. Khattar</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24">
        <w:r>
          <w:rPr>
            <w:rFonts w:ascii="Arial" w:cs="Arial" w:eastAsia="Arial" w:hAnsi="Arial"/>
            <w:sz w:val="16"/>
            <w:szCs w:val="16"/>
            <w:u w:val="single" w:color="auto"/>
            <w:color w:val="0000EE"/>
          </w:rPr>
          <w:t>EXHIBIT 31.1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25" w:name="page126"/>
    <w:bookmarkEnd w:id="125"/>
    <w:p>
      <w:pPr>
        <w:spacing w:after="0"/>
        <w:rPr>
          <w:rFonts w:ascii="Arial" w:cs="Arial" w:eastAsia="Arial" w:hAnsi="Arial"/>
          <w:sz w:val="22"/>
          <w:szCs w:val="22"/>
          <w:color w:val="0000EE"/>
        </w:rPr>
      </w:pPr>
      <w:hyperlink w:anchor="page12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Gregory S. Patrick, certify that:</w:t>
      </w:r>
    </w:p>
    <w:p>
      <w:pPr>
        <w:spacing w:after="0" w:line="225"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Supernus Pharmaceuticals, Inc.;</w:t>
      </w:r>
    </w:p>
    <w:p>
      <w:pPr>
        <w:spacing w:after="0" w:line="225" w:lineRule="exact"/>
        <w:rPr>
          <w:rFonts w:ascii="Arial" w:cs="Arial" w:eastAsia="Arial" w:hAnsi="Arial"/>
          <w:sz w:val="18"/>
          <w:szCs w:val="18"/>
          <w:color w:val="auto"/>
        </w:rPr>
      </w:pPr>
    </w:p>
    <w:p>
      <w:pPr>
        <w:ind w:right="40" w:firstLine="8"/>
        <w:spacing w:after="0" w:line="332" w:lineRule="auto"/>
        <w:tabs>
          <w:tab w:leader="none" w:pos="351"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40" w:firstLine="8"/>
        <w:spacing w:after="0" w:line="268" w:lineRule="auto"/>
        <w:tabs>
          <w:tab w:leader="none" w:pos="351"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59" w:lineRule="auto"/>
        <w:tabs>
          <w:tab w:leader="none" w:pos="3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 w:firstLine="8"/>
        <w:spacing w:after="0" w:line="259" w:lineRule="auto"/>
        <w:tabs>
          <w:tab w:leader="none" w:pos="86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540" w:right="80" w:firstLine="8"/>
        <w:spacing w:after="0" w:line="259" w:lineRule="auto"/>
        <w:tabs>
          <w:tab w:leader="none" w:pos="876"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140" w:firstLine="8"/>
        <w:spacing w:after="0" w:line="332" w:lineRule="auto"/>
        <w:tabs>
          <w:tab w:leader="none" w:pos="867"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200" w:firstLine="8"/>
        <w:spacing w:after="0" w:line="259" w:lineRule="auto"/>
        <w:tabs>
          <w:tab w:leader="none" w:pos="876"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740" w:firstLine="8"/>
        <w:spacing w:after="0" w:line="332" w:lineRule="auto"/>
        <w:tabs>
          <w:tab w:leader="none" w:pos="34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80" w:firstLine="8"/>
        <w:spacing w:after="0" w:line="268" w:lineRule="auto"/>
        <w:tabs>
          <w:tab w:leader="none" w:pos="86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8"/>
        <w:spacing w:after="0" w:line="268" w:lineRule="auto"/>
        <w:tabs>
          <w:tab w:leader="none" w:pos="876"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 March 1, 2018</w:t>
      </w:r>
      <w:r>
        <w:rPr>
          <w:sz w:val="20"/>
          <w:szCs w:val="20"/>
          <w:color w:val="auto"/>
        </w:rPr>
        <w:tab/>
      </w:r>
      <w:r>
        <w:rPr>
          <w:rFonts w:ascii="Arial" w:cs="Arial" w:eastAsia="Arial" w:hAnsi="Arial"/>
          <w:sz w:val="16"/>
          <w:szCs w:val="16"/>
          <w:color w:val="auto"/>
        </w:rPr>
        <w:t>By:  /s/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71120</wp:posOffset>
            </wp:positionV>
            <wp:extent cx="2675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Gregory S. Patrick</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26">
        <w:r>
          <w:rPr>
            <w:rFonts w:ascii="Arial" w:cs="Arial" w:eastAsia="Arial" w:hAnsi="Arial"/>
            <w:sz w:val="16"/>
            <w:szCs w:val="16"/>
            <w:u w:val="single" w:color="auto"/>
            <w:color w:val="0000EE"/>
          </w:rPr>
          <w:t>EXHIBIT 31.2</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27" w:name="page128"/>
    <w:bookmarkEnd w:id="127"/>
    <w:p>
      <w:pPr>
        <w:spacing w:after="0"/>
        <w:rPr>
          <w:rFonts w:ascii="Arial" w:cs="Arial" w:eastAsia="Arial" w:hAnsi="Arial"/>
          <w:sz w:val="22"/>
          <w:szCs w:val="22"/>
          <w:color w:val="0000EE"/>
        </w:rPr>
      </w:pPr>
      <w:hyperlink w:anchor="page1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SUPERNUS PHARMACEUTICALS,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connection with the Annual Report of Supernus Pharmaceuticals, Inc. (the "Company") on Form 10-K for the year ended December 31, 2017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61" w:lineRule="exact"/>
        <w:rPr>
          <w:sz w:val="20"/>
          <w:szCs w:val="20"/>
          <w:color w:val="auto"/>
        </w:rPr>
      </w:pPr>
    </w:p>
    <w:p>
      <w:pPr>
        <w:ind w:left="880" w:hanging="332"/>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 March 1, 2018</w:t>
      </w:r>
      <w:r>
        <w:rPr>
          <w:sz w:val="20"/>
          <w:szCs w:val="20"/>
          <w:color w:val="auto"/>
        </w:rPr>
        <w:tab/>
      </w:r>
      <w:r>
        <w:rPr>
          <w:rFonts w:ascii="Arial" w:cs="Arial" w:eastAsia="Arial" w:hAnsi="Arial"/>
          <w:sz w:val="16"/>
          <w:szCs w:val="16"/>
          <w:color w:val="auto"/>
        </w:rPr>
        <w:t>By:  /s/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71120</wp:posOffset>
            </wp:positionV>
            <wp:extent cx="2675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Jack A. Khattar</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SUPERNUS PHARMACEUTICALS, INC. CERTIFICATION PURSUANT TO 18 U.S.C. sec. 1350, AS ADOPTED PURSUANT TO SECTION 906 OF THE</w:t>
        </w:r>
      </w:hyperlink>
      <w:r>
        <w:rPr>
          <w:rFonts w:ascii="Arial" w:cs="Arial" w:eastAsia="Arial" w:hAnsi="Arial"/>
          <w:sz w:val="18"/>
          <w:szCs w:val="18"/>
          <w:u w:val="single" w:color="auto"/>
          <w:color w:val="0000EE"/>
        </w:rPr>
        <w:t xml:space="preserve"> </w:t>
      </w:r>
      <w:hyperlink w:anchor="page128">
        <w:r>
          <w:rPr>
            <w:rFonts w:ascii="Arial" w:cs="Arial" w:eastAsia="Arial" w:hAnsi="Arial"/>
            <w:sz w:val="18"/>
            <w:szCs w:val="18"/>
            <w:u w:val="single" w:color="auto"/>
            <w:color w:val="0000EE"/>
          </w:rPr>
          <w:t>SARBANES-OXLEY ACT OF 2002</w:t>
        </w:r>
      </w:hyperlink>
    </w:p>
    <w:p>
      <w:pPr>
        <w:sectPr>
          <w:pgSz w:w="11900" w:h="16838" w:orient="portrait"/>
          <w:cols w:equalWidth="0" w:num="1">
            <w:col w:w="11300"/>
          </w:cols>
          <w:pgMar w:left="240" w:top="820" w:right="359" w:bottom="1440" w:gutter="0" w:footer="0" w:header="0"/>
        </w:sectPr>
      </w:pPr>
    </w:p>
    <w:bookmarkStart w:id="129" w:name="page130"/>
    <w:bookmarkEnd w:id="129"/>
    <w:p>
      <w:pPr>
        <w:spacing w:after="0"/>
        <w:rPr>
          <w:rFonts w:ascii="Arial" w:cs="Arial" w:eastAsia="Arial" w:hAnsi="Arial"/>
          <w:sz w:val="22"/>
          <w:szCs w:val="22"/>
          <w:color w:val="0000EE"/>
        </w:rPr>
      </w:pPr>
      <w:hyperlink w:anchor="page13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Annual Report of Supernus Pharmaceuticals, Inc. (the "Company") on Form 10-K for the year ended December 31, 2017 as filed with the Securities and Exchange Commission on the date hereof (the "Report"), I, Gregory S. Patrick, Vice President and Chief Financial Officer of the Company, certify, pursuant to 18 U.S.C. sec. 1350, as adopted pursuant to Section 906 of the Sarbanes-Oxley Act of 2002, that:</w:t>
      </w:r>
    </w:p>
    <w:p>
      <w:pPr>
        <w:spacing w:after="0" w:line="161" w:lineRule="exact"/>
        <w:rPr>
          <w:sz w:val="20"/>
          <w:szCs w:val="20"/>
          <w:color w:val="auto"/>
        </w:rPr>
      </w:pPr>
    </w:p>
    <w:p>
      <w:pPr>
        <w:ind w:left="880" w:hanging="332"/>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 March 1, 2018</w:t>
      </w:r>
      <w:r>
        <w:rPr>
          <w:sz w:val="20"/>
          <w:szCs w:val="20"/>
          <w:color w:val="auto"/>
        </w:rPr>
        <w:tab/>
      </w:r>
      <w:r>
        <w:rPr>
          <w:rFonts w:ascii="Arial" w:cs="Arial" w:eastAsia="Arial" w:hAnsi="Arial"/>
          <w:sz w:val="16"/>
          <w:szCs w:val="16"/>
          <w:color w:val="auto"/>
        </w:rPr>
        <w:t>By:  /s/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71120</wp:posOffset>
            </wp:positionV>
            <wp:extent cx="2675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Gregory S. Patrick</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SUPERNUS PHARMACEUTICALS, INC. CERTIFICATION PURSUANT TO 18 U.S.C. sec. 1350, AS ADOPTED PURSUANT TO SECTION 906 OF THE</w:t>
        </w:r>
      </w:hyperlink>
      <w:r>
        <w:rPr>
          <w:rFonts w:ascii="Arial" w:cs="Arial" w:eastAsia="Arial" w:hAnsi="Arial"/>
          <w:sz w:val="18"/>
          <w:szCs w:val="18"/>
          <w:u w:val="single" w:color="auto"/>
          <w:color w:val="0000EE"/>
        </w:rPr>
        <w:t xml:space="preserve"> </w:t>
      </w:r>
      <w:hyperlink w:anchor="page130">
        <w:r>
          <w:rPr>
            <w:rFonts w:ascii="Arial" w:cs="Arial" w:eastAsia="Arial" w:hAnsi="Arial"/>
            <w:sz w:val="18"/>
            <w:szCs w:val="18"/>
            <w:u w:val="single" w:color="auto"/>
            <w:color w:val="0000EE"/>
          </w:rPr>
          <w:t>SARBANES-OXLEY ACT OF 2002</w:t>
        </w:r>
      </w:hyperlink>
    </w:p>
    <w:sectPr>
      <w:pgSz w:w="11900" w:h="16838" w:orient="portrait"/>
      <w:cols w:equalWidth="0" w:num="1">
        <w:col w:w="11300"/>
      </w:cols>
      <w:pgMar w:left="240" w:top="8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3"/>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2"/>
    </w:lvl>
  </w:abstractNum>
  <w:abstractNum w:abstractNumId="44">
    <w:nsid w:val="75C6C33A"/>
    <w:multiLevelType w:val="hybridMultilevel"/>
    <w:lvl w:ilvl="0">
      <w:lvlJc w:val="left"/>
      <w:lvlText w:val="%1."/>
      <w:numFmt w:val="decimal"/>
      <w:start w:val="2"/>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decimal"/>
      <w:start w:val="2"/>
    </w:lvl>
    <w:lvl w:ilvl="1">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147" Type="http://schemas.openxmlformats.org/officeDocument/2006/relationships/hyperlink" Target="http://www.sec.gov/Archives/edgar/data/1356576/000104746912010489/a2211796zex-3_1.htm" TargetMode="External"/><Relationship Id="rId148" Type="http://schemas.openxmlformats.org/officeDocument/2006/relationships/hyperlink" Target="http://www.sec.gov/Archives/edgar/data/1356576/000104746912010750/a2211879zex-3_2.htm" TargetMode="External"/><Relationship Id="rId149" Type="http://schemas.openxmlformats.org/officeDocument/2006/relationships/hyperlink" Target="http://www.sec.gov/Archives/edgar/data/1356576/000104746912002789/a2207731zex-4_1.htm" TargetMode="External"/><Relationship Id="rId150" Type="http://schemas.openxmlformats.org/officeDocument/2006/relationships/hyperlink" Target="http://www.sec.gov/Archives/edgar/data/1356576/000104746910010575/a2201368zex-10_1.htm" TargetMode="External"/><Relationship Id="rId151" Type="http://schemas.openxmlformats.org/officeDocument/2006/relationships/hyperlink" Target="http://www.sec.gov/Archives/edgar/data/1356576/000104746910010575/a2201368zex-10_2.htm" TargetMode="External"/><Relationship Id="rId152" Type="http://schemas.openxmlformats.org/officeDocument/2006/relationships/hyperlink" Target="http://www.sec.gov/Archives/edgar/data/1356576/000104746910010575/a2201368zex-10_3.htm" TargetMode="External"/><Relationship Id="rId153" Type="http://schemas.openxmlformats.org/officeDocument/2006/relationships/hyperlink" Target="http://www.sec.gov/Archives/edgar/data/1356576/000104746910010575/a2201368zex-10_4.htm" TargetMode="External"/><Relationship Id="rId154" Type="http://schemas.openxmlformats.org/officeDocument/2006/relationships/hyperlink" Target="http://www.sec.gov/Archives/edgar/data/1356576/000104746910010575/a2201368zex-10_5.htm" TargetMode="External"/><Relationship Id="rId155" Type="http://schemas.openxmlformats.org/officeDocument/2006/relationships/hyperlink" Target="http://www.sec.gov/Archives/edgar/data/1356576/000104746910010575/a2201368zex-10_6.htm" TargetMode="External"/><Relationship Id="rId156" Type="http://schemas.openxmlformats.org/officeDocument/2006/relationships/hyperlink" Target="http://www.sec.gov/Archives/edgar/data/1356576/000104746910010575/a2201368zex-10_7.htm" TargetMode="External"/><Relationship Id="rId157" Type="http://schemas.openxmlformats.org/officeDocument/2006/relationships/hyperlink" Target="http://www.sec.gov/Archives/edgar/data/1356576/000104746910010575/a2201368zex-10_8.htm" TargetMode="External"/><Relationship Id="rId158" Type="http://schemas.openxmlformats.org/officeDocument/2006/relationships/hyperlink" Target="http://www.sec.gov/Archives/edgar/data/1356576/000104746912002789/a2207731zex-10_10.htm" TargetMode="External"/><Relationship Id="rId162" Type="http://schemas.openxmlformats.org/officeDocument/2006/relationships/hyperlink" Target="http://www.sec.gov/Archives/edgar/data/1356576/000104746912002789/a2207731zex-10_11.htm" TargetMode="External"/><Relationship Id="rId163" Type="http://schemas.openxmlformats.org/officeDocument/2006/relationships/hyperlink" Target="http://www.sec.gov/Archives/edgar/data/1356576/000104746912002789/a2207731zex-10_12.htm" TargetMode="External"/><Relationship Id="rId164" Type="http://schemas.openxmlformats.org/officeDocument/2006/relationships/hyperlink" Target="http://www.sec.gov/Archives/edgar/data/1356576/000104746912002789/a2207731zex-10_13.htm" TargetMode="External"/><Relationship Id="rId165" Type="http://schemas.openxmlformats.org/officeDocument/2006/relationships/hyperlink" Target="http://www.sec.gov/Archives/edgar/data/1356576/000104746912002789/a2207731zex-10_14.htm" TargetMode="External"/><Relationship Id="rId166" Type="http://schemas.openxmlformats.org/officeDocument/2006/relationships/hyperlink" Target="http://www.sec.gov/Archives/edgar/data/1356576/000104746912002789/a2207731zex-10_15.htm" TargetMode="External"/><Relationship Id="rId167" Type="http://schemas.openxmlformats.org/officeDocument/2006/relationships/hyperlink" Target="http://www.sec.gov/Archives/edgar/data/1356576/000104746912000931/a2207174zex-10_20.htm" TargetMode="External"/><Relationship Id="rId168" Type="http://schemas.openxmlformats.org/officeDocument/2006/relationships/hyperlink" Target="http://www.sec.gov/Archives/edgar/data/1356576/000104746912002789/a2207731zex-10_22.htm" TargetMode="External"/><Relationship Id="rId169" Type="http://schemas.openxmlformats.org/officeDocument/2006/relationships/hyperlink" Target="http://www.sec.gov/Archives/edgar/data/1356576/000104746912002789/a2207731zex-10_23.htm" TargetMode="External"/><Relationship Id="rId170" Type="http://schemas.openxmlformats.org/officeDocument/2006/relationships/hyperlink" Target="http://www.sec.gov/Archives/edgar/data/1356576/000104746912004146/a2208560zex-10_26.htm" TargetMode="External"/><Relationship Id="rId171" Type="http://schemas.openxmlformats.org/officeDocument/2006/relationships/hyperlink" Target="http://www.sec.gov/Archives/edgar/data/1356576/000104746912004146/a2208560zex-10_27.htm" TargetMode="External"/><Relationship Id="rId172" Type="http://schemas.openxmlformats.org/officeDocument/2006/relationships/hyperlink" Target="http://www.sec.gov/Archives/edgar/data/1356576/000110465912073746/a12-19259_1ex10d1.htm" TargetMode="External"/><Relationship Id="rId173" Type="http://schemas.openxmlformats.org/officeDocument/2006/relationships/hyperlink" Target="http://www.sec.gov/Archives/edgar/data/1356576/000110465913008523/a13-4631_1ex10d1.htm" TargetMode="External"/><Relationship Id="rId177" Type="http://schemas.openxmlformats.org/officeDocument/2006/relationships/hyperlink" Target="http://www.sec.gov/Archives/edgar/data/1356576/000104746913002844/a2213534zex-10_33.htm" TargetMode="External"/><Relationship Id="rId178" Type="http://schemas.openxmlformats.org/officeDocument/2006/relationships/hyperlink" Target="http://www.sec.gov/Archives/edgar/data/1356576/000135657613000023/supn-20130821ex1016196c4.htm" TargetMode="External"/><Relationship Id="rId179" Type="http://schemas.openxmlformats.org/officeDocument/2006/relationships/hyperlink" Target="http://www.sec.gov/Archives/edgar/data/1356576/000110465917012734/a17-7367_18k.htm" TargetMode="External"/><Relationship Id="rId180" Type="http://schemas.openxmlformats.org/officeDocument/2006/relationships/hyperlink" Target="http://www.sec.gov/Archives/edgar/data/1356576/000110465914050571/a14-16620_1ex10d1.htm" TargetMode="External"/><Relationship Id="rId181" Type="http://schemas.openxmlformats.org/officeDocument/2006/relationships/hyperlink" Target="http://www.sec.gov/Archives/edgar/data/1356576/000110465914050571/a14-16620_1ex10d2.htm" TargetMode="External"/><Relationship Id="rId182" Type="http://schemas.openxmlformats.org/officeDocument/2006/relationships/hyperlink" Target="http://www.sec.gov/Archives/edgar/data/1356576/000110465914067095/a14-21143_1ex10d1.htm" TargetMode="External"/><Relationship Id="rId183" Type="http://schemas.openxmlformats.org/officeDocument/2006/relationships/hyperlink" Target="http://www.sec.gov/Archives/edgar/data/1356576/000110465914059442/a14-18762_1ex10d2.htm" TargetMode="External"/><Relationship Id="rId184" Type="http://schemas.openxmlformats.org/officeDocument/2006/relationships/hyperlink" Target="http://www.sec.gov/Archives/edgar/data/1356576/000110465914073694/a14-22950_1ex10d1.htm" TargetMode="External"/><Relationship Id="rId185" Type="http://schemas.openxmlformats.org/officeDocument/2006/relationships/hyperlink" Target="http://www.sec.gov/Archives/edgar/data/1356576/000110465914073694/a14-22950_1ex10d2.htm" TargetMode="External"/><Relationship Id="rId186" Type="http://schemas.openxmlformats.org/officeDocument/2006/relationships/hyperlink" Target="http://www.sec.gov/Archives/edgar/data/1356576/000110465916102653/a16-5842_1ex10d1.htm" TargetMode="External"/><Relationship Id="rId187" Type="http://schemas.openxmlformats.org/officeDocument/2006/relationships/hyperlink" Target="http://www.sec.gov/Archives/edgar/data/1356576/000104746916010884/a2227616zex-10_36.htm" TargetMode="External"/><Relationship Id="rId188" Type="http://schemas.openxmlformats.org/officeDocument/2006/relationships/hyperlink" Target="http://www.sec.gov/Archives/edgar/data/1356576/000104746916012346/a2228311zdef14a.htm" TargetMode="External"/><Relationship Id="rId189" Type="http://schemas.openxmlformats.org/officeDocument/2006/relationships/hyperlink" Target="http://www.sec.gov/Archives/edgar/data/1356576/000110465917031191/a17-10293_1ex10d1.htm" TargetMode="External"/><Relationship Id="rId193" Type="http://schemas.openxmlformats.org/officeDocument/2006/relationships/hyperlink" Target="http://www.sec.gov/Archives/edgar/data/1356576/000110465917031191/a17-10293_1ex10d2.htm" TargetMode="External"/><Relationship Id="rId194" Type="http://schemas.openxmlformats.org/officeDocument/2006/relationships/hyperlink" Target="http://www.sec.gov/Archives/edgar/data/1356576/000110465917031191/a17-10293_1ex10d3.htm" TargetMode="External"/><Relationship Id="rId195" Type="http://schemas.openxmlformats.org/officeDocument/2006/relationships/hyperlink" Target="http://www.sec.gov/Archives/edgar/data/1356576/000104746913002844/a2213534zex-14.htm" TargetMode="External"/><Relationship Id="rId196" Type="http://schemas.openxmlformats.org/officeDocument/2006/relationships/hyperlink" Target="http://www.sec.gov/Archives/edgar/data/1356576/000104746912000931/a2207174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2019-12-29T00:15:29Z</dcterms:created>
  <dcterms:modified xsi:type="dcterms:W3CDTF">2019-12-29T00:15:29Z</dcterms:modified>
</cp:coreProperties>
</file>