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tLeast" w:line="160" w:before="0" w:after="0"/>
        <w:ind w:left="0" w:right="0" w:hanging="0"/>
        <w:rPr>
          <w:caps w:val="false"/>
          <w:smallCaps w:val="false"/>
          <w:color w:val="000000"/>
        </w:rPr>
      </w:pPr>
      <w:bookmarkStart w:id="0" w:name="tm231951d2_def14a.htm"/>
      <w:bookmarkStart w:id="1" w:name="kstm231951d2_def14a"/>
      <w:bookmarkEnd w:id="0"/>
      <w:bookmarkEnd w:id="1"/>
      <w:r>
        <w:rPr>
          <w:caps w:val="false"/>
          <w:smallCaps w:val="false"/>
          <w:color w:val="000000"/>
        </w:rPr>
        <w:t>​</w:t>
      </w:r>
    </w:p>
    <w:p>
      <w:pPr>
        <w:pStyle w:val="TextBody"/>
        <w:spacing w:lineRule="atLeast" w:line="240" w:before="557"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UNITED STATES </w:t>
        <w:br/>
        <w:t xml:space="preserve">SECURITIES AND EXCHANGE COMMISSION </w:t>
        <w:br/>
        <w:t>Washington, D.C. 20549</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SCHEDULE 14A</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PROXY STATEMENT PURSUANT TO SECTION 14(a) OF THE </w:t>
        <w:br/>
        <w:t xml:space="preserve">SECURITIES EXCHANGE ACT OF 1934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largest"/>
                <wp:docPr id="1" name="Frame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
                <wp:simplePos x="0" y="0"/>
                <wp:positionH relativeFrom="column">
                  <wp:align>left</wp:align>
                </wp:positionH>
                <wp:positionV relativeFrom="line">
                  <wp:align>top</wp:align>
                </wp:positionV>
                <wp:extent cx="254000" cy="350520"/>
                <wp:effectExtent l="0" t="0" r="0" b="0"/>
                <wp:wrapSquare wrapText="largest"/>
                <wp:docPr id="2" name="Frame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largest"/>
                <wp:docPr id="3" name="Frame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largest"/>
                <wp:docPr id="4" name="Frame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under §240.14a-12 </w:t>
      </w:r>
      <w:r>
        <mc:AlternateContent>
          <mc:Choice Requires="wps">
            <w:drawing>
              <wp:anchor behindDoc="0" distT="101600" distB="0" distL="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largest"/>
                <wp:docPr id="5" name="Frame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SUPERNUS PHARMACEUTICALS, INC.</w:t>
      </w:r>
      <w:r>
        <w:rPr>
          <w:rFonts w:ascii="Times New Roman;Times;serif" w:hAnsi="Times New Roman;Times;serif"/>
          <w:b/>
          <w:i w:val="false"/>
          <w:caps w:val="false"/>
          <w:smallCaps w:val="false"/>
          <w:color w:val="000000"/>
          <w:sz w:val="28"/>
        </w:rPr>
        <w:t>​</w:t>
      </w:r>
      <w:r>
        <w:rPr>
          <w:rFonts w:ascii="Times New Roman;Times;serif" w:hAnsi="Times New Roman;Times;serif"/>
          <w:b/>
          <w:i w:val="false"/>
          <w:caps w:val="false"/>
          <w:smallCaps w:val="false"/>
          <w:color w:val="000000"/>
          <w:spacing w:val="-4"/>
          <w:sz w:val="28"/>
        </w:rPr>
        <w:t xml:space="preserve"> </w:t>
      </w:r>
    </w:p>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the Registrant as Specified In Its Charter) </w:t>
      </w:r>
    </w:p>
    <w:p>
      <w:pPr>
        <w:pStyle w:val="TextBody"/>
        <w:spacing w:lineRule="atLeast" w:line="240" w:before="160" w:after="283"/>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Person(s) Filing Proxy Statement, if other than the Registrant)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the appropriate box): </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largest"/>
                <wp:docPr id="6" name="Frame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largest"/>
                <wp:docPr id="7" name="Frame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largest"/>
                <wp:docPr id="8" name="Frame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SUPERNUS PHARMACEUTICALS,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9715 Key West Avenue </w:t>
        <w:br/>
        <w:t xml:space="preserve">Rockville, MD 20850 </w:t>
        <w:br/>
        <w:t xml:space="preserve">(301) 838-2500 </w:t>
      </w:r>
    </w:p>
    <w:p>
      <w:pPr>
        <w:pStyle w:val="TextBody"/>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3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NOTICE OF ANNUAL MEETING OF STOCKHOLDERS </w:t>
        <w:br/>
        <w:t xml:space="preserve">VIRTUAL MEETING ONLY </w:t>
        <w:br/>
        <w:t xml:space="preserve">TO BE HELD AT 10:00 A.M. EDT, ON </w:t>
        <w:br/>
        <w:t>JUNE 16, 2023</w:t>
      </w:r>
      <w:r>
        <w:rPr>
          <w:rFonts w:ascii="Times New Roman;Times;serif" w:hAnsi="Times New Roman;Times;serif"/>
          <w:b/>
          <w:i w:val="false"/>
          <w:caps w:val="false"/>
          <w:smallCaps w:val="false"/>
          <w:color w:val="000000"/>
          <w:spacing w:val="4"/>
          <w:sz w:val="20"/>
        </w:rPr>
        <w:t xml:space="preserve"> </w:t>
      </w:r>
    </w:p>
    <w:p>
      <w:pPr>
        <w:pStyle w:val="TextBody"/>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32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the Stockholders of Supernus Pharmaceuticals, Inc.:</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IS HEREBY GIVEN THAT the 2023 Annual Meeting of the Stockholders of Supernus Pharmaceuticals, Inc., a Delaware corporation (Supernus), will be held on Friday, June 16, 2023, at 10:00 A.M. Eastern Daylight Time. In light of the continuing coronavirus (COVID-19) pandemic, and in consideration of the health and safety of our shareholders, directors, and employees, this year’s Annual Meeting will be held by means of a live webcast. You will be able to attend the Annual Meeting online, vote your shares electronically and submit your questions prior to and during the meeting by visiting meetnow.global/MC9FXVR on the meeting date and at the time set forth above. There is no physical location for the Annual Meeting. Your attendance at the virtual Annual Meeting affords you the same rights and opportunities to participate as you would have at an in-person annual meeting.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2023 Annual Meeting of Stockholders, you will be asked to consider and vote upon the following matters: </w:t>
      </w:r>
    </w:p>
    <w:p>
      <w:pPr>
        <w:pStyle w:val="TextBody"/>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elect two (2) directors to hold office for the ensuing three (3) years and until their successors have been duly elected and qualified; </w:t>
      </w:r>
      <w:r>
        <mc:AlternateContent>
          <mc:Choice Requires="wps">
            <w:drawing>
              <wp:anchor behindDoc="0" distT="101600" distB="0" distL="25400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largest"/>
                <wp:docPr id="9" name="Frame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on a non-binding basis, the compensation paid to our named executive officers; </w:t>
      </w:r>
      <w:r>
        <mc:AlternateContent>
          <mc:Choice Requires="wps">
            <w:drawing>
              <wp:anchor behindDoc="0" distT="101600" distB="0" distL="25400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largest"/>
                <wp:docPr id="10" name="Frame1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on a non-binding basis, the frequency of future advisory votes on executive compensation; </w:t>
      </w:r>
      <w:r>
        <mc:AlternateContent>
          <mc:Choice Requires="wps">
            <w:drawing>
              <wp:anchor behindDoc="0" distT="101600" distB="0" distL="25400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largest"/>
                <wp:docPr id="11" name="Frame1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ratify the appointment of KPMG LLP as our independent registered public accounting firm for the fiscal year ending December 31, 2023; and </w:t>
      </w:r>
      <w:r>
        <mc:AlternateContent>
          <mc:Choice Requires="wps">
            <w:drawing>
              <wp:anchor behindDoc="0" distT="101600" distB="0" distL="2540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largest"/>
                <wp:docPr id="12" name="Frame1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transact such other business as may properly come before the Annual Meeting or any adjournment or adjournments thereof. </w:t>
      </w:r>
      <w:r>
        <mc:AlternateContent>
          <mc:Choice Requires="wps">
            <w:drawing>
              <wp:anchor behindDoc="0" distT="101600" distB="0" distL="2540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largest"/>
                <wp:docPr id="13" name="Frame1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has fixed the close of business on April 17, 2023, as the Record Date for the determination of holders of common stock of Supernus entitled to notice of, and to vote at, the Annual Meeting and any adjournment thereof. A list of stockholders of record entitled to vote at the Annual Meeting will be accessible on the virtual meeting website during the meeting for those attending the meeting, and for ten days prior to the meeting, at our corporate offices at 9715 Key West Avenue, Rockville, Maryland 20850.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IS SOLICITING PROXIES TO BE USED AT THE 2023 ANNUAL MEETING OF STOCKHOLDERS. ALL OF OUR STOCKHOLDERS ARE CORDIALLY INVITED TO ATTEND THE ANNUAL MEETING VIA WEBCAST. WHETHER OR NOT YOU PLAN TO ATTEND THE ANNUAL MEETING, WE URGE YOU TO VOTE YOUR SHARES AT YOUR EARLIEST CONVENIENCE. THIS WILL ENSURE THE PRESENCE OF A QUORUM AT THE ANNUAL MEETING. PROMPTLY VOTING YOUR SHARES VIA THE INTERNET OR TELEPHONE WILL SAVE US THE EXPENSE AND EXTRA WORK OF ADDITIONAL SOLICITATION. SUBMITTING YOUR PROXY IN ADVANCE WILL NOT AFFECT YOUR RIGHT TO VOTE AT THE ANNUAL MEETING IF YOU ATTEND VIA WEBCAST.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IMPORTANT NOTICE REGARDING THE AVAILABILITY OF PROXY MATERIALS FOR THE ANNUAL MEETING OF STOCKHOLDERS TO BE HELD ON JUNE 16, 2023. THE NOTICE OF THE ANNUAL MEETING OF STOCKHOLDERS, PROXY STATEMENT AND 2022 ANNUAL REPORT TO STOCKHOLDERS ARE AVAILABLE AT: www.edocumentview.com/SUPN. </w:t>
      </w:r>
    </w:p>
    <w:p>
      <w:pPr>
        <w:pStyle w:val="TextBody"/>
        <w:spacing w:lineRule="atLeast" w:line="240" w:before="240" w:after="283"/>
        <w:ind w:left="1393" w:right="0" w:firstLine="48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spacing w:before="280" w:after="283"/>
        <w:ind w:left="6193" w:right="0" w:hanging="0"/>
        <w:rPr>
          <w:caps w:val="false"/>
          <w:smallCaps w:val="false"/>
          <w:color w:val="000000"/>
        </w:rPr>
      </w:pPr>
      <w:r>
        <w:rPr>
          <w:caps w:val="false"/>
          <w:smallCaps w:val="false"/>
          <w:color w:val="000000"/>
        </w:rPr>
        <w:drawing>
          <wp:inline distT="0" distB="0" distL="0" distR="0">
            <wp:extent cx="1343025" cy="542925"/>
            <wp:effectExtent l="0" t="0" r="0" b="0"/>
            <wp:docPr id="1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 descr=""/>
                    <pic:cNvPicPr>
                      <a:picLocks noChangeAspect="1" noChangeArrowheads="1"/>
                    </pic:cNvPicPr>
                  </pic:nvPicPr>
                  <pic:blipFill>
                    <a:blip r:embed="rId2"/>
                    <a:stretch>
                      <a:fillRect/>
                    </a:stretch>
                  </pic:blipFill>
                  <pic:spPr bwMode="auto">
                    <a:xfrm>
                      <a:off x="0" y="0"/>
                      <a:ext cx="1343025" cy="542925"/>
                    </a:xfrm>
                    <a:prstGeom prst="rect">
                      <a:avLst/>
                    </a:prstGeom>
                  </pic:spPr>
                </pic:pic>
              </a:graphicData>
            </a:graphic>
          </wp:inline>
        </w:drawing>
      </w:r>
      <w:r>
        <w:rPr>
          <w:caps w:val="false"/>
          <w:smallCaps w:val="false"/>
          <w:color w:val="000000"/>
        </w:rPr>
        <w:t xml:space="preserve"> </w:t>
      </w:r>
    </w:p>
    <w:p>
      <w:pPr>
        <w:pStyle w:val="TextBody"/>
        <w:spacing w:lineRule="atLeast" w:line="240" w:before="100" w:after="283"/>
        <w:ind w:left="61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Jack A. Khattar, </w:t>
      </w:r>
      <w:r>
        <w:rPr>
          <w:rFonts w:ascii="Times New Roman;Times;serif" w:hAnsi="Times New Roman;Times;serif"/>
          <w:b w:val="false"/>
          <w:i/>
          <w:caps w:val="false"/>
          <w:smallCaps w:val="false"/>
          <w:color w:val="000000"/>
          <w:spacing w:val="4"/>
          <w:sz w:val="20"/>
        </w:rPr>
        <w:t>Secretary</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May 1, 2023</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SUPERNUS PHARMACEUTICALS, INC. </w:t>
        <w:br/>
        <w:t xml:space="preserve">9715 Key West Avenue </w:t>
        <w:br/>
        <w:t xml:space="preserve">Rockville, MD 20850 </w:t>
        <w:br/>
        <w:t>(301) 838-2500</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DATED MAY 1, 2023</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STATEMENT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is furnished with the attached Notice of Annual Meeting on or about May 1, 2023, to each stockholder of record of Supernus Pharmaceuticals, Inc. (Supernus or the Company) as of the close of business on April 17, 2023 (Record Date), in connection with the solicitation of proxies by the Board of Directors to be voted at the Annual Meeting of Stockholders (Annual Meeting) of the Company to be held virtually via a webcast on June 16, 2023, at 10:00 A.M. Eastern Daylight Time, and at any adjournment or adjournments thereof for the purposes stated below.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stockholders of record as of the close of business on the Record Date will be entitled to vote on all matters presented for vote at the Annual Meeting. At the close of business on April 17, 2023, the total number of shares of our common stock (Common Stock) outstanding was 54,476,409 shares. Each share of Common Stock will be entitled to one vote per share on all business to come before the Annual Meeting.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ABOUT THE ANNUAL MEETING AND VOTING</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about May 5, 2023, we will mail to stockholders a Notice Regarding the Availability of Proxy Materials. Stockholders may access the proxy materials, which include the Notice of Annual Meeting of Stockholders, Proxy Statement and 2022 Annual Report on the Internet at www.edocumentview.com/SUPN. You can also request that a paper copy of the proxy materials be mailed to you free of charge via the Internet at www.investorvote.com/SUPN, by toll-free telephone at 1-866-641-4276 or by sending an email to investorvote@computershare.com with “Proxy Materials Supernus Pharmaceuticals, Inc.” in the subject line. Include your full name and address, plus the number located in the shaded bar on the reverse side, and state that you want a paper copy of the meeting materials.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Annual Meeting will be a virtual meeting of stockholders, which will be conducted exclusively by webcast. You are entitled to participate in the Annual Meeting only if you were a stockholder of the Company as of the close of business on the Record Date, or if you hold a valid proxy for the Annual Meeting. No physical meeting will be held.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be able to attend the Annual Meeting online and submit your questions during the meeting by visiting meetnow.global/MC9FXVR. You also will be able to vote your shares online by attending the Annual Meeting by webcast. To participate in the Annual Meeting, you will need to review the information included on the Important Notice Regarding the Availability of Proxy Materials (Notice) card and the instructions in this Proxy Statement.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online meeting will begin promptly at 10:00 A.M. Eastern Daylight Time, on June 16, 2023. We encourage you to access the meeting prior to the start time leaving ample time for the check in process. Please follow the registration instructions as outlined in this Proxy Statement.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have technicians ready to assist you with any technical difficulties you may have accessing the live webcast and listen-only audio. If you encounter any difficulties accessing the live webcast and listen- only audio before or during the Annual Meeting, please call Local 1-888-724-2416 or International +1 781-575-2748. (toll free). Technical support will be available starting at 9:00 A.M. Eastern Daylight Time, on June 16, 2023, and will remain available until thirty minutes after the Annual Meeting has finished. The virtual meeting platform is fully supported across browsers (Edge, Firefox, Chrome, and Safari) and devices (desktops, laptops, tablets, and cell phones) running the most updated version of applicable software and plugins. Participants should ensure that they have a strong and reliable internet connection wherever they intend to participate in the Annual Meeting. Participants should also give themselves sufficient time to log in and ensure that they can hear audio prior to the start of the Annual Meeting.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640"/>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registered shareholder (i.e., you hold your shares through our transfer agent, Computershare), you do not need to register to attend the Annual Meeting virtually on the Internet. Please follow the instructions on the Notice card that you received.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shares through an intermediary, such as a bank, broker or other nominee, you must register in advance to attend the Annual Meeting virtually on the Internet. To register, you must submit proof of your proxy power (legal proxy) reflecting your Supernus holdings along with your name and email address to Computershare. Requests for registration must be labeled as “Legal Proxy” and be received no later than 5:00 P.M. Eastern Daylight Time, on June 9, 2023. You will receive a confirmation of your registration by email after we receive your registration materials. Requests for registration should be directed by email to legalproxy@computershare.com with the email from your bank, broker or nominee, or attach an image of your legal proxy, or you can send your legal proxy by mail to Computershare, Supernus Pharmaceuticals, Inc. Legal Proxy, P.O. Box 43001, Providence, Rhode Island 02940-3001.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QUORUM AND REQUIRED VOTE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of the outstanding shares entitled to vote at the Annual Meeting, present virtually or represented by proxy, shall constitute a quorum. If a broker that is a record holder of Common Stock does not return a signed Proxy, the shares of Common Stock represented by such Proxy will not be considered present at the Annual Meeting and will not be counted toward establishing a quorum. If a broker that is a record holder of Common Stock does return a signed Proxy, but is not authorized to vote on one or more matters, each such vote being a broker non-vote, the shares of Common Stock represented by such Proxy will be considered present at the Annual Meeting for purposes of determining the presence of a quorum.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plurality of the votes cast is required for the election of directors. In the event that neither a “For” nor a “Withhold” is cast for a director, such non-votes will have no impact on the outcome of the election of directors. The rules that determine how your broker can vote your shares state that brokers may not vote your shares on the election of directors in the absence of your specific instructions as to how to vote. You must provide your broker with voting instructions so that your vote will be counted. Broker non-votes will have no effect on the outcome of the election of directors.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affirmative vote of the majority of the votes cast, present in person or by proxy at the meeting, is required for the approval of Proposals 2, 3 and 4. Abstentions will have no effect on the outcome of the vote with respect to Proposals 2, 3 and 4, and broker non-votes will have no effect on the outcome of these proposals.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REVOCABILITY OF PROXY</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stockholder of record, any Proxy given pursuant to this solicitation may be revoked at any time prior to its exercise by notifying the Secretary of Supernus in writing and delivering a duly executed Proxy bearing a later date, or a later-dated online or phone vote or by voting at the virtual Annual Meeting.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you may revoke your proxy by submitting new instructions to your bank, broker or other nominee, or if you have received a proxy from your bank, broker or other nominee giving you the right to vote your shares at the virtual Annual Meeting, by attending and voting at the virtual Annual Meeting.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DISSENTER’S RIGHT OF APPRAISAL</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matters submitted to the stockholders for their approval will not give rise to dissenter’s appraisal rights under Delaware law.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0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PERSONS MAKING THE SOLICITATION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Proxy is being solicited on behalf of the Board of Directors of Supernus. In addition to mailing the Proxy materials, solicitation may be made in person or by telephone or electronic transmission by directors, officers or other employees of Supernus, none of whom will receive any additional compensation in connection with such solicitation. The expense of the solicitation of the Proxies for the Annual Meeting will be borne by us. We will request banks, brokers and other nominees to forward Proxy materials to beneficial owners of stock held by them and will reimburse such banks, brokers and other nominees for their reasonable out-of-pocket expenses in doing so.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SECURITIES AND PRINCIPAL STOCKHOLDERS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regarding the beneficial ownership of our Common Stock as of April 17, 2023 by: (i) any person who, to our knowledge, owns 5% or more of the Common Stock on an as-converted basis, (ii) our named executive officers (NEOs) and our directors and director nominees individually, and (iii) all of our executive officers and directors, as a group. Unless otherwise indicated, the address for each of the stockholders listed in the table below is c/o Supernus Pharmaceuticals, Inc., 9715 Key West Avenue, Rockville, Maryland 20850.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in accordance with the rules and regulations of the United States Securities and Exchange Commission (SEC). In computing the number of shares beneficially owned by a person and the percentage ownership of that person, shares of common stock subject to options held by that person that are currently exercisable or exercisable within sixty (60) days of April 17, 2023, are deemed outstanding. These shares, however, are not deemed outstanding for the purposes of computing the percentage ownership of any other person. Except as indicated in the footnotes to this table and pursuant to applicable community property laws, we believe each stockholder named in the table has sole voting and investment power with respect to the shares set forth opposite that stockholders’ name. </w:t>
      </w:r>
    </w:p>
    <w:tbl>
      <w:tblPr>
        <w:tblW w:w="8812" w:type="dxa"/>
        <w:jc w:val="left"/>
        <w:tblInd w:w="1393" w:type="dxa"/>
        <w:tblCellMar>
          <w:top w:w="0" w:type="dxa"/>
          <w:left w:w="0" w:type="dxa"/>
          <w:bottom w:w="43" w:type="dxa"/>
          <w:right w:w="0" w:type="dxa"/>
        </w:tblCellMar>
      </w:tblPr>
      <w:tblGrid>
        <w:gridCol w:w="4499"/>
        <w:gridCol w:w="109"/>
        <w:gridCol w:w="109"/>
        <w:gridCol w:w="148"/>
        <w:gridCol w:w="148"/>
        <w:gridCol w:w="1447"/>
        <w:gridCol w:w="148"/>
        <w:gridCol w:w="109"/>
        <w:gridCol w:w="109"/>
        <w:gridCol w:w="199"/>
        <w:gridCol w:w="199"/>
        <w:gridCol w:w="1229"/>
        <w:gridCol w:w="203"/>
        <w:gridCol w:w="156"/>
      </w:tblGrid>
      <w:tr>
        <w:trPr/>
        <w:tc>
          <w:tcPr>
            <w:tcW w:w="4499"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and Address of Beneficial Owner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891"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Number of Shares of </w:t>
              <w:br/>
              <w:t xml:space="preserve">Common Stock </w:t>
              <w:br/>
              <w:t xml:space="preserve">Beneficially Owned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830"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Percentage of Shares </w:t>
              <w:br/>
              <w:t xml:space="preserve">of Common Stock </w:t>
              <w:br/>
              <w:t xml:space="preserve">Beneficially Owned </w:t>
            </w:r>
          </w:p>
        </w:tc>
        <w:tc>
          <w:tcPr>
            <w:tcW w:w="156"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4499" w:type="dxa"/>
            <w:tcBorders/>
            <w:shd w:fill="CCEEFF" w:val="clear"/>
            <w:tcMar>
              <w:bottom w:w="0" w:type="dxa"/>
            </w:tcMar>
            <w:vAlign w:val="center"/>
          </w:tcPr>
          <w:p>
            <w:pPr>
              <w:pStyle w:val="TableContents"/>
              <w:spacing w:before="0" w:after="283"/>
              <w:jc w:val="left"/>
              <w:rPr/>
            </w:pPr>
            <w:r>
              <w:rPr>
                <w:spacing w:val="-4"/>
              </w:rPr>
              <w:t>5% Stockholders: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jc w:val="right"/>
              <w:rPr/>
            </w:pPr>
            <w:r>
              <w:rPr/>
              <w:t>​</w:t>
            </w:r>
          </w:p>
        </w:tc>
        <w:tc>
          <w:tcPr>
            <w:tcW w:w="1447" w:type="dxa"/>
            <w:tcBorders/>
            <w:shd w:fill="CCEEFF" w:val="clear"/>
            <w:tcMar>
              <w:bottom w:w="0" w:type="dxa"/>
            </w:tcMar>
            <w:vAlign w:val="center"/>
          </w:tcPr>
          <w:p>
            <w:pPr>
              <w:pStyle w:val="TableContents"/>
              <w:spacing w:before="0" w:after="283"/>
              <w:jc w:val="right"/>
              <w:rPr/>
            </w:pPr>
            <w:r>
              <w:rPr/>
              <w:t>​</w:t>
            </w:r>
          </w:p>
        </w:tc>
        <w:tc>
          <w:tcPr>
            <w:tcW w:w="14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9" w:type="dxa"/>
            <w:tcBorders/>
            <w:shd w:fill="CCEEFF" w:val="clear"/>
            <w:tcMar>
              <w:bottom w:w="0" w:type="dxa"/>
            </w:tcMar>
            <w:vAlign w:val="center"/>
          </w:tcPr>
          <w:p>
            <w:pPr>
              <w:pStyle w:val="TableContents"/>
              <w:spacing w:before="0" w:after="283"/>
              <w:rPr/>
            </w:pPr>
            <w:r>
              <w:rPr/>
              <w:t>​</w:t>
            </w:r>
          </w:p>
        </w:tc>
        <w:tc>
          <w:tcPr>
            <w:tcW w:w="199" w:type="dxa"/>
            <w:tcBorders/>
            <w:shd w:fill="CCEEFF" w:val="clear"/>
            <w:tcMar>
              <w:bottom w:w="0" w:type="dxa"/>
            </w:tcMar>
            <w:vAlign w:val="center"/>
          </w:tcPr>
          <w:p>
            <w:pPr>
              <w:pStyle w:val="TableContents"/>
              <w:spacing w:before="0" w:after="283"/>
              <w:jc w:val="right"/>
              <w:rPr/>
            </w:pPr>
            <w:r>
              <w:rPr/>
              <w:t>​</w:t>
            </w:r>
          </w:p>
        </w:tc>
        <w:tc>
          <w:tcPr>
            <w:tcW w:w="1229" w:type="dxa"/>
            <w:tcBorders/>
            <w:shd w:fill="CCEEFF" w:val="clear"/>
            <w:tcMar>
              <w:bottom w:w="0" w:type="dxa"/>
            </w:tcMar>
            <w:vAlign w:val="center"/>
          </w:tcPr>
          <w:p>
            <w:pPr>
              <w:pStyle w:val="TableContents"/>
              <w:spacing w:before="0" w:after="283"/>
              <w:jc w:val="right"/>
              <w:rPr/>
            </w:pPr>
            <w:r>
              <w:rPr/>
              <w:t>​</w:t>
            </w:r>
          </w:p>
        </w:tc>
        <w:tc>
          <w:tcPr>
            <w:tcW w:w="203"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4499" w:type="dxa"/>
            <w:tcBorders/>
            <w:shd w:fill="auto" w:val="clear"/>
            <w:tcMar>
              <w:bottom w:w="0" w:type="dxa"/>
            </w:tcMar>
            <w:vAlign w:val="center"/>
          </w:tcPr>
          <w:p>
            <w:pPr>
              <w:pStyle w:val="TableContents"/>
              <w:spacing w:before="0" w:after="0"/>
              <w:ind w:left="200" w:right="0" w:hanging="200"/>
              <w:jc w:val="both"/>
              <w:rPr/>
            </w:pPr>
            <w:r>
              <w:rPr>
                <w:spacing w:val="4"/>
              </w:rPr>
              <w:t>BlackRock, Inc. and its affiliates</w:t>
            </w:r>
            <w:r>
              <w:rPr>
                <w:spacing w:val="3"/>
                <w:szCs w:val="13"/>
              </w:rPr>
              <w:t>﻿</w:t>
            </w:r>
            <w:r>
              <w:rPr>
                <w:spacing w:val="3"/>
                <w:sz w:val="13"/>
              </w:rPr>
              <w:t>(1)</w:t>
            </w:r>
            <w:r>
              <w:rPr/>
              <w:t xml:space="preserve"> </w:t>
              <w:br/>
            </w:r>
            <w:r>
              <w:rPr>
                <w:spacing w:val="4"/>
              </w:rPr>
              <w:t xml:space="preserve">55 East 52nd Street </w:t>
              <w:br/>
              <w:t xml:space="preserve">New York, NY 10055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8" w:type="dxa"/>
            <w:tcBorders/>
            <w:shd w:fill="auto" w:val="clear"/>
            <w:tcMar>
              <w:bottom w:w="0" w:type="dxa"/>
            </w:tcMar>
            <w:vAlign w:val="center"/>
          </w:tcPr>
          <w:p>
            <w:pPr>
              <w:pStyle w:val="TableContents"/>
              <w:spacing w:before="0" w:after="283"/>
              <w:rPr/>
            </w:pPr>
            <w:r>
              <w:rPr/>
              <w:t>​</w:t>
            </w:r>
          </w:p>
        </w:tc>
        <w:tc>
          <w:tcPr>
            <w:tcW w:w="148" w:type="dxa"/>
            <w:tcBorders/>
            <w:shd w:fill="auto" w:val="clear"/>
            <w:tcMar>
              <w:bottom w:w="0" w:type="dxa"/>
            </w:tcMar>
            <w:vAlign w:val="center"/>
          </w:tcPr>
          <w:p>
            <w:pPr>
              <w:pStyle w:val="TableContents"/>
              <w:spacing w:before="0" w:after="283"/>
              <w:jc w:val="right"/>
              <w:rPr/>
            </w:pPr>
            <w:r>
              <w:rPr/>
              <w:t>​</w:t>
            </w:r>
          </w:p>
        </w:tc>
        <w:tc>
          <w:tcPr>
            <w:tcW w:w="1447" w:type="dxa"/>
            <w:tcBorders/>
            <w:shd w:fill="auto" w:val="clear"/>
            <w:tcMar>
              <w:bottom w:w="0" w:type="dxa"/>
            </w:tcMar>
            <w:vAlign w:val="center"/>
          </w:tcPr>
          <w:p>
            <w:pPr>
              <w:pStyle w:val="TableContents"/>
              <w:spacing w:before="0" w:after="283"/>
              <w:jc w:val="right"/>
              <w:rPr/>
            </w:pPr>
            <w:r>
              <w:rPr/>
              <w:t>9,604,073</w:t>
            </w:r>
          </w:p>
        </w:tc>
        <w:tc>
          <w:tcPr>
            <w:tcW w:w="14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9" w:type="dxa"/>
            <w:tcBorders/>
            <w:shd w:fill="auto" w:val="clear"/>
            <w:tcMar>
              <w:bottom w:w="0" w:type="dxa"/>
            </w:tcMar>
            <w:vAlign w:val="center"/>
          </w:tcPr>
          <w:p>
            <w:pPr>
              <w:pStyle w:val="TableContents"/>
              <w:spacing w:before="0" w:after="283"/>
              <w:rPr/>
            </w:pPr>
            <w:r>
              <w:rPr/>
              <w:t>​</w:t>
            </w:r>
          </w:p>
        </w:tc>
        <w:tc>
          <w:tcPr>
            <w:tcW w:w="199" w:type="dxa"/>
            <w:tcBorders/>
            <w:shd w:fill="auto" w:val="clear"/>
            <w:tcMar>
              <w:bottom w:w="0" w:type="dxa"/>
            </w:tcMar>
            <w:vAlign w:val="center"/>
          </w:tcPr>
          <w:p>
            <w:pPr>
              <w:pStyle w:val="TableContents"/>
              <w:spacing w:before="0" w:after="283"/>
              <w:jc w:val="right"/>
              <w:rPr/>
            </w:pPr>
            <w:r>
              <w:rPr/>
              <w:t>​</w:t>
            </w:r>
          </w:p>
        </w:tc>
        <w:tc>
          <w:tcPr>
            <w:tcW w:w="1229" w:type="dxa"/>
            <w:tcBorders/>
            <w:shd w:fill="auto" w:val="clear"/>
            <w:tcMar>
              <w:bottom w:w="0" w:type="dxa"/>
            </w:tcMar>
            <w:vAlign w:val="center"/>
          </w:tcPr>
          <w:p>
            <w:pPr>
              <w:pStyle w:val="TableContents"/>
              <w:spacing w:before="0" w:after="283"/>
              <w:jc w:val="right"/>
              <w:rPr/>
            </w:pPr>
            <w:r>
              <w:rPr/>
              <w:t>17.63%</w:t>
            </w:r>
          </w:p>
        </w:tc>
        <w:tc>
          <w:tcPr>
            <w:tcW w:w="203"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4499" w:type="dxa"/>
            <w:tcBorders/>
            <w:shd w:fill="CCEEFF" w:val="clear"/>
            <w:tcMar>
              <w:bottom w:w="0" w:type="dxa"/>
            </w:tcMar>
            <w:vAlign w:val="center"/>
          </w:tcPr>
          <w:p>
            <w:pPr>
              <w:pStyle w:val="TableContents"/>
              <w:spacing w:before="0" w:after="0"/>
              <w:ind w:left="200" w:right="0" w:hanging="200"/>
              <w:jc w:val="both"/>
              <w:rPr/>
            </w:pPr>
            <w:r>
              <w:rPr>
                <w:spacing w:val="4"/>
              </w:rPr>
              <w:t>The Vanguard Group and its affiliates</w:t>
            </w:r>
            <w:r>
              <w:rPr>
                <w:spacing w:val="3"/>
                <w:szCs w:val="13"/>
              </w:rPr>
              <w:t>﻿</w:t>
            </w:r>
            <w:r>
              <w:rPr>
                <w:spacing w:val="3"/>
                <w:sz w:val="13"/>
              </w:rPr>
              <w:t>(2)</w:t>
            </w:r>
            <w:r>
              <w:rPr>
                <w:spacing w:val="4"/>
              </w:rPr>
              <w:t xml:space="preserve"> </w:t>
              <w:br/>
              <w:t xml:space="preserve">100 Vanguard Blvd. </w:t>
              <w:br/>
              <w:t xml:space="preserve">Malvern, PA 19355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jc w:val="right"/>
              <w:rPr/>
            </w:pPr>
            <w:r>
              <w:rPr/>
              <w:t>​</w:t>
            </w:r>
          </w:p>
        </w:tc>
        <w:tc>
          <w:tcPr>
            <w:tcW w:w="1447" w:type="dxa"/>
            <w:tcBorders/>
            <w:shd w:fill="CCEEFF" w:val="clear"/>
            <w:tcMar>
              <w:bottom w:w="0" w:type="dxa"/>
            </w:tcMar>
            <w:vAlign w:val="center"/>
          </w:tcPr>
          <w:p>
            <w:pPr>
              <w:pStyle w:val="TableContents"/>
              <w:spacing w:before="0" w:after="283"/>
              <w:jc w:val="right"/>
              <w:rPr/>
            </w:pPr>
            <w:r>
              <w:rPr/>
              <w:t>5,789,960</w:t>
            </w:r>
          </w:p>
        </w:tc>
        <w:tc>
          <w:tcPr>
            <w:tcW w:w="14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9" w:type="dxa"/>
            <w:tcBorders/>
            <w:shd w:fill="CCEEFF" w:val="clear"/>
            <w:tcMar>
              <w:bottom w:w="0" w:type="dxa"/>
            </w:tcMar>
            <w:vAlign w:val="center"/>
          </w:tcPr>
          <w:p>
            <w:pPr>
              <w:pStyle w:val="TableContents"/>
              <w:spacing w:before="0" w:after="283"/>
              <w:rPr/>
            </w:pPr>
            <w:r>
              <w:rPr/>
              <w:t>​</w:t>
            </w:r>
          </w:p>
        </w:tc>
        <w:tc>
          <w:tcPr>
            <w:tcW w:w="199" w:type="dxa"/>
            <w:tcBorders/>
            <w:shd w:fill="CCEEFF" w:val="clear"/>
            <w:tcMar>
              <w:bottom w:w="0" w:type="dxa"/>
            </w:tcMar>
            <w:vAlign w:val="center"/>
          </w:tcPr>
          <w:p>
            <w:pPr>
              <w:pStyle w:val="TableContents"/>
              <w:spacing w:before="0" w:after="283"/>
              <w:jc w:val="right"/>
              <w:rPr/>
            </w:pPr>
            <w:r>
              <w:rPr/>
              <w:t>​</w:t>
            </w:r>
          </w:p>
        </w:tc>
        <w:tc>
          <w:tcPr>
            <w:tcW w:w="1229" w:type="dxa"/>
            <w:tcBorders/>
            <w:shd w:fill="CCEEFF" w:val="clear"/>
            <w:tcMar>
              <w:bottom w:w="0" w:type="dxa"/>
            </w:tcMar>
            <w:vAlign w:val="center"/>
          </w:tcPr>
          <w:p>
            <w:pPr>
              <w:pStyle w:val="TableContents"/>
              <w:spacing w:before="0" w:after="283"/>
              <w:jc w:val="right"/>
              <w:rPr/>
            </w:pPr>
            <w:r>
              <w:rPr/>
              <w:t>10.63%</w:t>
            </w:r>
          </w:p>
        </w:tc>
        <w:tc>
          <w:tcPr>
            <w:tcW w:w="203"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4499" w:type="dxa"/>
            <w:tcBorders/>
            <w:shd w:fill="auto" w:val="clear"/>
            <w:tcMar>
              <w:bottom w:w="0" w:type="dxa"/>
            </w:tcMar>
            <w:vAlign w:val="center"/>
          </w:tcPr>
          <w:p>
            <w:pPr>
              <w:pStyle w:val="TableContents"/>
              <w:spacing w:before="0" w:after="0"/>
              <w:ind w:left="200" w:right="0" w:hanging="200"/>
              <w:jc w:val="both"/>
              <w:rPr/>
            </w:pPr>
            <w:r>
              <w:rPr>
                <w:spacing w:val="4"/>
              </w:rPr>
              <w:t>Armistice Capital, LLC</w:t>
            </w:r>
            <w:r>
              <w:rPr>
                <w:spacing w:val="3"/>
                <w:szCs w:val="13"/>
              </w:rPr>
              <w:t>﻿</w:t>
            </w:r>
            <w:r>
              <w:rPr>
                <w:spacing w:val="3"/>
                <w:sz w:val="13"/>
              </w:rPr>
              <w:t>(3)</w:t>
            </w:r>
            <w:r>
              <w:rPr>
                <w:spacing w:val="4"/>
              </w:rPr>
              <w:t xml:space="preserve"> </w:t>
              <w:br/>
              <w:t xml:space="preserve">510 Madison Avenue, 7th Floor </w:t>
              <w:br/>
              <w:t xml:space="preserve">New York, NY 10022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8" w:type="dxa"/>
            <w:tcBorders/>
            <w:shd w:fill="auto" w:val="clear"/>
            <w:tcMar>
              <w:bottom w:w="0" w:type="dxa"/>
            </w:tcMar>
            <w:vAlign w:val="center"/>
          </w:tcPr>
          <w:p>
            <w:pPr>
              <w:pStyle w:val="TableContents"/>
              <w:spacing w:before="0" w:after="283"/>
              <w:rPr/>
            </w:pPr>
            <w:r>
              <w:rPr/>
              <w:t>​</w:t>
            </w:r>
          </w:p>
        </w:tc>
        <w:tc>
          <w:tcPr>
            <w:tcW w:w="148" w:type="dxa"/>
            <w:tcBorders/>
            <w:shd w:fill="auto" w:val="clear"/>
            <w:tcMar>
              <w:bottom w:w="0" w:type="dxa"/>
            </w:tcMar>
            <w:vAlign w:val="center"/>
          </w:tcPr>
          <w:p>
            <w:pPr>
              <w:pStyle w:val="TableContents"/>
              <w:spacing w:before="0" w:after="283"/>
              <w:jc w:val="right"/>
              <w:rPr/>
            </w:pPr>
            <w:r>
              <w:rPr/>
              <w:t>​</w:t>
            </w:r>
          </w:p>
        </w:tc>
        <w:tc>
          <w:tcPr>
            <w:tcW w:w="1447" w:type="dxa"/>
            <w:tcBorders/>
            <w:shd w:fill="auto" w:val="clear"/>
            <w:tcMar>
              <w:bottom w:w="0" w:type="dxa"/>
            </w:tcMar>
            <w:vAlign w:val="center"/>
          </w:tcPr>
          <w:p>
            <w:pPr>
              <w:pStyle w:val="TableContents"/>
              <w:spacing w:before="0" w:after="283"/>
              <w:jc w:val="right"/>
              <w:rPr/>
            </w:pPr>
            <w:r>
              <w:rPr/>
              <w:t>4,356,000</w:t>
            </w:r>
          </w:p>
        </w:tc>
        <w:tc>
          <w:tcPr>
            <w:tcW w:w="14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9" w:type="dxa"/>
            <w:tcBorders/>
            <w:shd w:fill="auto" w:val="clear"/>
            <w:tcMar>
              <w:bottom w:w="0" w:type="dxa"/>
            </w:tcMar>
            <w:vAlign w:val="center"/>
          </w:tcPr>
          <w:p>
            <w:pPr>
              <w:pStyle w:val="TableContents"/>
              <w:spacing w:before="0" w:after="283"/>
              <w:rPr/>
            </w:pPr>
            <w:r>
              <w:rPr/>
              <w:t>​</w:t>
            </w:r>
          </w:p>
        </w:tc>
        <w:tc>
          <w:tcPr>
            <w:tcW w:w="199" w:type="dxa"/>
            <w:tcBorders/>
            <w:shd w:fill="auto" w:val="clear"/>
            <w:tcMar>
              <w:bottom w:w="0" w:type="dxa"/>
            </w:tcMar>
            <w:vAlign w:val="center"/>
          </w:tcPr>
          <w:p>
            <w:pPr>
              <w:pStyle w:val="TableContents"/>
              <w:spacing w:before="0" w:after="283"/>
              <w:jc w:val="right"/>
              <w:rPr/>
            </w:pPr>
            <w:r>
              <w:rPr/>
              <w:t>​</w:t>
            </w:r>
          </w:p>
        </w:tc>
        <w:tc>
          <w:tcPr>
            <w:tcW w:w="1229" w:type="dxa"/>
            <w:tcBorders/>
            <w:shd w:fill="auto" w:val="clear"/>
            <w:tcMar>
              <w:bottom w:w="0" w:type="dxa"/>
            </w:tcMar>
            <w:vAlign w:val="center"/>
          </w:tcPr>
          <w:p>
            <w:pPr>
              <w:pStyle w:val="TableContents"/>
              <w:spacing w:before="0" w:after="283"/>
              <w:jc w:val="right"/>
              <w:rPr/>
            </w:pPr>
            <w:r>
              <w:rPr/>
              <w:t>8.00%</w:t>
            </w:r>
          </w:p>
        </w:tc>
        <w:tc>
          <w:tcPr>
            <w:tcW w:w="203"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4499" w:type="dxa"/>
            <w:tcBorders/>
            <w:shd w:fill="CCEEFF" w:val="clear"/>
            <w:tcMar>
              <w:bottom w:w="0" w:type="dxa"/>
            </w:tcMar>
            <w:vAlign w:val="center"/>
          </w:tcPr>
          <w:p>
            <w:pPr>
              <w:pStyle w:val="TableContents"/>
              <w:spacing w:before="0" w:after="283"/>
              <w:jc w:val="left"/>
              <w:rPr/>
            </w:pPr>
            <w:r>
              <w:rPr>
                <w:spacing w:val="-4"/>
              </w:rPr>
              <w:t>Executive Officers and Directors: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jc w:val="right"/>
              <w:rPr/>
            </w:pPr>
            <w:r>
              <w:rPr/>
              <w:t>​</w:t>
            </w:r>
          </w:p>
        </w:tc>
        <w:tc>
          <w:tcPr>
            <w:tcW w:w="1447" w:type="dxa"/>
            <w:tcBorders/>
            <w:shd w:fill="CCEEFF" w:val="clear"/>
            <w:tcMar>
              <w:bottom w:w="0" w:type="dxa"/>
            </w:tcMar>
            <w:vAlign w:val="center"/>
          </w:tcPr>
          <w:p>
            <w:pPr>
              <w:pStyle w:val="TableContents"/>
              <w:spacing w:before="0" w:after="283"/>
              <w:jc w:val="right"/>
              <w:rPr/>
            </w:pPr>
            <w:r>
              <w:rPr/>
              <w:t>​</w:t>
            </w:r>
          </w:p>
        </w:tc>
        <w:tc>
          <w:tcPr>
            <w:tcW w:w="14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9" w:type="dxa"/>
            <w:tcBorders/>
            <w:shd w:fill="CCEEFF" w:val="clear"/>
            <w:tcMar>
              <w:bottom w:w="0" w:type="dxa"/>
            </w:tcMar>
            <w:vAlign w:val="center"/>
          </w:tcPr>
          <w:p>
            <w:pPr>
              <w:pStyle w:val="TableContents"/>
              <w:spacing w:before="0" w:after="283"/>
              <w:rPr/>
            </w:pPr>
            <w:r>
              <w:rPr/>
              <w:t>​</w:t>
            </w:r>
          </w:p>
        </w:tc>
        <w:tc>
          <w:tcPr>
            <w:tcW w:w="199" w:type="dxa"/>
            <w:tcBorders/>
            <w:shd w:fill="CCEEFF" w:val="clear"/>
            <w:tcMar>
              <w:bottom w:w="0" w:type="dxa"/>
            </w:tcMar>
            <w:vAlign w:val="center"/>
          </w:tcPr>
          <w:p>
            <w:pPr>
              <w:pStyle w:val="TableContents"/>
              <w:spacing w:before="0" w:after="283"/>
              <w:jc w:val="right"/>
              <w:rPr/>
            </w:pPr>
            <w:r>
              <w:rPr/>
              <w:t>​</w:t>
            </w:r>
          </w:p>
        </w:tc>
        <w:tc>
          <w:tcPr>
            <w:tcW w:w="1229" w:type="dxa"/>
            <w:tcBorders/>
            <w:shd w:fill="CCEEFF" w:val="clear"/>
            <w:tcMar>
              <w:bottom w:w="0" w:type="dxa"/>
            </w:tcMar>
            <w:vAlign w:val="center"/>
          </w:tcPr>
          <w:p>
            <w:pPr>
              <w:pStyle w:val="TableContents"/>
              <w:spacing w:before="0" w:after="283"/>
              <w:jc w:val="right"/>
              <w:rPr/>
            </w:pPr>
            <w:r>
              <w:rPr/>
              <w:t>​</w:t>
            </w:r>
          </w:p>
        </w:tc>
        <w:tc>
          <w:tcPr>
            <w:tcW w:w="203"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4499" w:type="dxa"/>
            <w:tcBorders/>
            <w:shd w:fill="auto" w:val="clear"/>
            <w:tcMar>
              <w:bottom w:w="0" w:type="dxa"/>
            </w:tcMar>
            <w:vAlign w:val="center"/>
          </w:tcPr>
          <w:p>
            <w:pPr>
              <w:pStyle w:val="TableContents"/>
              <w:spacing w:before="0" w:after="0"/>
              <w:jc w:val="left"/>
              <w:rPr/>
            </w:pPr>
            <w:r>
              <w:rPr>
                <w:spacing w:val="4"/>
              </w:rPr>
              <w:t>Jack A. Khattar</w:t>
            </w:r>
            <w:r>
              <w:rPr>
                <w:spacing w:val="3"/>
                <w:sz w:val="13"/>
              </w:rPr>
              <w:t>+(4)</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8" w:type="dxa"/>
            <w:tcBorders/>
            <w:shd w:fill="auto" w:val="clear"/>
            <w:tcMar>
              <w:bottom w:w="0" w:type="dxa"/>
            </w:tcMar>
            <w:vAlign w:val="center"/>
          </w:tcPr>
          <w:p>
            <w:pPr>
              <w:pStyle w:val="TableContents"/>
              <w:spacing w:before="0" w:after="283"/>
              <w:rPr/>
            </w:pPr>
            <w:r>
              <w:rPr/>
              <w:t>​</w:t>
            </w:r>
          </w:p>
        </w:tc>
        <w:tc>
          <w:tcPr>
            <w:tcW w:w="148" w:type="dxa"/>
            <w:tcBorders/>
            <w:shd w:fill="auto" w:val="clear"/>
            <w:tcMar>
              <w:bottom w:w="0" w:type="dxa"/>
            </w:tcMar>
            <w:vAlign w:val="center"/>
          </w:tcPr>
          <w:p>
            <w:pPr>
              <w:pStyle w:val="TableContents"/>
              <w:spacing w:before="0" w:after="283"/>
              <w:jc w:val="right"/>
              <w:rPr/>
            </w:pPr>
            <w:r>
              <w:rPr/>
              <w:t>​</w:t>
            </w:r>
          </w:p>
        </w:tc>
        <w:tc>
          <w:tcPr>
            <w:tcW w:w="1447" w:type="dxa"/>
            <w:tcBorders/>
            <w:shd w:fill="auto" w:val="clear"/>
            <w:tcMar>
              <w:bottom w:w="0" w:type="dxa"/>
            </w:tcMar>
            <w:vAlign w:val="center"/>
          </w:tcPr>
          <w:p>
            <w:pPr>
              <w:pStyle w:val="TableContents"/>
              <w:spacing w:before="0" w:after="283"/>
              <w:jc w:val="right"/>
              <w:rPr/>
            </w:pPr>
            <w:r>
              <w:rPr/>
              <w:t>3,650,447</w:t>
            </w:r>
          </w:p>
        </w:tc>
        <w:tc>
          <w:tcPr>
            <w:tcW w:w="14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9" w:type="dxa"/>
            <w:tcBorders/>
            <w:shd w:fill="auto" w:val="clear"/>
            <w:tcMar>
              <w:bottom w:w="0" w:type="dxa"/>
            </w:tcMar>
            <w:vAlign w:val="center"/>
          </w:tcPr>
          <w:p>
            <w:pPr>
              <w:pStyle w:val="TableContents"/>
              <w:spacing w:before="0" w:after="283"/>
              <w:rPr/>
            </w:pPr>
            <w:r>
              <w:rPr/>
              <w:t>​</w:t>
            </w:r>
          </w:p>
        </w:tc>
        <w:tc>
          <w:tcPr>
            <w:tcW w:w="199" w:type="dxa"/>
            <w:tcBorders/>
            <w:shd w:fill="auto" w:val="clear"/>
            <w:tcMar>
              <w:bottom w:w="0" w:type="dxa"/>
            </w:tcMar>
            <w:vAlign w:val="center"/>
          </w:tcPr>
          <w:p>
            <w:pPr>
              <w:pStyle w:val="TableContents"/>
              <w:spacing w:before="0" w:after="283"/>
              <w:jc w:val="right"/>
              <w:rPr/>
            </w:pPr>
            <w:r>
              <w:rPr/>
              <w:t>​</w:t>
            </w:r>
          </w:p>
        </w:tc>
        <w:tc>
          <w:tcPr>
            <w:tcW w:w="1229" w:type="dxa"/>
            <w:tcBorders/>
            <w:shd w:fill="auto" w:val="clear"/>
            <w:tcMar>
              <w:bottom w:w="0" w:type="dxa"/>
            </w:tcMar>
            <w:vAlign w:val="center"/>
          </w:tcPr>
          <w:p>
            <w:pPr>
              <w:pStyle w:val="TableContents"/>
              <w:spacing w:before="0" w:after="283"/>
              <w:jc w:val="right"/>
              <w:rPr/>
            </w:pPr>
            <w:r>
              <w:rPr/>
              <w:t>6.49%</w:t>
            </w:r>
          </w:p>
        </w:tc>
        <w:tc>
          <w:tcPr>
            <w:tcW w:w="203"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4499" w:type="dxa"/>
            <w:tcBorders/>
            <w:shd w:fill="CCEEFF" w:val="clear"/>
            <w:tcMar>
              <w:bottom w:w="0" w:type="dxa"/>
            </w:tcMar>
            <w:vAlign w:val="center"/>
          </w:tcPr>
          <w:p>
            <w:pPr>
              <w:pStyle w:val="TableContents"/>
              <w:spacing w:before="0" w:after="0"/>
              <w:jc w:val="left"/>
              <w:rPr/>
            </w:pPr>
            <w:r>
              <w:rPr>
                <w:spacing w:val="4"/>
              </w:rPr>
              <w:t>Timothy C. Dec</w:t>
            </w:r>
            <w:r>
              <w:rPr>
                <w:spacing w:val="3"/>
                <w:sz w:val="13"/>
              </w:rPr>
              <w:t>+</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jc w:val="right"/>
              <w:rPr/>
            </w:pPr>
            <w:r>
              <w:rPr/>
              <w:t>​</w:t>
            </w:r>
          </w:p>
        </w:tc>
        <w:tc>
          <w:tcPr>
            <w:tcW w:w="1447" w:type="dxa"/>
            <w:tcBorders/>
            <w:shd w:fill="CCEEFF" w:val="clear"/>
            <w:tcMar>
              <w:bottom w:w="0" w:type="dxa"/>
            </w:tcMar>
            <w:vAlign w:val="center"/>
          </w:tcPr>
          <w:p>
            <w:pPr>
              <w:pStyle w:val="TableContents"/>
              <w:spacing w:before="0" w:after="283"/>
              <w:jc w:val="right"/>
              <w:rPr/>
            </w:pPr>
            <w:r>
              <w:rPr/>
              <w:t>29,359</w:t>
            </w:r>
          </w:p>
        </w:tc>
        <w:tc>
          <w:tcPr>
            <w:tcW w:w="14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9" w:type="dxa"/>
            <w:tcBorders/>
            <w:shd w:fill="CCEEFF" w:val="clear"/>
            <w:tcMar>
              <w:bottom w:w="0" w:type="dxa"/>
            </w:tcMar>
            <w:vAlign w:val="center"/>
          </w:tcPr>
          <w:p>
            <w:pPr>
              <w:pStyle w:val="TableContents"/>
              <w:spacing w:before="0" w:after="283"/>
              <w:rPr/>
            </w:pPr>
            <w:r>
              <w:rPr/>
              <w:t>​</w:t>
            </w:r>
          </w:p>
        </w:tc>
        <w:tc>
          <w:tcPr>
            <w:tcW w:w="199" w:type="dxa"/>
            <w:tcBorders/>
            <w:shd w:fill="CCEEFF" w:val="clear"/>
            <w:tcMar>
              <w:bottom w:w="0" w:type="dxa"/>
            </w:tcMar>
            <w:vAlign w:val="center"/>
          </w:tcPr>
          <w:p>
            <w:pPr>
              <w:pStyle w:val="TableContents"/>
              <w:spacing w:before="0" w:after="283"/>
              <w:jc w:val="right"/>
              <w:rPr/>
            </w:pPr>
            <w:r>
              <w:rPr/>
              <w:t>​</w:t>
            </w:r>
          </w:p>
        </w:tc>
        <w:tc>
          <w:tcPr>
            <w:tcW w:w="1229" w:type="dxa"/>
            <w:tcBorders/>
            <w:shd w:fill="CCEEFF" w:val="clear"/>
            <w:tcMar>
              <w:bottom w:w="0" w:type="dxa"/>
            </w:tcMar>
            <w:vAlign w:val="center"/>
          </w:tcPr>
          <w:p>
            <w:pPr>
              <w:pStyle w:val="TableContents"/>
              <w:spacing w:before="0" w:after="283"/>
              <w:jc w:val="right"/>
              <w:rPr/>
            </w:pPr>
            <w:r>
              <w:rPr/>
              <w:t>*</w:t>
            </w:r>
          </w:p>
        </w:tc>
        <w:tc>
          <w:tcPr>
            <w:tcW w:w="203"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4499" w:type="dxa"/>
            <w:tcBorders/>
            <w:shd w:fill="auto" w:val="clear"/>
            <w:tcMar>
              <w:bottom w:w="0" w:type="dxa"/>
            </w:tcMar>
            <w:vAlign w:val="center"/>
          </w:tcPr>
          <w:p>
            <w:pPr>
              <w:pStyle w:val="TableContents"/>
              <w:spacing w:before="0" w:after="0"/>
              <w:jc w:val="left"/>
              <w:rPr/>
            </w:pPr>
            <w:r>
              <w:rPr>
                <w:spacing w:val="4"/>
              </w:rPr>
              <w:t>Padmanabh P. Bhatt, Ph.D.</w:t>
            </w:r>
            <w:r>
              <w:rPr>
                <w:spacing w:val="3"/>
                <w:sz w:val="13"/>
              </w:rPr>
              <w:t>+(5)</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8" w:type="dxa"/>
            <w:tcBorders/>
            <w:shd w:fill="auto" w:val="clear"/>
            <w:tcMar>
              <w:bottom w:w="0" w:type="dxa"/>
            </w:tcMar>
            <w:vAlign w:val="center"/>
          </w:tcPr>
          <w:p>
            <w:pPr>
              <w:pStyle w:val="TableContents"/>
              <w:spacing w:before="0" w:after="283"/>
              <w:rPr/>
            </w:pPr>
            <w:r>
              <w:rPr/>
              <w:t>​</w:t>
            </w:r>
          </w:p>
        </w:tc>
        <w:tc>
          <w:tcPr>
            <w:tcW w:w="148" w:type="dxa"/>
            <w:tcBorders/>
            <w:shd w:fill="auto" w:val="clear"/>
            <w:tcMar>
              <w:bottom w:w="0" w:type="dxa"/>
            </w:tcMar>
            <w:vAlign w:val="center"/>
          </w:tcPr>
          <w:p>
            <w:pPr>
              <w:pStyle w:val="TableContents"/>
              <w:spacing w:before="0" w:after="283"/>
              <w:jc w:val="right"/>
              <w:rPr/>
            </w:pPr>
            <w:r>
              <w:rPr/>
              <w:t>​</w:t>
            </w:r>
          </w:p>
        </w:tc>
        <w:tc>
          <w:tcPr>
            <w:tcW w:w="1447" w:type="dxa"/>
            <w:tcBorders/>
            <w:shd w:fill="auto" w:val="clear"/>
            <w:tcMar>
              <w:bottom w:w="0" w:type="dxa"/>
            </w:tcMar>
            <w:vAlign w:val="center"/>
          </w:tcPr>
          <w:p>
            <w:pPr>
              <w:pStyle w:val="TableContents"/>
              <w:spacing w:before="0" w:after="283"/>
              <w:jc w:val="right"/>
              <w:rPr/>
            </w:pPr>
            <w:r>
              <w:rPr/>
              <w:t>193,997</w:t>
            </w:r>
          </w:p>
        </w:tc>
        <w:tc>
          <w:tcPr>
            <w:tcW w:w="14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9" w:type="dxa"/>
            <w:tcBorders/>
            <w:shd w:fill="auto" w:val="clear"/>
            <w:tcMar>
              <w:bottom w:w="0" w:type="dxa"/>
            </w:tcMar>
            <w:vAlign w:val="center"/>
          </w:tcPr>
          <w:p>
            <w:pPr>
              <w:pStyle w:val="TableContents"/>
              <w:spacing w:before="0" w:after="283"/>
              <w:rPr/>
            </w:pPr>
            <w:r>
              <w:rPr/>
              <w:t>​</w:t>
            </w:r>
          </w:p>
        </w:tc>
        <w:tc>
          <w:tcPr>
            <w:tcW w:w="199" w:type="dxa"/>
            <w:tcBorders/>
            <w:shd w:fill="auto" w:val="clear"/>
            <w:tcMar>
              <w:bottom w:w="0" w:type="dxa"/>
            </w:tcMar>
            <w:vAlign w:val="center"/>
          </w:tcPr>
          <w:p>
            <w:pPr>
              <w:pStyle w:val="TableContents"/>
              <w:spacing w:before="0" w:after="283"/>
              <w:jc w:val="right"/>
              <w:rPr/>
            </w:pPr>
            <w:r>
              <w:rPr/>
              <w:t>​</w:t>
            </w:r>
          </w:p>
        </w:tc>
        <w:tc>
          <w:tcPr>
            <w:tcW w:w="1229" w:type="dxa"/>
            <w:tcBorders/>
            <w:shd w:fill="auto" w:val="clear"/>
            <w:tcMar>
              <w:bottom w:w="0" w:type="dxa"/>
            </w:tcMar>
            <w:vAlign w:val="center"/>
          </w:tcPr>
          <w:p>
            <w:pPr>
              <w:pStyle w:val="TableContents"/>
              <w:spacing w:before="0" w:after="283"/>
              <w:jc w:val="right"/>
              <w:rPr/>
            </w:pPr>
            <w:r>
              <w:rPr/>
              <w:t>*</w:t>
            </w:r>
          </w:p>
        </w:tc>
        <w:tc>
          <w:tcPr>
            <w:tcW w:w="203"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4499" w:type="dxa"/>
            <w:tcBorders/>
            <w:shd w:fill="CCEEFF" w:val="clear"/>
            <w:tcMar>
              <w:bottom w:w="0" w:type="dxa"/>
            </w:tcMar>
            <w:vAlign w:val="center"/>
          </w:tcPr>
          <w:p>
            <w:pPr>
              <w:pStyle w:val="TableContents"/>
              <w:spacing w:before="0" w:after="0"/>
              <w:jc w:val="left"/>
              <w:rPr/>
            </w:pPr>
            <w:r>
              <w:rPr>
                <w:spacing w:val="4"/>
              </w:rPr>
              <w:t>Jonathan Rubin, M.D</w:t>
            </w:r>
            <w:r>
              <w:rPr>
                <w:spacing w:val="3"/>
                <w:sz w:val="13"/>
              </w:rPr>
              <w:t>.+(6)</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jc w:val="right"/>
              <w:rPr/>
            </w:pPr>
            <w:r>
              <w:rPr/>
              <w:t>​</w:t>
            </w:r>
          </w:p>
        </w:tc>
        <w:tc>
          <w:tcPr>
            <w:tcW w:w="1447" w:type="dxa"/>
            <w:tcBorders/>
            <w:shd w:fill="CCEEFF" w:val="clear"/>
            <w:tcMar>
              <w:bottom w:w="0" w:type="dxa"/>
            </w:tcMar>
            <w:vAlign w:val="center"/>
          </w:tcPr>
          <w:p>
            <w:pPr>
              <w:pStyle w:val="TableContents"/>
              <w:spacing w:before="0" w:after="283"/>
              <w:jc w:val="right"/>
              <w:rPr/>
            </w:pPr>
            <w:r>
              <w:rPr/>
              <w:t>32,497</w:t>
            </w:r>
          </w:p>
        </w:tc>
        <w:tc>
          <w:tcPr>
            <w:tcW w:w="14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9" w:type="dxa"/>
            <w:tcBorders/>
            <w:shd w:fill="CCEEFF" w:val="clear"/>
            <w:tcMar>
              <w:bottom w:w="0" w:type="dxa"/>
            </w:tcMar>
            <w:vAlign w:val="center"/>
          </w:tcPr>
          <w:p>
            <w:pPr>
              <w:pStyle w:val="TableContents"/>
              <w:spacing w:before="0" w:after="283"/>
              <w:rPr/>
            </w:pPr>
            <w:r>
              <w:rPr/>
              <w:t>​</w:t>
            </w:r>
          </w:p>
        </w:tc>
        <w:tc>
          <w:tcPr>
            <w:tcW w:w="199" w:type="dxa"/>
            <w:tcBorders/>
            <w:shd w:fill="CCEEFF" w:val="clear"/>
            <w:tcMar>
              <w:bottom w:w="0" w:type="dxa"/>
            </w:tcMar>
            <w:vAlign w:val="center"/>
          </w:tcPr>
          <w:p>
            <w:pPr>
              <w:pStyle w:val="TableContents"/>
              <w:spacing w:before="0" w:after="283"/>
              <w:jc w:val="right"/>
              <w:rPr/>
            </w:pPr>
            <w:r>
              <w:rPr/>
              <w:t>​</w:t>
            </w:r>
          </w:p>
        </w:tc>
        <w:tc>
          <w:tcPr>
            <w:tcW w:w="1229" w:type="dxa"/>
            <w:tcBorders/>
            <w:shd w:fill="CCEEFF" w:val="clear"/>
            <w:tcMar>
              <w:bottom w:w="0" w:type="dxa"/>
            </w:tcMar>
            <w:vAlign w:val="center"/>
          </w:tcPr>
          <w:p>
            <w:pPr>
              <w:pStyle w:val="TableContents"/>
              <w:spacing w:before="0" w:after="283"/>
              <w:jc w:val="right"/>
              <w:rPr/>
            </w:pPr>
            <w:r>
              <w:rPr/>
              <w:t>*</w:t>
            </w:r>
          </w:p>
        </w:tc>
        <w:tc>
          <w:tcPr>
            <w:tcW w:w="203"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4499" w:type="dxa"/>
            <w:tcBorders/>
            <w:shd w:fill="auto" w:val="clear"/>
            <w:tcMar>
              <w:bottom w:w="0" w:type="dxa"/>
            </w:tcMar>
            <w:vAlign w:val="center"/>
          </w:tcPr>
          <w:p>
            <w:pPr>
              <w:pStyle w:val="TableContents"/>
              <w:spacing w:before="0" w:after="0"/>
              <w:jc w:val="left"/>
              <w:rPr/>
            </w:pPr>
            <w:r>
              <w:rPr>
                <w:spacing w:val="4"/>
              </w:rPr>
              <w:t>Tami T. Martin, R.N., Esq.</w:t>
            </w:r>
            <w:r>
              <w:rPr>
                <w:spacing w:val="3"/>
                <w:sz w:val="15"/>
              </w:rPr>
              <w:t>(7)</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8" w:type="dxa"/>
            <w:tcBorders/>
            <w:shd w:fill="auto" w:val="clear"/>
            <w:tcMar>
              <w:bottom w:w="0" w:type="dxa"/>
            </w:tcMar>
            <w:vAlign w:val="center"/>
          </w:tcPr>
          <w:p>
            <w:pPr>
              <w:pStyle w:val="TableContents"/>
              <w:spacing w:before="0" w:after="283"/>
              <w:rPr/>
            </w:pPr>
            <w:r>
              <w:rPr/>
              <w:t>​</w:t>
            </w:r>
          </w:p>
        </w:tc>
        <w:tc>
          <w:tcPr>
            <w:tcW w:w="148" w:type="dxa"/>
            <w:tcBorders/>
            <w:shd w:fill="auto" w:val="clear"/>
            <w:tcMar>
              <w:bottom w:w="0" w:type="dxa"/>
            </w:tcMar>
            <w:vAlign w:val="center"/>
          </w:tcPr>
          <w:p>
            <w:pPr>
              <w:pStyle w:val="TableContents"/>
              <w:spacing w:before="0" w:after="283"/>
              <w:jc w:val="right"/>
              <w:rPr/>
            </w:pPr>
            <w:r>
              <w:rPr/>
              <w:t>​</w:t>
            </w:r>
          </w:p>
        </w:tc>
        <w:tc>
          <w:tcPr>
            <w:tcW w:w="1447" w:type="dxa"/>
            <w:tcBorders/>
            <w:shd w:fill="auto" w:val="clear"/>
            <w:tcMar>
              <w:bottom w:w="0" w:type="dxa"/>
            </w:tcMar>
            <w:vAlign w:val="center"/>
          </w:tcPr>
          <w:p>
            <w:pPr>
              <w:pStyle w:val="TableContents"/>
              <w:spacing w:before="0" w:after="283"/>
              <w:jc w:val="right"/>
              <w:rPr/>
            </w:pPr>
            <w:r>
              <w:rPr/>
              <w:t>204,284</w:t>
            </w:r>
          </w:p>
        </w:tc>
        <w:tc>
          <w:tcPr>
            <w:tcW w:w="14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9" w:type="dxa"/>
            <w:tcBorders/>
            <w:shd w:fill="auto" w:val="clear"/>
            <w:tcMar>
              <w:bottom w:w="0" w:type="dxa"/>
            </w:tcMar>
            <w:vAlign w:val="center"/>
          </w:tcPr>
          <w:p>
            <w:pPr>
              <w:pStyle w:val="TableContents"/>
              <w:spacing w:before="0" w:after="283"/>
              <w:rPr/>
            </w:pPr>
            <w:r>
              <w:rPr/>
              <w:t>​</w:t>
            </w:r>
          </w:p>
        </w:tc>
        <w:tc>
          <w:tcPr>
            <w:tcW w:w="199" w:type="dxa"/>
            <w:tcBorders/>
            <w:shd w:fill="auto" w:val="clear"/>
            <w:tcMar>
              <w:bottom w:w="0" w:type="dxa"/>
            </w:tcMar>
            <w:vAlign w:val="center"/>
          </w:tcPr>
          <w:p>
            <w:pPr>
              <w:pStyle w:val="TableContents"/>
              <w:spacing w:before="0" w:after="283"/>
              <w:jc w:val="right"/>
              <w:rPr/>
            </w:pPr>
            <w:r>
              <w:rPr/>
              <w:t>​</w:t>
            </w:r>
          </w:p>
        </w:tc>
        <w:tc>
          <w:tcPr>
            <w:tcW w:w="1229" w:type="dxa"/>
            <w:tcBorders/>
            <w:shd w:fill="auto" w:val="clear"/>
            <w:tcMar>
              <w:bottom w:w="0" w:type="dxa"/>
            </w:tcMar>
            <w:vAlign w:val="center"/>
          </w:tcPr>
          <w:p>
            <w:pPr>
              <w:pStyle w:val="TableContents"/>
              <w:spacing w:before="0" w:after="283"/>
              <w:jc w:val="right"/>
              <w:rPr/>
            </w:pPr>
            <w:r>
              <w:rPr/>
              <w:t>*</w:t>
            </w:r>
          </w:p>
        </w:tc>
        <w:tc>
          <w:tcPr>
            <w:tcW w:w="203"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4499" w:type="dxa"/>
            <w:tcBorders/>
            <w:shd w:fill="CCEEFF" w:val="clear"/>
            <w:tcMar>
              <w:bottom w:w="0" w:type="dxa"/>
            </w:tcMar>
            <w:vAlign w:val="center"/>
          </w:tcPr>
          <w:p>
            <w:pPr>
              <w:pStyle w:val="TableContents"/>
              <w:spacing w:before="0" w:after="0"/>
              <w:jc w:val="left"/>
              <w:rPr/>
            </w:pPr>
            <w:r>
              <w:rPr>
                <w:spacing w:val="4"/>
              </w:rPr>
              <w:t>Frank Mottola</w:t>
            </w:r>
            <w:r>
              <w:rPr>
                <w:spacing w:val="3"/>
                <w:sz w:val="13"/>
              </w:rPr>
              <w:t>+(8)</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jc w:val="right"/>
              <w:rPr/>
            </w:pPr>
            <w:r>
              <w:rPr/>
              <w:t>​</w:t>
            </w:r>
          </w:p>
        </w:tc>
        <w:tc>
          <w:tcPr>
            <w:tcW w:w="1447" w:type="dxa"/>
            <w:tcBorders/>
            <w:shd w:fill="CCEEFF" w:val="clear"/>
            <w:tcMar>
              <w:bottom w:w="0" w:type="dxa"/>
            </w:tcMar>
            <w:vAlign w:val="center"/>
          </w:tcPr>
          <w:p>
            <w:pPr>
              <w:pStyle w:val="TableContents"/>
              <w:spacing w:before="0" w:after="283"/>
              <w:jc w:val="right"/>
              <w:rPr/>
            </w:pPr>
            <w:r>
              <w:rPr/>
              <w:t>103,948</w:t>
            </w:r>
          </w:p>
        </w:tc>
        <w:tc>
          <w:tcPr>
            <w:tcW w:w="14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9" w:type="dxa"/>
            <w:tcBorders/>
            <w:shd w:fill="CCEEFF" w:val="clear"/>
            <w:tcMar>
              <w:bottom w:w="0" w:type="dxa"/>
            </w:tcMar>
            <w:vAlign w:val="center"/>
          </w:tcPr>
          <w:p>
            <w:pPr>
              <w:pStyle w:val="TableContents"/>
              <w:spacing w:before="0" w:after="283"/>
              <w:rPr/>
            </w:pPr>
            <w:r>
              <w:rPr/>
              <w:t>​</w:t>
            </w:r>
          </w:p>
        </w:tc>
        <w:tc>
          <w:tcPr>
            <w:tcW w:w="199" w:type="dxa"/>
            <w:tcBorders/>
            <w:shd w:fill="CCEEFF" w:val="clear"/>
            <w:tcMar>
              <w:bottom w:w="0" w:type="dxa"/>
            </w:tcMar>
            <w:vAlign w:val="center"/>
          </w:tcPr>
          <w:p>
            <w:pPr>
              <w:pStyle w:val="TableContents"/>
              <w:spacing w:before="0" w:after="283"/>
              <w:jc w:val="right"/>
              <w:rPr/>
            </w:pPr>
            <w:r>
              <w:rPr/>
              <w:t>​</w:t>
            </w:r>
          </w:p>
        </w:tc>
        <w:tc>
          <w:tcPr>
            <w:tcW w:w="1229" w:type="dxa"/>
            <w:tcBorders/>
            <w:shd w:fill="CCEEFF" w:val="clear"/>
            <w:tcMar>
              <w:bottom w:w="0" w:type="dxa"/>
            </w:tcMar>
            <w:vAlign w:val="center"/>
          </w:tcPr>
          <w:p>
            <w:pPr>
              <w:pStyle w:val="TableContents"/>
              <w:spacing w:before="0" w:after="283"/>
              <w:jc w:val="right"/>
              <w:rPr/>
            </w:pPr>
            <w:r>
              <w:rPr/>
              <w:t>*</w:t>
            </w:r>
          </w:p>
        </w:tc>
        <w:tc>
          <w:tcPr>
            <w:tcW w:w="203"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4499" w:type="dxa"/>
            <w:tcBorders/>
            <w:shd w:fill="auto" w:val="clear"/>
            <w:tcMar>
              <w:bottom w:w="0" w:type="dxa"/>
            </w:tcMar>
            <w:vAlign w:val="center"/>
          </w:tcPr>
          <w:p>
            <w:pPr>
              <w:pStyle w:val="TableContents"/>
              <w:spacing w:before="0" w:after="0"/>
              <w:jc w:val="left"/>
              <w:rPr/>
            </w:pPr>
            <w:r>
              <w:rPr>
                <w:spacing w:val="4"/>
              </w:rPr>
              <w:t>Carrolee Barlow, M.D., Ph.D.</w:t>
            </w:r>
            <w:r>
              <w:rPr>
                <w:spacing w:val="3"/>
                <w:sz w:val="13"/>
              </w:rPr>
              <w:t>(9)</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8" w:type="dxa"/>
            <w:tcBorders/>
            <w:shd w:fill="auto" w:val="clear"/>
            <w:tcMar>
              <w:bottom w:w="0" w:type="dxa"/>
            </w:tcMar>
            <w:vAlign w:val="center"/>
          </w:tcPr>
          <w:p>
            <w:pPr>
              <w:pStyle w:val="TableContents"/>
              <w:spacing w:before="0" w:after="283"/>
              <w:rPr/>
            </w:pPr>
            <w:r>
              <w:rPr/>
              <w:t>​</w:t>
            </w:r>
          </w:p>
        </w:tc>
        <w:tc>
          <w:tcPr>
            <w:tcW w:w="148" w:type="dxa"/>
            <w:tcBorders/>
            <w:shd w:fill="auto" w:val="clear"/>
            <w:tcMar>
              <w:bottom w:w="0" w:type="dxa"/>
            </w:tcMar>
            <w:vAlign w:val="center"/>
          </w:tcPr>
          <w:p>
            <w:pPr>
              <w:pStyle w:val="TableContents"/>
              <w:spacing w:before="0" w:after="283"/>
              <w:jc w:val="right"/>
              <w:rPr/>
            </w:pPr>
            <w:r>
              <w:rPr/>
              <w:t>​</w:t>
            </w:r>
          </w:p>
        </w:tc>
        <w:tc>
          <w:tcPr>
            <w:tcW w:w="1447" w:type="dxa"/>
            <w:tcBorders/>
            <w:shd w:fill="auto" w:val="clear"/>
            <w:tcMar>
              <w:bottom w:w="0" w:type="dxa"/>
            </w:tcMar>
            <w:vAlign w:val="center"/>
          </w:tcPr>
          <w:p>
            <w:pPr>
              <w:pStyle w:val="TableContents"/>
              <w:spacing w:before="0" w:after="283"/>
              <w:jc w:val="right"/>
              <w:rPr/>
            </w:pPr>
            <w:r>
              <w:rPr/>
              <w:t>59,472</w:t>
            </w:r>
          </w:p>
        </w:tc>
        <w:tc>
          <w:tcPr>
            <w:tcW w:w="14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9" w:type="dxa"/>
            <w:tcBorders/>
            <w:shd w:fill="auto" w:val="clear"/>
            <w:tcMar>
              <w:bottom w:w="0" w:type="dxa"/>
            </w:tcMar>
            <w:vAlign w:val="center"/>
          </w:tcPr>
          <w:p>
            <w:pPr>
              <w:pStyle w:val="TableContents"/>
              <w:spacing w:before="0" w:after="283"/>
              <w:rPr/>
            </w:pPr>
            <w:r>
              <w:rPr/>
              <w:t>​</w:t>
            </w:r>
          </w:p>
        </w:tc>
        <w:tc>
          <w:tcPr>
            <w:tcW w:w="199" w:type="dxa"/>
            <w:tcBorders/>
            <w:shd w:fill="auto" w:val="clear"/>
            <w:tcMar>
              <w:bottom w:w="0" w:type="dxa"/>
            </w:tcMar>
            <w:vAlign w:val="center"/>
          </w:tcPr>
          <w:p>
            <w:pPr>
              <w:pStyle w:val="TableContents"/>
              <w:spacing w:before="0" w:after="283"/>
              <w:jc w:val="right"/>
              <w:rPr/>
            </w:pPr>
            <w:r>
              <w:rPr/>
              <w:t>​</w:t>
            </w:r>
          </w:p>
        </w:tc>
        <w:tc>
          <w:tcPr>
            <w:tcW w:w="1229" w:type="dxa"/>
            <w:tcBorders/>
            <w:shd w:fill="auto" w:val="clear"/>
            <w:tcMar>
              <w:bottom w:w="0" w:type="dxa"/>
            </w:tcMar>
            <w:vAlign w:val="center"/>
          </w:tcPr>
          <w:p>
            <w:pPr>
              <w:pStyle w:val="TableContents"/>
              <w:spacing w:before="0" w:after="283"/>
              <w:jc w:val="right"/>
              <w:rPr/>
            </w:pPr>
            <w:r>
              <w:rPr/>
              <w:t>*</w:t>
            </w:r>
          </w:p>
        </w:tc>
        <w:tc>
          <w:tcPr>
            <w:tcW w:w="203"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4499" w:type="dxa"/>
            <w:tcBorders/>
            <w:shd w:fill="CCEEFF" w:val="clear"/>
            <w:tcMar>
              <w:bottom w:w="0" w:type="dxa"/>
            </w:tcMar>
            <w:vAlign w:val="center"/>
          </w:tcPr>
          <w:p>
            <w:pPr>
              <w:pStyle w:val="TableContents"/>
              <w:spacing w:before="0" w:after="0"/>
              <w:jc w:val="left"/>
              <w:rPr/>
            </w:pPr>
            <w:r>
              <w:rPr>
                <w:spacing w:val="4"/>
              </w:rPr>
              <w:t>Georges Gemayel, Ph.D.</w:t>
            </w:r>
            <w:r>
              <w:rPr>
                <w:spacing w:val="3"/>
                <w:sz w:val="13"/>
              </w:rPr>
              <w:t>(10)</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jc w:val="right"/>
              <w:rPr/>
            </w:pPr>
            <w:r>
              <w:rPr/>
              <w:t>​</w:t>
            </w:r>
          </w:p>
        </w:tc>
        <w:tc>
          <w:tcPr>
            <w:tcW w:w="1447" w:type="dxa"/>
            <w:tcBorders/>
            <w:shd w:fill="CCEEFF" w:val="clear"/>
            <w:tcMar>
              <w:bottom w:w="0" w:type="dxa"/>
            </w:tcMar>
            <w:vAlign w:val="center"/>
          </w:tcPr>
          <w:p>
            <w:pPr>
              <w:pStyle w:val="TableContents"/>
              <w:spacing w:before="0" w:after="283"/>
              <w:jc w:val="right"/>
              <w:rPr/>
            </w:pPr>
            <w:r>
              <w:rPr/>
              <w:t>121,813</w:t>
            </w:r>
          </w:p>
        </w:tc>
        <w:tc>
          <w:tcPr>
            <w:tcW w:w="14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9" w:type="dxa"/>
            <w:tcBorders/>
            <w:shd w:fill="CCEEFF" w:val="clear"/>
            <w:tcMar>
              <w:bottom w:w="0" w:type="dxa"/>
            </w:tcMar>
            <w:vAlign w:val="center"/>
          </w:tcPr>
          <w:p>
            <w:pPr>
              <w:pStyle w:val="TableContents"/>
              <w:spacing w:before="0" w:after="283"/>
              <w:rPr/>
            </w:pPr>
            <w:r>
              <w:rPr/>
              <w:t>​</w:t>
            </w:r>
          </w:p>
        </w:tc>
        <w:tc>
          <w:tcPr>
            <w:tcW w:w="199" w:type="dxa"/>
            <w:tcBorders/>
            <w:shd w:fill="CCEEFF" w:val="clear"/>
            <w:tcMar>
              <w:bottom w:w="0" w:type="dxa"/>
            </w:tcMar>
            <w:vAlign w:val="center"/>
          </w:tcPr>
          <w:p>
            <w:pPr>
              <w:pStyle w:val="TableContents"/>
              <w:spacing w:before="0" w:after="283"/>
              <w:jc w:val="right"/>
              <w:rPr/>
            </w:pPr>
            <w:r>
              <w:rPr/>
              <w:t>​</w:t>
            </w:r>
          </w:p>
        </w:tc>
        <w:tc>
          <w:tcPr>
            <w:tcW w:w="1229" w:type="dxa"/>
            <w:tcBorders/>
            <w:shd w:fill="CCEEFF" w:val="clear"/>
            <w:tcMar>
              <w:bottom w:w="0" w:type="dxa"/>
            </w:tcMar>
            <w:vAlign w:val="center"/>
          </w:tcPr>
          <w:p>
            <w:pPr>
              <w:pStyle w:val="TableContents"/>
              <w:spacing w:before="0" w:after="283"/>
              <w:jc w:val="right"/>
              <w:rPr/>
            </w:pPr>
            <w:r>
              <w:rPr/>
              <w:t>*</w:t>
            </w:r>
          </w:p>
        </w:tc>
        <w:tc>
          <w:tcPr>
            <w:tcW w:w="203"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4499" w:type="dxa"/>
            <w:tcBorders/>
            <w:shd w:fill="auto" w:val="clear"/>
            <w:tcMar>
              <w:bottom w:w="0" w:type="dxa"/>
            </w:tcMar>
            <w:vAlign w:val="center"/>
          </w:tcPr>
          <w:p>
            <w:pPr>
              <w:pStyle w:val="TableContents"/>
              <w:spacing w:before="0" w:after="0"/>
              <w:jc w:val="left"/>
              <w:rPr/>
            </w:pPr>
            <w:r>
              <w:rPr>
                <w:spacing w:val="4"/>
              </w:rPr>
              <w:t>Frederick M. Hudson</w:t>
            </w:r>
            <w:r>
              <w:rPr>
                <w:spacing w:val="3"/>
                <w:sz w:val="13"/>
              </w:rPr>
              <w:t>(11)</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8" w:type="dxa"/>
            <w:tcBorders/>
            <w:shd w:fill="auto" w:val="clear"/>
            <w:tcMar>
              <w:bottom w:w="0" w:type="dxa"/>
            </w:tcMar>
            <w:vAlign w:val="center"/>
          </w:tcPr>
          <w:p>
            <w:pPr>
              <w:pStyle w:val="TableContents"/>
              <w:spacing w:before="0" w:after="283"/>
              <w:rPr/>
            </w:pPr>
            <w:r>
              <w:rPr/>
              <w:t>​</w:t>
            </w:r>
          </w:p>
        </w:tc>
        <w:tc>
          <w:tcPr>
            <w:tcW w:w="148" w:type="dxa"/>
            <w:tcBorders/>
            <w:shd w:fill="auto" w:val="clear"/>
            <w:tcMar>
              <w:bottom w:w="0" w:type="dxa"/>
            </w:tcMar>
            <w:vAlign w:val="center"/>
          </w:tcPr>
          <w:p>
            <w:pPr>
              <w:pStyle w:val="TableContents"/>
              <w:spacing w:before="0" w:after="283"/>
              <w:jc w:val="right"/>
              <w:rPr/>
            </w:pPr>
            <w:r>
              <w:rPr/>
              <w:t>​</w:t>
            </w:r>
          </w:p>
        </w:tc>
        <w:tc>
          <w:tcPr>
            <w:tcW w:w="1447" w:type="dxa"/>
            <w:tcBorders/>
            <w:shd w:fill="auto" w:val="clear"/>
            <w:tcMar>
              <w:bottom w:w="0" w:type="dxa"/>
            </w:tcMar>
            <w:vAlign w:val="center"/>
          </w:tcPr>
          <w:p>
            <w:pPr>
              <w:pStyle w:val="TableContents"/>
              <w:spacing w:before="0" w:after="283"/>
              <w:jc w:val="right"/>
              <w:rPr/>
            </w:pPr>
            <w:r>
              <w:rPr/>
              <w:t>135,822</w:t>
            </w:r>
          </w:p>
        </w:tc>
        <w:tc>
          <w:tcPr>
            <w:tcW w:w="14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9" w:type="dxa"/>
            <w:tcBorders/>
            <w:shd w:fill="auto" w:val="clear"/>
            <w:tcMar>
              <w:bottom w:w="0" w:type="dxa"/>
            </w:tcMar>
            <w:vAlign w:val="center"/>
          </w:tcPr>
          <w:p>
            <w:pPr>
              <w:pStyle w:val="TableContents"/>
              <w:spacing w:before="0" w:after="283"/>
              <w:rPr/>
            </w:pPr>
            <w:r>
              <w:rPr/>
              <w:t>​</w:t>
            </w:r>
          </w:p>
        </w:tc>
        <w:tc>
          <w:tcPr>
            <w:tcW w:w="199" w:type="dxa"/>
            <w:tcBorders/>
            <w:shd w:fill="auto" w:val="clear"/>
            <w:tcMar>
              <w:bottom w:w="0" w:type="dxa"/>
            </w:tcMar>
            <w:vAlign w:val="center"/>
          </w:tcPr>
          <w:p>
            <w:pPr>
              <w:pStyle w:val="TableContents"/>
              <w:spacing w:before="0" w:after="283"/>
              <w:jc w:val="right"/>
              <w:rPr/>
            </w:pPr>
            <w:r>
              <w:rPr/>
              <w:t>​</w:t>
            </w:r>
          </w:p>
        </w:tc>
        <w:tc>
          <w:tcPr>
            <w:tcW w:w="1229" w:type="dxa"/>
            <w:tcBorders/>
            <w:shd w:fill="auto" w:val="clear"/>
            <w:tcMar>
              <w:bottom w:w="0" w:type="dxa"/>
            </w:tcMar>
            <w:vAlign w:val="center"/>
          </w:tcPr>
          <w:p>
            <w:pPr>
              <w:pStyle w:val="TableContents"/>
              <w:spacing w:before="0" w:after="283"/>
              <w:jc w:val="right"/>
              <w:rPr/>
            </w:pPr>
            <w:r>
              <w:rPr/>
              <w:t>*</w:t>
            </w:r>
          </w:p>
        </w:tc>
        <w:tc>
          <w:tcPr>
            <w:tcW w:w="203"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4499" w:type="dxa"/>
            <w:tcBorders/>
            <w:shd w:fill="CCEEFF" w:val="clear"/>
            <w:tcMar>
              <w:bottom w:w="0" w:type="dxa"/>
            </w:tcMar>
            <w:vAlign w:val="center"/>
          </w:tcPr>
          <w:p>
            <w:pPr>
              <w:pStyle w:val="TableContents"/>
              <w:spacing w:before="0" w:after="0"/>
              <w:jc w:val="left"/>
              <w:rPr/>
            </w:pPr>
            <w:r>
              <w:rPr>
                <w:spacing w:val="4"/>
              </w:rPr>
              <w:t>Charles W. Newhall, III</w:t>
            </w:r>
            <w:r>
              <w:rPr>
                <w:spacing w:val="3"/>
                <w:sz w:val="13"/>
              </w:rPr>
              <w:t>(12)</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jc w:val="right"/>
              <w:rPr/>
            </w:pPr>
            <w:r>
              <w:rPr/>
              <w:t>​</w:t>
            </w:r>
          </w:p>
        </w:tc>
        <w:tc>
          <w:tcPr>
            <w:tcW w:w="1447" w:type="dxa"/>
            <w:tcBorders/>
            <w:shd w:fill="CCEEFF" w:val="clear"/>
            <w:tcMar>
              <w:bottom w:w="0" w:type="dxa"/>
            </w:tcMar>
            <w:vAlign w:val="center"/>
          </w:tcPr>
          <w:p>
            <w:pPr>
              <w:pStyle w:val="TableContents"/>
              <w:spacing w:before="0" w:after="283"/>
              <w:jc w:val="right"/>
              <w:rPr/>
            </w:pPr>
            <w:r>
              <w:rPr/>
              <w:t>213,087</w:t>
            </w:r>
          </w:p>
        </w:tc>
        <w:tc>
          <w:tcPr>
            <w:tcW w:w="14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9" w:type="dxa"/>
            <w:tcBorders/>
            <w:shd w:fill="CCEEFF" w:val="clear"/>
            <w:tcMar>
              <w:bottom w:w="0" w:type="dxa"/>
            </w:tcMar>
            <w:vAlign w:val="center"/>
          </w:tcPr>
          <w:p>
            <w:pPr>
              <w:pStyle w:val="TableContents"/>
              <w:spacing w:before="0" w:after="283"/>
              <w:rPr/>
            </w:pPr>
            <w:r>
              <w:rPr/>
              <w:t>​</w:t>
            </w:r>
          </w:p>
        </w:tc>
        <w:tc>
          <w:tcPr>
            <w:tcW w:w="199" w:type="dxa"/>
            <w:tcBorders/>
            <w:shd w:fill="CCEEFF" w:val="clear"/>
            <w:tcMar>
              <w:bottom w:w="0" w:type="dxa"/>
            </w:tcMar>
            <w:vAlign w:val="center"/>
          </w:tcPr>
          <w:p>
            <w:pPr>
              <w:pStyle w:val="TableContents"/>
              <w:spacing w:before="0" w:after="283"/>
              <w:jc w:val="right"/>
              <w:rPr/>
            </w:pPr>
            <w:r>
              <w:rPr/>
              <w:t>​</w:t>
            </w:r>
          </w:p>
        </w:tc>
        <w:tc>
          <w:tcPr>
            <w:tcW w:w="1229" w:type="dxa"/>
            <w:tcBorders/>
            <w:shd w:fill="CCEEFF" w:val="clear"/>
            <w:tcMar>
              <w:bottom w:w="0" w:type="dxa"/>
            </w:tcMar>
            <w:vAlign w:val="center"/>
          </w:tcPr>
          <w:p>
            <w:pPr>
              <w:pStyle w:val="TableContents"/>
              <w:spacing w:before="0" w:after="283"/>
              <w:jc w:val="right"/>
              <w:rPr/>
            </w:pPr>
            <w:r>
              <w:rPr/>
              <w:t>*</w:t>
            </w:r>
          </w:p>
        </w:tc>
        <w:tc>
          <w:tcPr>
            <w:tcW w:w="203"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4499" w:type="dxa"/>
            <w:tcBorders/>
            <w:shd w:fill="auto" w:val="clear"/>
            <w:tcMar>
              <w:bottom w:w="0" w:type="dxa"/>
            </w:tcMar>
            <w:vAlign w:val="center"/>
          </w:tcPr>
          <w:p>
            <w:pPr>
              <w:pStyle w:val="TableContents"/>
              <w:spacing w:before="0" w:after="0"/>
              <w:jc w:val="left"/>
              <w:rPr/>
            </w:pPr>
            <w:r>
              <w:rPr>
                <w:spacing w:val="4"/>
              </w:rPr>
              <w:t>John M. Siebert, Ph.D.</w:t>
            </w:r>
            <w:r>
              <w:rPr>
                <w:spacing w:val="3"/>
                <w:sz w:val="13"/>
              </w:rPr>
              <w:t>(13)</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8" w:type="dxa"/>
            <w:tcBorders/>
            <w:shd w:fill="auto" w:val="clear"/>
            <w:tcMar>
              <w:bottom w:w="0" w:type="dxa"/>
            </w:tcMar>
            <w:vAlign w:val="center"/>
          </w:tcPr>
          <w:p>
            <w:pPr>
              <w:pStyle w:val="TableContents"/>
              <w:spacing w:before="0" w:after="283"/>
              <w:rPr/>
            </w:pPr>
            <w:r>
              <w:rPr/>
              <w:t>​</w:t>
            </w:r>
          </w:p>
        </w:tc>
        <w:tc>
          <w:tcPr>
            <w:tcW w:w="148" w:type="dxa"/>
            <w:tcBorders/>
            <w:shd w:fill="auto" w:val="clear"/>
            <w:tcMar>
              <w:bottom w:w="0" w:type="dxa"/>
            </w:tcMar>
            <w:vAlign w:val="center"/>
          </w:tcPr>
          <w:p>
            <w:pPr>
              <w:pStyle w:val="TableContents"/>
              <w:spacing w:before="0" w:after="283"/>
              <w:jc w:val="right"/>
              <w:rPr/>
            </w:pPr>
            <w:r>
              <w:rPr/>
              <w:t>​</w:t>
            </w:r>
          </w:p>
        </w:tc>
        <w:tc>
          <w:tcPr>
            <w:tcW w:w="1447" w:type="dxa"/>
            <w:tcBorders/>
            <w:shd w:fill="auto" w:val="clear"/>
            <w:tcMar>
              <w:bottom w:w="0" w:type="dxa"/>
            </w:tcMar>
            <w:vAlign w:val="center"/>
          </w:tcPr>
          <w:p>
            <w:pPr>
              <w:pStyle w:val="TableContents"/>
              <w:spacing w:before="0" w:after="283"/>
              <w:jc w:val="right"/>
              <w:rPr/>
            </w:pPr>
            <w:r>
              <w:rPr/>
              <w:t>142,555</w:t>
            </w:r>
          </w:p>
        </w:tc>
        <w:tc>
          <w:tcPr>
            <w:tcW w:w="14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9" w:type="dxa"/>
            <w:tcBorders/>
            <w:shd w:fill="auto" w:val="clear"/>
            <w:tcMar>
              <w:bottom w:w="0" w:type="dxa"/>
            </w:tcMar>
            <w:vAlign w:val="center"/>
          </w:tcPr>
          <w:p>
            <w:pPr>
              <w:pStyle w:val="TableContents"/>
              <w:spacing w:before="0" w:after="283"/>
              <w:rPr/>
            </w:pPr>
            <w:r>
              <w:rPr/>
              <w:t>​</w:t>
            </w:r>
          </w:p>
        </w:tc>
        <w:tc>
          <w:tcPr>
            <w:tcW w:w="199" w:type="dxa"/>
            <w:tcBorders/>
            <w:shd w:fill="auto" w:val="clear"/>
            <w:tcMar>
              <w:bottom w:w="0" w:type="dxa"/>
            </w:tcMar>
            <w:vAlign w:val="center"/>
          </w:tcPr>
          <w:p>
            <w:pPr>
              <w:pStyle w:val="TableContents"/>
              <w:spacing w:before="0" w:after="283"/>
              <w:jc w:val="right"/>
              <w:rPr/>
            </w:pPr>
            <w:r>
              <w:rPr/>
              <w:t>​</w:t>
            </w:r>
          </w:p>
        </w:tc>
        <w:tc>
          <w:tcPr>
            <w:tcW w:w="1229" w:type="dxa"/>
            <w:tcBorders/>
            <w:shd w:fill="auto" w:val="clear"/>
            <w:tcMar>
              <w:bottom w:w="0" w:type="dxa"/>
            </w:tcMar>
            <w:vAlign w:val="center"/>
          </w:tcPr>
          <w:p>
            <w:pPr>
              <w:pStyle w:val="TableContents"/>
              <w:spacing w:before="0" w:after="283"/>
              <w:jc w:val="right"/>
              <w:rPr/>
            </w:pPr>
            <w:r>
              <w:rPr/>
              <w:t>*</w:t>
            </w:r>
          </w:p>
        </w:tc>
        <w:tc>
          <w:tcPr>
            <w:tcW w:w="203"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4499" w:type="dxa"/>
            <w:tcBorders/>
            <w:shd w:fill="CCEEFF" w:val="clear"/>
            <w:tcMar>
              <w:bottom w:w="0" w:type="dxa"/>
            </w:tcMar>
            <w:vAlign w:val="center"/>
          </w:tcPr>
          <w:p>
            <w:pPr>
              <w:pStyle w:val="TableContents"/>
              <w:spacing w:before="0" w:after="0"/>
              <w:jc w:val="left"/>
              <w:rPr>
                <w:spacing w:val="4"/>
              </w:rPr>
            </w:pPr>
            <w:r>
              <w:rPr>
                <w:spacing w:val="4"/>
              </w:rPr>
              <w:t xml:space="preserve">All executive officers and directors as a group (11 persons)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jc w:val="right"/>
              <w:rPr/>
            </w:pPr>
            <w:r>
              <w:rPr/>
              <w:t>​</w:t>
            </w:r>
          </w:p>
        </w:tc>
        <w:tc>
          <w:tcPr>
            <w:tcW w:w="1447" w:type="dxa"/>
            <w:tcBorders/>
            <w:shd w:fill="CCEEFF" w:val="clear"/>
            <w:tcMar>
              <w:bottom w:w="0" w:type="dxa"/>
            </w:tcMar>
            <w:vAlign w:val="center"/>
          </w:tcPr>
          <w:p>
            <w:pPr>
              <w:pStyle w:val="TableContents"/>
              <w:spacing w:before="0" w:after="283"/>
              <w:jc w:val="right"/>
              <w:rPr/>
            </w:pPr>
            <w:r>
              <w:rPr/>
              <w:t>4,887,281</w:t>
            </w:r>
          </w:p>
        </w:tc>
        <w:tc>
          <w:tcPr>
            <w:tcW w:w="14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9" w:type="dxa"/>
            <w:tcBorders/>
            <w:shd w:fill="CCEEFF" w:val="clear"/>
            <w:tcMar>
              <w:bottom w:w="0" w:type="dxa"/>
            </w:tcMar>
            <w:vAlign w:val="center"/>
          </w:tcPr>
          <w:p>
            <w:pPr>
              <w:pStyle w:val="TableContents"/>
              <w:spacing w:before="0" w:after="283"/>
              <w:rPr/>
            </w:pPr>
            <w:r>
              <w:rPr/>
              <w:t>​</w:t>
            </w:r>
          </w:p>
        </w:tc>
        <w:tc>
          <w:tcPr>
            <w:tcW w:w="199" w:type="dxa"/>
            <w:tcBorders/>
            <w:shd w:fill="CCEEFF" w:val="clear"/>
            <w:tcMar>
              <w:bottom w:w="0" w:type="dxa"/>
            </w:tcMar>
            <w:vAlign w:val="center"/>
          </w:tcPr>
          <w:p>
            <w:pPr>
              <w:pStyle w:val="TableContents"/>
              <w:spacing w:before="0" w:after="283"/>
              <w:jc w:val="right"/>
              <w:rPr/>
            </w:pPr>
            <w:r>
              <w:rPr/>
              <w:t>​</w:t>
            </w:r>
          </w:p>
        </w:tc>
        <w:tc>
          <w:tcPr>
            <w:tcW w:w="1229" w:type="dxa"/>
            <w:tcBorders/>
            <w:shd w:fill="CCEEFF" w:val="clear"/>
            <w:tcMar>
              <w:bottom w:w="0" w:type="dxa"/>
            </w:tcMar>
            <w:vAlign w:val="center"/>
          </w:tcPr>
          <w:p>
            <w:pPr>
              <w:pStyle w:val="TableContents"/>
              <w:spacing w:before="0" w:after="283"/>
              <w:jc w:val="right"/>
              <w:rPr/>
            </w:pPr>
            <w:r>
              <w:rPr/>
              <w:t>8.76%</w:t>
            </w:r>
          </w:p>
        </w:tc>
        <w:tc>
          <w:tcPr>
            <w:tcW w:w="203"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Less than one percent. </w:t>
      </w:r>
      <w:r>
        <mc:AlternateContent>
          <mc:Choice Requires="wps">
            <w:drawing>
              <wp:anchor behindDoc="0" distT="101600" distB="0" distL="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largest"/>
                <wp:docPr id="15" name="Frame1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pPr>
                      <w:r>
                        <w:rPr>
                          <w:spacing w:val="4"/>
                        </w:rPr>
                        <w:t>*</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person is a NEO. The NEOs consist of the following: Chief Executive Officer, Jack A. Khattar; Chief Financial Officer, Timothy C. Dec; and the three most highly compensated officers other than the Chief Executive Officer and Chief Financial Officer. </w:t>
      </w:r>
      <w:r>
        <mc:AlternateContent>
          <mc:Choice Requires="wps">
            <w:drawing>
              <wp:anchor behindDoc="0" distT="50800" distB="0" distL="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largest"/>
                <wp:docPr id="16" name="Frame1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is based on information provided in a Schedule 13G filed by BlackRock, Inc. </w:t>
      </w:r>
      <w:r>
        <mc:AlternateContent>
          <mc:Choice Requires="wps">
            <w:drawing>
              <wp:anchor behindDoc="0" distT="50800" distB="0" distL="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largest"/>
                <wp:docPr id="17" name="Frame1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240"/>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the SEC on January 23, 2023. BlackRock, Inc. indirectly holds the shares on behalf of its affiliated investment adviser subsidiaries, consisting of BlackRock Advisors, LLC, Aperio Group, LLC, BlackRock (Netherlands) B.V., BlackRock Fund Advisors, which is the beneficial owner of more than five percent (5%) of the shares of common stock,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BlackRock (Luxembourg) S.A., BlackRock Investment Management (Australia) Limited and BlackRock Fund Managers Ltd. BlackRock, Inc. has sole voting power with respect to 9,360,478 shares and sole dispositive power with respect to 9,604,073 shares. </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is based on information provided in a Schedule 13G filed by The Vanguard Group with the SEC on February 9, 2023. The Vanguard Group has shared voting and dispositive power with respect to 34,447 and 86,114 shares, respectively, and sole dispositive power with respect to 5,703,846 shares. </w:t>
      </w:r>
      <w:r>
        <mc:AlternateContent>
          <mc:Choice Requires="wps">
            <w:drawing>
              <wp:anchor behindDoc="0" distT="50800" distB="0" distL="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largest"/>
                <wp:docPr id="18" name="Frame1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is based on information provided in a Schedule 13G/A filed by Armistice Capital, LLC with the SEC on February 14, 2023. Armistice Capital, LLC and Steven Boyd are the beneficial owners of 4,356,000. Armistice Capital, LLC and Steven Boyd share voting and dispositive power with respect to 4,356,000 shares. </w:t>
      </w:r>
      <w:r>
        <mc:AlternateContent>
          <mc:Choice Requires="wps">
            <w:drawing>
              <wp:anchor behindDoc="0" distT="50800" distB="0" distL="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largest"/>
                <wp:docPr id="19" name="Frame1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1,038,950 shares of common stock held by KBT Trust and 1,778,475 shares of common stock issuable to Mr. Khattar that may be acquired at or within 60 days of April 17, 2023, pursuant to the exercise of outstanding options. </w:t>
      </w:r>
      <w:r>
        <mc:AlternateContent>
          <mc:Choice Requires="wps">
            <w:drawing>
              <wp:anchor behindDoc="0" distT="5080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largest"/>
                <wp:docPr id="20" name="Frame1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189,250 shares of common stock issuable to Dr. Bhatt that may be acquired at or within 60 days of April 17, 2023, pursuant to the exercise of outstanding options. </w:t>
      </w:r>
      <w:r>
        <mc:AlternateContent>
          <mc:Choice Requires="wps">
            <w:drawing>
              <wp:anchor behindDoc="0" distT="5080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largest"/>
                <wp:docPr id="21" name="Frame2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30,000 shares of common stock issuable to Dr. Rubin that may be acquired at or within 60 days of April 17, 2023, pursuant to the exercise of outstanding options. </w:t>
      </w:r>
      <w:r>
        <mc:AlternateContent>
          <mc:Choice Requires="wps">
            <w:drawing>
              <wp:anchor behindDoc="0" distT="5080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largest"/>
                <wp:docPr id="22" name="Frame2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114,250 shares of common stock issuable to Ms. Martin that may be acquired at or within 60 days of April 17, 2023, pursuant to the exercise of outstanding options. </w:t>
      </w:r>
      <w:r>
        <mc:AlternateContent>
          <mc:Choice Requires="wps">
            <w:drawing>
              <wp:anchor behindDoc="0" distT="5080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largest"/>
                <wp:docPr id="23" name="Frame2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99,500 shares of common stock issuable to Mr. Mottola that may be acquired at or within 60 days of April 17, 2023, pursuant to the exercise of outstanding options. </w:t>
      </w:r>
      <w:r>
        <mc:AlternateContent>
          <mc:Choice Requires="wps">
            <w:drawing>
              <wp:anchor behindDoc="0" distT="5080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largest"/>
                <wp:docPr id="24" name="Frame2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46,157 shares of common stock issuable to Dr. Barlow that may be acquired at or within 60 days of April 18, 2021, pursuant to the exercise of outstanding options. </w:t>
      </w:r>
      <w:r>
        <mc:AlternateContent>
          <mc:Choice Requires="wps">
            <w:drawing>
              <wp:anchor behindDoc="0" distT="50800" distB="0" distL="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largest"/>
                <wp:docPr id="25" name="Frame2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108,498 shares of common stock issuable to Dr. Gemayel that may be acquired at or within 60 days of April 17, 2023, pursuant to the exercise of outstanding options. </w:t>
      </w:r>
      <w:r>
        <mc:AlternateContent>
          <mc:Choice Requires="wps">
            <w:drawing>
              <wp:anchor behindDoc="0" distT="50800" distB="0" distL="0" distR="0" simplePos="0" locked="0" layoutInCell="1" allowOverlap="1" relativeHeight="33">
                <wp:simplePos x="0" y="0"/>
                <wp:positionH relativeFrom="column">
                  <wp:align>left</wp:align>
                </wp:positionH>
                <wp:positionV relativeFrom="line">
                  <wp:align>top</wp:align>
                </wp:positionV>
                <wp:extent cx="254000" cy="525780"/>
                <wp:effectExtent l="0" t="0" r="0" b="0"/>
                <wp:wrapSquare wrapText="largest"/>
                <wp:docPr id="26" name="Frame25"/>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100,955 shares of common stock issuable to Mr. Hudson that may be acquired at or within 60 days of April 17, 2023, pursuant to the exercise of outstanding options. </w:t>
      </w:r>
      <w:r>
        <mc:AlternateContent>
          <mc:Choice Requires="wps">
            <w:drawing>
              <wp:anchor behindDoc="0" distT="50800" distB="0" distL="0" distR="0" simplePos="0" locked="0" layoutInCell="1" allowOverlap="1" relativeHeight="34">
                <wp:simplePos x="0" y="0"/>
                <wp:positionH relativeFrom="column">
                  <wp:align>left</wp:align>
                </wp:positionH>
                <wp:positionV relativeFrom="line">
                  <wp:align>top</wp:align>
                </wp:positionV>
                <wp:extent cx="254000" cy="525780"/>
                <wp:effectExtent l="0" t="0" r="0" b="0"/>
                <wp:wrapSquare wrapText="largest"/>
                <wp:docPr id="27" name="Frame26"/>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100,955 shares of common stock issuable to Mr. Newhall that may be acquired at or within 60 days of April 17, 2023, pursuant to the exercise of outstanding options. </w:t>
      </w:r>
      <w:r>
        <mc:AlternateContent>
          <mc:Choice Requires="wps">
            <w:drawing>
              <wp:anchor behindDoc="0" distT="50800" distB="0" distL="0" distR="0" simplePos="0" locked="0" layoutInCell="1" allowOverlap="1" relativeHeight="35">
                <wp:simplePos x="0" y="0"/>
                <wp:positionH relativeFrom="column">
                  <wp:align>left</wp:align>
                </wp:positionH>
                <wp:positionV relativeFrom="line">
                  <wp:align>top</wp:align>
                </wp:positionV>
                <wp:extent cx="254000" cy="525780"/>
                <wp:effectExtent l="0" t="0" r="0" b="0"/>
                <wp:wrapSquare wrapText="largest"/>
                <wp:docPr id="28" name="Frame27"/>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58,498 shares of common stock issuable to Dr. Siebert that may be acquired at or within 60 days of April 17, 2023, pursuant to the exercise of outstanding options. </w:t>
      </w:r>
      <w:r>
        <mc:AlternateContent>
          <mc:Choice Requires="wps">
            <w:drawing>
              <wp:anchor behindDoc="0" distT="50800" distB="0" distL="0" distR="0" simplePos="0" locked="0" layoutInCell="1" allowOverlap="1" relativeHeight="36">
                <wp:simplePos x="0" y="0"/>
                <wp:positionH relativeFrom="column">
                  <wp:align>left</wp:align>
                </wp:positionH>
                <wp:positionV relativeFrom="line">
                  <wp:align>top</wp:align>
                </wp:positionV>
                <wp:extent cx="254000" cy="525780"/>
                <wp:effectExtent l="0" t="0" r="0" b="0"/>
                <wp:wrapSquare wrapText="largest"/>
                <wp:docPr id="29" name="Frame28"/>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2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1 </w:t>
        <w:br/>
        <w:t>ELECTION OF DIRECTORS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2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2012, our stockholders approved the Company’s Amended and Restated Certificate of Incorporation, which divided the Board of Directors into three classes, as nearly equal in number as possible with one class standing for election each year for a three-year term. The term of the Class I directors will expire at the 2025 Annual Meeting of Stockholders, the term of the Class II directors will expire at the 2023 Annual Meeting of Stockholders and the term of the Class III directors will expire at the 2024 Annual Meeting of Stockholders. At each Annual Meeting of Stockholders, the successors of the class of directors whose term expires shall be elected to hold office for a term expiring at the Annual Meeting of Stockholders to be held in the third year following the year of their election, with each director in each such class to hold office until his or her successor is duly elected and qualified.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shall be not fewer than five and not more than 15 members. At our Annual Meeting, two directors are to be elected. The Board of Directors recommends that stockholders elect Frederick M. Hudson and Charles W. Newhall, III to hold office until the 2026 Annual Meeting of Stockholders or until their respective successors have been elected and qualified. This slate of directors, recommended and approved by the Board of Directors, was determined following an assessment by the Board of Directors of the skill set and experience of such persons. Concerning the nominees named below, Messrs. Hudson and Newhall were elected as directors at the Annual Meeting of Stockholders held on June 15, 2020. The persons designated as proxies in the accompanying proxy card intend to vote “FOR” each such nominee, unless a contrary instruction is indicated on the proxy card. If for any reason the nominee should become unavailable for election, the persons designated as proxies in the proxy card may vote the proxy for the election of another person nominated as a substitute by the Board of Directors, if any person is so nominated. We have no reason to believe that the nominees will be unable or unwilling to serve if elected, and the nominees have expressed their intention to serve the entire term for which election is sought. The proxies cannot be voted for a greater number of persons than the number of nominees named, which is two nominees.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below the name, age, service dates and respective position with the Company of each member of our Board of Directors: </w:t>
      </w:r>
    </w:p>
    <w:tbl>
      <w:tblPr>
        <w:tblW w:w="8812" w:type="dxa"/>
        <w:jc w:val="left"/>
        <w:tblInd w:w="1393" w:type="dxa"/>
        <w:tblCellMar>
          <w:top w:w="0" w:type="dxa"/>
          <w:left w:w="0" w:type="dxa"/>
          <w:bottom w:w="50" w:type="dxa"/>
          <w:right w:w="0" w:type="dxa"/>
        </w:tblCellMar>
      </w:tblPr>
      <w:tblGrid>
        <w:gridCol w:w="2725"/>
        <w:gridCol w:w="109"/>
        <w:gridCol w:w="109"/>
        <w:gridCol w:w="109"/>
        <w:gridCol w:w="109"/>
        <w:gridCol w:w="346"/>
        <w:gridCol w:w="109"/>
        <w:gridCol w:w="109"/>
        <w:gridCol w:w="109"/>
        <w:gridCol w:w="142"/>
        <w:gridCol w:w="142"/>
        <w:gridCol w:w="768"/>
        <w:gridCol w:w="142"/>
        <w:gridCol w:w="109"/>
        <w:gridCol w:w="109"/>
        <w:gridCol w:w="3408"/>
        <w:gridCol w:w="158"/>
      </w:tblGrid>
      <w:tr>
        <w:trPr/>
        <w:tc>
          <w:tcPr>
            <w:tcW w:w="2725"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67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Age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194"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Director Since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3408" w:type="dxa"/>
            <w:tcBorders>
              <w:bottom w:val="single" w:sz="2" w:space="0" w:color="000000"/>
            </w:tcBorders>
            <w:shd w:fill="auto" w:val="clear"/>
            <w:vAlign w:val="center"/>
          </w:tcPr>
          <w:p>
            <w:pPr>
              <w:pStyle w:val="TableContents"/>
              <w:spacing w:before="0" w:after="0"/>
              <w:jc w:val="center"/>
              <w:rPr>
                <w:spacing w:val="-3"/>
              </w:rPr>
            </w:pPr>
            <w:r>
              <w:rPr>
                <w:spacing w:val="-3"/>
              </w:rPr>
              <w:t xml:space="preserve">Position </w:t>
            </w:r>
          </w:p>
        </w:tc>
        <w:tc>
          <w:tcPr>
            <w:tcW w:w="158"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725" w:type="dxa"/>
            <w:tcBorders/>
            <w:shd w:fill="CCEEFF" w:val="clear"/>
            <w:tcMar>
              <w:bottom w:w="0" w:type="dxa"/>
            </w:tcMar>
            <w:vAlign w:val="center"/>
          </w:tcPr>
          <w:p>
            <w:pPr>
              <w:pStyle w:val="TableContents"/>
              <w:spacing w:before="0" w:after="283"/>
              <w:jc w:val="left"/>
              <w:rPr/>
            </w:pPr>
            <w:r>
              <w:rPr>
                <w:spacing w:val="4"/>
              </w:rPr>
              <w:t>Class I Directors (Term maturing in 2025)</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2" w:type="dxa"/>
            <w:tcBorders/>
            <w:shd w:fill="CCEEFF" w:val="clear"/>
            <w:tcMar>
              <w:bottom w:w="0" w:type="dxa"/>
            </w:tcMar>
            <w:vAlign w:val="center"/>
          </w:tcPr>
          <w:p>
            <w:pPr>
              <w:pStyle w:val="TableContents"/>
              <w:spacing w:before="0" w:after="283"/>
              <w:rPr/>
            </w:pPr>
            <w:r>
              <w:rPr/>
              <w:t>​</w:t>
            </w:r>
          </w:p>
        </w:tc>
        <w:tc>
          <w:tcPr>
            <w:tcW w:w="142" w:type="dxa"/>
            <w:tcBorders/>
            <w:shd w:fill="CCEEFF" w:val="clear"/>
            <w:tcMar>
              <w:bottom w:w="0" w:type="dxa"/>
            </w:tcMar>
            <w:vAlign w:val="center"/>
          </w:tcPr>
          <w:p>
            <w:pPr>
              <w:pStyle w:val="TableContents"/>
              <w:spacing w:before="0" w:after="283"/>
              <w:jc w:val="right"/>
              <w:rPr/>
            </w:pPr>
            <w:r>
              <w:rPr/>
              <w:t>​</w:t>
            </w:r>
          </w:p>
        </w:tc>
        <w:tc>
          <w:tcPr>
            <w:tcW w:w="768" w:type="dxa"/>
            <w:tcBorders/>
            <w:shd w:fill="CCEEFF" w:val="clear"/>
            <w:tcMar>
              <w:bottom w:w="0" w:type="dxa"/>
            </w:tcMar>
            <w:vAlign w:val="center"/>
          </w:tcPr>
          <w:p>
            <w:pPr>
              <w:pStyle w:val="TableContents"/>
              <w:spacing w:before="0" w:after="283"/>
              <w:jc w:val="right"/>
              <w:rPr/>
            </w:pPr>
            <w:r>
              <w:rPr/>
              <w:t>​</w:t>
            </w:r>
          </w:p>
        </w:tc>
        <w:tc>
          <w:tcPr>
            <w:tcW w:w="14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3408" w:type="dxa"/>
            <w:tcBorders/>
            <w:shd w:fill="CCEEFF" w:val="clear"/>
            <w:tcMar>
              <w:bottom w:w="0" w:type="dxa"/>
            </w:tcMar>
            <w:vAlign w:val="center"/>
          </w:tcPr>
          <w:p>
            <w:pPr>
              <w:pStyle w:val="TableContents"/>
              <w:spacing w:before="0" w:after="283"/>
              <w:jc w:val="left"/>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2725" w:type="dxa"/>
            <w:tcBorders/>
            <w:shd w:fill="auto" w:val="clear"/>
            <w:tcMar>
              <w:bottom w:w="0" w:type="dxa"/>
            </w:tcMar>
            <w:vAlign w:val="center"/>
          </w:tcPr>
          <w:p>
            <w:pPr>
              <w:pStyle w:val="TableContents"/>
              <w:spacing w:before="0" w:after="0"/>
              <w:ind w:left="200" w:right="0" w:hanging="0"/>
              <w:jc w:val="left"/>
              <w:rPr/>
            </w:pPr>
            <w:r>
              <w:rPr>
                <w:spacing w:val="4"/>
              </w:rPr>
              <w:t>Carrolee Barlow, M.D., Ph.D.</w:t>
            </w:r>
            <w:r>
              <w:rPr>
                <w:spacing w:val="3"/>
                <w:sz w:val="13"/>
              </w:rPr>
              <w:t>(1)</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46" w:type="dxa"/>
            <w:tcBorders/>
            <w:shd w:fill="auto" w:val="clear"/>
            <w:tcMar>
              <w:bottom w:w="0" w:type="dxa"/>
            </w:tcMar>
            <w:vAlign w:val="center"/>
          </w:tcPr>
          <w:p>
            <w:pPr>
              <w:pStyle w:val="TableContents"/>
              <w:spacing w:before="0" w:after="283"/>
              <w:jc w:val="right"/>
              <w:rPr/>
            </w:pPr>
            <w:r>
              <w:rPr/>
              <w:t>59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2" w:type="dxa"/>
            <w:tcBorders/>
            <w:shd w:fill="auto" w:val="clear"/>
            <w:tcMar>
              <w:bottom w:w="0" w:type="dxa"/>
            </w:tcMar>
            <w:vAlign w:val="center"/>
          </w:tcPr>
          <w:p>
            <w:pPr>
              <w:pStyle w:val="TableContents"/>
              <w:spacing w:before="0" w:after="283"/>
              <w:rPr/>
            </w:pPr>
            <w:r>
              <w:rPr/>
              <w:t>​</w:t>
            </w:r>
          </w:p>
        </w:tc>
        <w:tc>
          <w:tcPr>
            <w:tcW w:w="142" w:type="dxa"/>
            <w:tcBorders/>
            <w:shd w:fill="auto" w:val="clear"/>
            <w:tcMar>
              <w:bottom w:w="0" w:type="dxa"/>
            </w:tcMar>
            <w:vAlign w:val="center"/>
          </w:tcPr>
          <w:p>
            <w:pPr>
              <w:pStyle w:val="TableContents"/>
              <w:spacing w:before="0" w:after="283"/>
              <w:jc w:val="right"/>
              <w:rPr/>
            </w:pPr>
            <w:r>
              <w:rPr/>
              <w:t>​</w:t>
            </w:r>
          </w:p>
        </w:tc>
        <w:tc>
          <w:tcPr>
            <w:tcW w:w="768" w:type="dxa"/>
            <w:tcBorders/>
            <w:shd w:fill="auto" w:val="clear"/>
            <w:tcMar>
              <w:bottom w:w="0" w:type="dxa"/>
            </w:tcMar>
            <w:vAlign w:val="center"/>
          </w:tcPr>
          <w:p>
            <w:pPr>
              <w:pStyle w:val="TableContents"/>
              <w:spacing w:before="0" w:after="283"/>
              <w:jc w:val="right"/>
              <w:rPr/>
            </w:pPr>
            <w:r>
              <w:rPr/>
              <w:t>2018</w:t>
            </w:r>
          </w:p>
        </w:tc>
        <w:tc>
          <w:tcPr>
            <w:tcW w:w="14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408" w:type="dxa"/>
            <w:tcBorders/>
            <w:shd w:fill="auto" w:val="clear"/>
            <w:tcMar>
              <w:bottom w:w="0" w:type="dxa"/>
            </w:tcMar>
            <w:vAlign w:val="center"/>
          </w:tcPr>
          <w:p>
            <w:pPr>
              <w:pStyle w:val="TableContents"/>
              <w:spacing w:before="0" w:after="283"/>
              <w:jc w:val="left"/>
              <w:rPr>
                <w:spacing w:val="4"/>
              </w:rPr>
            </w:pPr>
            <w:r>
              <w:rPr>
                <w:spacing w:val="4"/>
              </w:rPr>
              <w:t xml:space="preserve">Director </w:t>
            </w:r>
          </w:p>
        </w:tc>
        <w:tc>
          <w:tcPr>
            <w:tcW w:w="158" w:type="dxa"/>
            <w:tcBorders/>
            <w:shd w:fill="auto" w:val="clear"/>
            <w:tcMar>
              <w:bottom w:w="0" w:type="dxa"/>
            </w:tcMar>
            <w:vAlign w:val="center"/>
          </w:tcPr>
          <w:p>
            <w:pPr>
              <w:pStyle w:val="TableContents"/>
              <w:spacing w:before="0" w:after="283"/>
              <w:rPr/>
            </w:pPr>
            <w:r>
              <w:rPr/>
              <w:t>​</w:t>
            </w:r>
          </w:p>
        </w:tc>
      </w:tr>
      <w:tr>
        <w:trPr/>
        <w:tc>
          <w:tcPr>
            <w:tcW w:w="2725" w:type="dxa"/>
            <w:tcBorders/>
            <w:shd w:fill="CCEEFF" w:val="clear"/>
            <w:tcMar>
              <w:bottom w:w="0" w:type="dxa"/>
            </w:tcMar>
            <w:vAlign w:val="center"/>
          </w:tcPr>
          <w:p>
            <w:pPr>
              <w:pStyle w:val="TableContents"/>
              <w:spacing w:before="0" w:after="0"/>
              <w:ind w:left="200" w:right="0" w:hanging="0"/>
              <w:jc w:val="left"/>
              <w:rPr>
                <w:spacing w:val="4"/>
              </w:rPr>
            </w:pPr>
            <w:r>
              <w:rPr>
                <w:spacing w:val="4"/>
              </w:rPr>
              <w:t xml:space="preserve">Jack A. Khattar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46" w:type="dxa"/>
            <w:tcBorders/>
            <w:shd w:fill="CCEEFF" w:val="clear"/>
            <w:tcMar>
              <w:bottom w:w="0" w:type="dxa"/>
            </w:tcMar>
            <w:vAlign w:val="center"/>
          </w:tcPr>
          <w:p>
            <w:pPr>
              <w:pStyle w:val="TableContents"/>
              <w:spacing w:before="0" w:after="283"/>
              <w:jc w:val="right"/>
              <w:rPr/>
            </w:pPr>
            <w:r>
              <w:rPr/>
              <w:t>61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2" w:type="dxa"/>
            <w:tcBorders/>
            <w:shd w:fill="CCEEFF" w:val="clear"/>
            <w:tcMar>
              <w:bottom w:w="0" w:type="dxa"/>
            </w:tcMar>
            <w:vAlign w:val="center"/>
          </w:tcPr>
          <w:p>
            <w:pPr>
              <w:pStyle w:val="TableContents"/>
              <w:spacing w:before="0" w:after="283"/>
              <w:rPr/>
            </w:pPr>
            <w:r>
              <w:rPr/>
              <w:t>​</w:t>
            </w:r>
          </w:p>
        </w:tc>
        <w:tc>
          <w:tcPr>
            <w:tcW w:w="142" w:type="dxa"/>
            <w:tcBorders/>
            <w:shd w:fill="CCEEFF" w:val="clear"/>
            <w:tcMar>
              <w:bottom w:w="0" w:type="dxa"/>
            </w:tcMar>
            <w:vAlign w:val="center"/>
          </w:tcPr>
          <w:p>
            <w:pPr>
              <w:pStyle w:val="TableContents"/>
              <w:spacing w:before="0" w:after="283"/>
              <w:jc w:val="right"/>
              <w:rPr/>
            </w:pPr>
            <w:r>
              <w:rPr/>
              <w:t>​</w:t>
            </w:r>
          </w:p>
        </w:tc>
        <w:tc>
          <w:tcPr>
            <w:tcW w:w="768" w:type="dxa"/>
            <w:tcBorders/>
            <w:shd w:fill="CCEEFF" w:val="clear"/>
            <w:tcMar>
              <w:bottom w:w="0" w:type="dxa"/>
            </w:tcMar>
            <w:vAlign w:val="center"/>
          </w:tcPr>
          <w:p>
            <w:pPr>
              <w:pStyle w:val="TableContents"/>
              <w:spacing w:before="0" w:after="283"/>
              <w:jc w:val="right"/>
              <w:rPr/>
            </w:pPr>
            <w:r>
              <w:rPr/>
              <w:t>2005</w:t>
            </w:r>
          </w:p>
        </w:tc>
        <w:tc>
          <w:tcPr>
            <w:tcW w:w="14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3408" w:type="dxa"/>
            <w:tcBorders/>
            <w:shd w:fill="CCEEFF" w:val="clear"/>
            <w:tcMar>
              <w:bottom w:w="0" w:type="dxa"/>
            </w:tcMar>
            <w:vAlign w:val="center"/>
          </w:tcPr>
          <w:p>
            <w:pPr>
              <w:pStyle w:val="TableContents"/>
              <w:spacing w:before="0" w:after="283"/>
              <w:jc w:val="left"/>
              <w:rPr>
                <w:spacing w:val="4"/>
              </w:rPr>
            </w:pPr>
            <w:r>
              <w:rPr>
                <w:spacing w:val="4"/>
              </w:rPr>
              <w:t xml:space="preserve">President, Chief Executive Officer and Secretary, Director </w:t>
            </w:r>
          </w:p>
        </w:tc>
        <w:tc>
          <w:tcPr>
            <w:tcW w:w="158" w:type="dxa"/>
            <w:tcBorders/>
            <w:shd w:fill="CCEEFF" w:val="clear"/>
            <w:tcMar>
              <w:bottom w:w="0" w:type="dxa"/>
            </w:tcMar>
            <w:vAlign w:val="center"/>
          </w:tcPr>
          <w:p>
            <w:pPr>
              <w:pStyle w:val="TableContents"/>
              <w:spacing w:before="0" w:after="283"/>
              <w:rPr/>
            </w:pPr>
            <w:r>
              <w:rPr/>
              <w:t>​</w:t>
            </w:r>
          </w:p>
        </w:tc>
      </w:tr>
      <w:tr>
        <w:trPr/>
        <w:tc>
          <w:tcPr>
            <w:tcW w:w="2725" w:type="dxa"/>
            <w:tcBorders/>
            <w:shd w:fill="auto" w:val="clear"/>
            <w:tcMar>
              <w:bottom w:w="0" w:type="dxa"/>
            </w:tcMar>
            <w:vAlign w:val="center"/>
          </w:tcPr>
          <w:p>
            <w:pPr>
              <w:pStyle w:val="TableContents"/>
              <w:spacing w:before="0" w:after="283"/>
              <w:jc w:val="left"/>
              <w:rPr/>
            </w:pPr>
            <w:r>
              <w:rPr>
                <w:spacing w:val="4"/>
              </w:rPr>
              <w:t>Class II Directors (Term maturing in 2023):</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2" w:type="dxa"/>
            <w:tcBorders/>
            <w:shd w:fill="auto" w:val="clear"/>
            <w:tcMar>
              <w:bottom w:w="0" w:type="dxa"/>
            </w:tcMar>
            <w:vAlign w:val="center"/>
          </w:tcPr>
          <w:p>
            <w:pPr>
              <w:pStyle w:val="TableContents"/>
              <w:spacing w:before="0" w:after="283"/>
              <w:rPr/>
            </w:pPr>
            <w:r>
              <w:rPr/>
              <w:t>​</w:t>
            </w:r>
          </w:p>
        </w:tc>
        <w:tc>
          <w:tcPr>
            <w:tcW w:w="142" w:type="dxa"/>
            <w:tcBorders/>
            <w:shd w:fill="auto" w:val="clear"/>
            <w:tcMar>
              <w:bottom w:w="0" w:type="dxa"/>
            </w:tcMar>
            <w:vAlign w:val="center"/>
          </w:tcPr>
          <w:p>
            <w:pPr>
              <w:pStyle w:val="TableContents"/>
              <w:spacing w:before="0" w:after="283"/>
              <w:jc w:val="right"/>
              <w:rPr/>
            </w:pPr>
            <w:r>
              <w:rPr/>
              <w:t>​</w:t>
            </w:r>
          </w:p>
        </w:tc>
        <w:tc>
          <w:tcPr>
            <w:tcW w:w="768" w:type="dxa"/>
            <w:tcBorders/>
            <w:shd w:fill="auto" w:val="clear"/>
            <w:tcMar>
              <w:bottom w:w="0" w:type="dxa"/>
            </w:tcMar>
            <w:vAlign w:val="center"/>
          </w:tcPr>
          <w:p>
            <w:pPr>
              <w:pStyle w:val="TableContents"/>
              <w:spacing w:before="0" w:after="283"/>
              <w:jc w:val="right"/>
              <w:rPr/>
            </w:pPr>
            <w:r>
              <w:rPr/>
              <w:t>​</w:t>
            </w:r>
          </w:p>
        </w:tc>
        <w:tc>
          <w:tcPr>
            <w:tcW w:w="14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408" w:type="dxa"/>
            <w:tcBorders/>
            <w:shd w:fill="auto" w:val="clear"/>
            <w:tcMar>
              <w:bottom w:w="0" w:type="dxa"/>
            </w:tcMar>
            <w:vAlign w:val="center"/>
          </w:tcPr>
          <w:p>
            <w:pPr>
              <w:pStyle w:val="TableContents"/>
              <w:spacing w:before="0" w:after="283"/>
              <w:jc w:val="left"/>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2725" w:type="dxa"/>
            <w:tcBorders/>
            <w:shd w:fill="CCEEFF" w:val="clear"/>
            <w:tcMar>
              <w:bottom w:w="0" w:type="dxa"/>
            </w:tcMar>
            <w:vAlign w:val="center"/>
          </w:tcPr>
          <w:p>
            <w:pPr>
              <w:pStyle w:val="TableContents"/>
              <w:spacing w:before="0" w:after="0"/>
              <w:ind w:left="200" w:right="0" w:hanging="0"/>
              <w:jc w:val="left"/>
              <w:rPr/>
            </w:pPr>
            <w:r>
              <w:rPr>
                <w:spacing w:val="4"/>
              </w:rPr>
              <w:t>Frederick M. Hudson</w:t>
            </w:r>
            <w:r>
              <w:rPr>
                <w:spacing w:val="3"/>
                <w:sz w:val="15"/>
              </w:rPr>
              <w:t>(2)</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46" w:type="dxa"/>
            <w:tcBorders/>
            <w:shd w:fill="CCEEFF" w:val="clear"/>
            <w:tcMar>
              <w:bottom w:w="0" w:type="dxa"/>
            </w:tcMar>
            <w:vAlign w:val="center"/>
          </w:tcPr>
          <w:p>
            <w:pPr>
              <w:pStyle w:val="TableContents"/>
              <w:spacing w:before="0" w:after="283"/>
              <w:jc w:val="right"/>
              <w:rPr/>
            </w:pPr>
            <w:r>
              <w:rPr/>
              <w:t>77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2" w:type="dxa"/>
            <w:tcBorders/>
            <w:shd w:fill="CCEEFF" w:val="clear"/>
            <w:tcMar>
              <w:bottom w:w="0" w:type="dxa"/>
            </w:tcMar>
            <w:vAlign w:val="center"/>
          </w:tcPr>
          <w:p>
            <w:pPr>
              <w:pStyle w:val="TableContents"/>
              <w:spacing w:before="0" w:after="283"/>
              <w:rPr/>
            </w:pPr>
            <w:r>
              <w:rPr/>
              <w:t>​</w:t>
            </w:r>
          </w:p>
        </w:tc>
        <w:tc>
          <w:tcPr>
            <w:tcW w:w="142" w:type="dxa"/>
            <w:tcBorders/>
            <w:shd w:fill="CCEEFF" w:val="clear"/>
            <w:tcMar>
              <w:bottom w:w="0" w:type="dxa"/>
            </w:tcMar>
            <w:vAlign w:val="center"/>
          </w:tcPr>
          <w:p>
            <w:pPr>
              <w:pStyle w:val="TableContents"/>
              <w:spacing w:before="0" w:after="283"/>
              <w:jc w:val="right"/>
              <w:rPr/>
            </w:pPr>
            <w:r>
              <w:rPr/>
              <w:t>​</w:t>
            </w:r>
          </w:p>
        </w:tc>
        <w:tc>
          <w:tcPr>
            <w:tcW w:w="768" w:type="dxa"/>
            <w:tcBorders/>
            <w:shd w:fill="CCEEFF" w:val="clear"/>
            <w:tcMar>
              <w:bottom w:w="0" w:type="dxa"/>
            </w:tcMar>
            <w:vAlign w:val="center"/>
          </w:tcPr>
          <w:p>
            <w:pPr>
              <w:pStyle w:val="TableContents"/>
              <w:spacing w:before="0" w:after="283"/>
              <w:jc w:val="right"/>
              <w:rPr/>
            </w:pPr>
            <w:r>
              <w:rPr/>
              <w:t>2010</w:t>
            </w:r>
          </w:p>
        </w:tc>
        <w:tc>
          <w:tcPr>
            <w:tcW w:w="14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3408" w:type="dxa"/>
            <w:tcBorders/>
            <w:shd w:fill="CCEEFF" w:val="clear"/>
            <w:tcMar>
              <w:bottom w:w="0" w:type="dxa"/>
            </w:tcMar>
            <w:vAlign w:val="center"/>
          </w:tcPr>
          <w:p>
            <w:pPr>
              <w:pStyle w:val="TableContents"/>
              <w:spacing w:before="0" w:after="283"/>
              <w:jc w:val="left"/>
              <w:rPr>
                <w:spacing w:val="4"/>
              </w:rPr>
            </w:pPr>
            <w:r>
              <w:rPr>
                <w:spacing w:val="4"/>
              </w:rPr>
              <w:t xml:space="preserve">Director </w:t>
            </w:r>
          </w:p>
        </w:tc>
        <w:tc>
          <w:tcPr>
            <w:tcW w:w="158" w:type="dxa"/>
            <w:tcBorders/>
            <w:shd w:fill="CCEEFF" w:val="clear"/>
            <w:tcMar>
              <w:bottom w:w="0" w:type="dxa"/>
            </w:tcMar>
            <w:vAlign w:val="center"/>
          </w:tcPr>
          <w:p>
            <w:pPr>
              <w:pStyle w:val="TableContents"/>
              <w:spacing w:before="0" w:after="283"/>
              <w:rPr/>
            </w:pPr>
            <w:r>
              <w:rPr/>
              <w:t>​</w:t>
            </w:r>
          </w:p>
        </w:tc>
      </w:tr>
      <w:tr>
        <w:trPr/>
        <w:tc>
          <w:tcPr>
            <w:tcW w:w="2725" w:type="dxa"/>
            <w:tcBorders/>
            <w:shd w:fill="auto" w:val="clear"/>
            <w:tcMar>
              <w:bottom w:w="0" w:type="dxa"/>
            </w:tcMar>
            <w:vAlign w:val="center"/>
          </w:tcPr>
          <w:p>
            <w:pPr>
              <w:pStyle w:val="TableContents"/>
              <w:spacing w:before="0" w:after="0"/>
              <w:ind w:left="200" w:right="0" w:hanging="0"/>
              <w:jc w:val="left"/>
              <w:rPr/>
            </w:pPr>
            <w:r>
              <w:rPr>
                <w:spacing w:val="4"/>
                <w:sz w:val="20"/>
              </w:rPr>
              <w:t>Charles W. Newhall, III</w:t>
            </w:r>
            <w:r>
              <w:rPr>
                <w:spacing w:val="3"/>
                <w:sz w:val="13"/>
              </w:rPr>
              <w:t>(3)(4)</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346" w:type="dxa"/>
            <w:tcBorders/>
            <w:shd w:fill="auto" w:val="clear"/>
            <w:tcMar>
              <w:bottom w:w="0" w:type="dxa"/>
            </w:tcMar>
            <w:vAlign w:val="center"/>
          </w:tcPr>
          <w:p>
            <w:pPr>
              <w:pStyle w:val="TableContents"/>
              <w:spacing w:before="0" w:after="0"/>
              <w:jc w:val="right"/>
              <w:rPr>
                <w:sz w:val="20"/>
              </w:rPr>
            </w:pPr>
            <w:r>
              <w:rPr>
                <w:sz w:val="20"/>
              </w:rPr>
              <w:t>78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2" w:type="dxa"/>
            <w:tcBorders/>
            <w:shd w:fill="auto" w:val="clear"/>
            <w:tcMar>
              <w:bottom w:w="0" w:type="dxa"/>
            </w:tcMar>
            <w:vAlign w:val="center"/>
          </w:tcPr>
          <w:p>
            <w:pPr>
              <w:pStyle w:val="TableContents"/>
              <w:spacing w:before="0" w:after="283"/>
              <w:rPr/>
            </w:pPr>
            <w:r>
              <w:rPr/>
              <w:t>​</w:t>
            </w:r>
          </w:p>
        </w:tc>
        <w:tc>
          <w:tcPr>
            <w:tcW w:w="142" w:type="dxa"/>
            <w:tcBorders/>
            <w:shd w:fill="auto" w:val="clear"/>
            <w:tcMar>
              <w:bottom w:w="0" w:type="dxa"/>
            </w:tcMar>
            <w:vAlign w:val="center"/>
          </w:tcPr>
          <w:p>
            <w:pPr>
              <w:pStyle w:val="TableContents"/>
              <w:spacing w:before="0" w:after="0"/>
              <w:jc w:val="right"/>
              <w:rPr/>
            </w:pPr>
            <w:r>
              <w:rPr/>
              <w:t>​</w:t>
            </w:r>
          </w:p>
        </w:tc>
        <w:tc>
          <w:tcPr>
            <w:tcW w:w="768" w:type="dxa"/>
            <w:tcBorders/>
            <w:shd w:fill="auto" w:val="clear"/>
            <w:tcMar>
              <w:bottom w:w="0" w:type="dxa"/>
            </w:tcMar>
            <w:vAlign w:val="center"/>
          </w:tcPr>
          <w:p>
            <w:pPr>
              <w:pStyle w:val="TableContents"/>
              <w:spacing w:before="0" w:after="0"/>
              <w:jc w:val="right"/>
              <w:rPr>
                <w:sz w:val="20"/>
              </w:rPr>
            </w:pPr>
            <w:r>
              <w:rPr>
                <w:sz w:val="20"/>
              </w:rPr>
              <w:t>2005</w:t>
            </w:r>
          </w:p>
        </w:tc>
        <w:tc>
          <w:tcPr>
            <w:tcW w:w="14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408" w:type="dxa"/>
            <w:tcBorders/>
            <w:shd w:fill="auto" w:val="clear"/>
            <w:tcMar>
              <w:bottom w:w="0" w:type="dxa"/>
            </w:tcMar>
            <w:vAlign w:val="center"/>
          </w:tcPr>
          <w:p>
            <w:pPr>
              <w:pStyle w:val="TableContents"/>
              <w:spacing w:before="0" w:after="0"/>
              <w:jc w:val="left"/>
              <w:rPr>
                <w:spacing w:val="4"/>
                <w:sz w:val="20"/>
              </w:rPr>
            </w:pPr>
            <w:r>
              <w:rPr>
                <w:spacing w:val="4"/>
                <w:sz w:val="20"/>
              </w:rPr>
              <w:t xml:space="preserve">Director </w:t>
            </w:r>
          </w:p>
        </w:tc>
        <w:tc>
          <w:tcPr>
            <w:tcW w:w="158" w:type="dxa"/>
            <w:tcBorders/>
            <w:shd w:fill="auto" w:val="clear"/>
            <w:tcMar>
              <w:bottom w:w="0" w:type="dxa"/>
            </w:tcMar>
            <w:vAlign w:val="center"/>
          </w:tcPr>
          <w:p>
            <w:pPr>
              <w:pStyle w:val="TableContents"/>
              <w:spacing w:before="0" w:after="283"/>
              <w:rPr/>
            </w:pPr>
            <w:r>
              <w:rPr/>
              <w:t>​</w:t>
            </w:r>
          </w:p>
        </w:tc>
      </w:tr>
      <w:tr>
        <w:trPr/>
        <w:tc>
          <w:tcPr>
            <w:tcW w:w="2725" w:type="dxa"/>
            <w:tcBorders/>
            <w:shd w:fill="CCEEFF" w:val="clear"/>
            <w:tcMar>
              <w:bottom w:w="0" w:type="dxa"/>
            </w:tcMar>
            <w:vAlign w:val="center"/>
          </w:tcPr>
          <w:p>
            <w:pPr>
              <w:pStyle w:val="TableContents"/>
              <w:spacing w:before="0" w:after="283"/>
              <w:jc w:val="left"/>
              <w:rPr/>
            </w:pPr>
            <w:r>
              <w:rPr>
                <w:spacing w:val="4"/>
              </w:rPr>
              <w:t>Class III Directors</w:t>
            </w:r>
            <w:r>
              <w:rPr>
                <w:caps w:val="false"/>
                <w:smallCaps w:val="false"/>
                <w:spacing w:val="4"/>
              </w:rPr>
              <w:t xml:space="preserve"> </w:t>
            </w:r>
            <w:r>
              <w:rPr>
                <w:i w:val="false"/>
                <w:caps w:val="false"/>
                <w:smallCaps w:val="false"/>
                <w:spacing w:val="4"/>
              </w:rPr>
              <w:t>(</w:t>
            </w:r>
            <w:r>
              <w:rPr>
                <w:spacing w:val="4"/>
              </w:rPr>
              <w:t>Term maturing in 2024):</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2" w:type="dxa"/>
            <w:tcBorders/>
            <w:shd w:fill="CCEEFF" w:val="clear"/>
            <w:tcMar>
              <w:bottom w:w="0" w:type="dxa"/>
            </w:tcMar>
            <w:vAlign w:val="center"/>
          </w:tcPr>
          <w:p>
            <w:pPr>
              <w:pStyle w:val="TableContents"/>
              <w:spacing w:before="0" w:after="283"/>
              <w:rPr/>
            </w:pPr>
            <w:r>
              <w:rPr/>
              <w:t>​</w:t>
            </w:r>
          </w:p>
        </w:tc>
        <w:tc>
          <w:tcPr>
            <w:tcW w:w="142" w:type="dxa"/>
            <w:tcBorders/>
            <w:shd w:fill="CCEEFF" w:val="clear"/>
            <w:tcMar>
              <w:bottom w:w="0" w:type="dxa"/>
            </w:tcMar>
            <w:vAlign w:val="center"/>
          </w:tcPr>
          <w:p>
            <w:pPr>
              <w:pStyle w:val="TableContents"/>
              <w:spacing w:before="0" w:after="283"/>
              <w:jc w:val="right"/>
              <w:rPr/>
            </w:pPr>
            <w:r>
              <w:rPr/>
              <w:t>​</w:t>
            </w:r>
          </w:p>
        </w:tc>
        <w:tc>
          <w:tcPr>
            <w:tcW w:w="768" w:type="dxa"/>
            <w:tcBorders/>
            <w:shd w:fill="CCEEFF" w:val="clear"/>
            <w:tcMar>
              <w:bottom w:w="0" w:type="dxa"/>
            </w:tcMar>
            <w:vAlign w:val="center"/>
          </w:tcPr>
          <w:p>
            <w:pPr>
              <w:pStyle w:val="TableContents"/>
              <w:spacing w:before="0" w:after="283"/>
              <w:jc w:val="right"/>
              <w:rPr/>
            </w:pPr>
            <w:r>
              <w:rPr/>
              <w:t>​</w:t>
            </w:r>
          </w:p>
        </w:tc>
        <w:tc>
          <w:tcPr>
            <w:tcW w:w="14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3408" w:type="dxa"/>
            <w:tcBorders/>
            <w:shd w:fill="CCEEFF" w:val="clear"/>
            <w:tcMar>
              <w:bottom w:w="0" w:type="dxa"/>
            </w:tcMar>
            <w:vAlign w:val="center"/>
          </w:tcPr>
          <w:p>
            <w:pPr>
              <w:pStyle w:val="TableContents"/>
              <w:spacing w:before="0" w:after="283"/>
              <w:jc w:val="left"/>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2725" w:type="dxa"/>
            <w:tcBorders/>
            <w:shd w:fill="auto" w:val="clear"/>
            <w:tcMar>
              <w:bottom w:w="0" w:type="dxa"/>
            </w:tcMar>
            <w:vAlign w:val="center"/>
          </w:tcPr>
          <w:p>
            <w:pPr>
              <w:pStyle w:val="TableContents"/>
              <w:spacing w:before="0" w:after="0"/>
              <w:ind w:left="200" w:right="0" w:hanging="0"/>
              <w:jc w:val="left"/>
              <w:rPr>
                <w:sz w:val="15"/>
              </w:rPr>
            </w:pPr>
            <w:r>
              <w:rPr>
                <w:spacing w:val="4"/>
                <w:sz w:val="20"/>
              </w:rPr>
              <w:t>Georges Gemayel, Ph.D.</w:t>
            </w:r>
            <w:r>
              <w:rPr>
                <w:spacing w:val="3"/>
                <w:sz w:val="13"/>
              </w:rPr>
              <w:t>(1)(2)(4)</w:t>
            </w:r>
            <w:r>
              <w:rPr>
                <w:sz w:val="15"/>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46" w:type="dxa"/>
            <w:tcBorders/>
            <w:shd w:fill="auto" w:val="clear"/>
            <w:tcMar>
              <w:bottom w:w="0" w:type="dxa"/>
            </w:tcMar>
            <w:vAlign w:val="center"/>
          </w:tcPr>
          <w:p>
            <w:pPr>
              <w:pStyle w:val="TableContents"/>
              <w:spacing w:before="0" w:after="283"/>
              <w:jc w:val="right"/>
              <w:rPr/>
            </w:pPr>
            <w:r>
              <w:rPr/>
              <w:t>63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2" w:type="dxa"/>
            <w:tcBorders/>
            <w:shd w:fill="auto" w:val="clear"/>
            <w:tcMar>
              <w:bottom w:w="0" w:type="dxa"/>
            </w:tcMar>
            <w:vAlign w:val="center"/>
          </w:tcPr>
          <w:p>
            <w:pPr>
              <w:pStyle w:val="TableContents"/>
              <w:spacing w:before="0" w:after="283"/>
              <w:rPr/>
            </w:pPr>
            <w:r>
              <w:rPr/>
              <w:t>​</w:t>
            </w:r>
          </w:p>
        </w:tc>
        <w:tc>
          <w:tcPr>
            <w:tcW w:w="142" w:type="dxa"/>
            <w:tcBorders/>
            <w:shd w:fill="auto" w:val="clear"/>
            <w:tcMar>
              <w:bottom w:w="0" w:type="dxa"/>
            </w:tcMar>
            <w:vAlign w:val="center"/>
          </w:tcPr>
          <w:p>
            <w:pPr>
              <w:pStyle w:val="TableContents"/>
              <w:spacing w:before="0" w:after="283"/>
              <w:jc w:val="right"/>
              <w:rPr/>
            </w:pPr>
            <w:r>
              <w:rPr/>
              <w:t>​</w:t>
            </w:r>
          </w:p>
        </w:tc>
        <w:tc>
          <w:tcPr>
            <w:tcW w:w="768" w:type="dxa"/>
            <w:tcBorders/>
            <w:shd w:fill="auto" w:val="clear"/>
            <w:tcMar>
              <w:bottom w:w="0" w:type="dxa"/>
            </w:tcMar>
            <w:vAlign w:val="center"/>
          </w:tcPr>
          <w:p>
            <w:pPr>
              <w:pStyle w:val="TableContents"/>
              <w:spacing w:before="0" w:after="283"/>
              <w:jc w:val="right"/>
              <w:rPr/>
            </w:pPr>
            <w:r>
              <w:rPr/>
              <w:t>2015</w:t>
            </w:r>
          </w:p>
        </w:tc>
        <w:tc>
          <w:tcPr>
            <w:tcW w:w="14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408" w:type="dxa"/>
            <w:tcBorders/>
            <w:shd w:fill="auto" w:val="clear"/>
            <w:tcMar>
              <w:bottom w:w="0" w:type="dxa"/>
            </w:tcMar>
            <w:vAlign w:val="center"/>
          </w:tcPr>
          <w:p>
            <w:pPr>
              <w:pStyle w:val="TableContents"/>
              <w:spacing w:before="0" w:after="283"/>
              <w:jc w:val="left"/>
              <w:rPr>
                <w:spacing w:val="4"/>
              </w:rPr>
            </w:pPr>
            <w:r>
              <w:rPr>
                <w:spacing w:val="4"/>
              </w:rPr>
              <w:t xml:space="preserve">Director </w:t>
            </w:r>
          </w:p>
        </w:tc>
        <w:tc>
          <w:tcPr>
            <w:tcW w:w="158" w:type="dxa"/>
            <w:tcBorders/>
            <w:shd w:fill="auto" w:val="clear"/>
            <w:tcMar>
              <w:bottom w:w="0" w:type="dxa"/>
            </w:tcMar>
            <w:vAlign w:val="center"/>
          </w:tcPr>
          <w:p>
            <w:pPr>
              <w:pStyle w:val="TableContents"/>
              <w:spacing w:before="0" w:after="283"/>
              <w:rPr/>
            </w:pPr>
            <w:r>
              <w:rPr/>
              <w:t>​</w:t>
            </w:r>
          </w:p>
        </w:tc>
      </w:tr>
      <w:tr>
        <w:trPr/>
        <w:tc>
          <w:tcPr>
            <w:tcW w:w="2725" w:type="dxa"/>
            <w:tcBorders/>
            <w:shd w:fill="CCEEFF" w:val="clear"/>
            <w:tcMar>
              <w:bottom w:w="0" w:type="dxa"/>
            </w:tcMar>
            <w:vAlign w:val="center"/>
          </w:tcPr>
          <w:p>
            <w:pPr>
              <w:pStyle w:val="TableContents"/>
              <w:spacing w:before="0" w:after="0"/>
              <w:ind w:left="200" w:right="0" w:hanging="0"/>
              <w:jc w:val="left"/>
              <w:rPr/>
            </w:pPr>
            <w:r>
              <w:rPr>
                <w:spacing w:val="4"/>
                <w:sz w:val="20"/>
              </w:rPr>
              <w:t>John M. Siebert, Ph.D.</w:t>
            </w:r>
            <w:r>
              <w:rPr>
                <w:spacing w:val="3"/>
                <w:sz w:val="13"/>
              </w:rPr>
              <w:t>(1)(2)(3)</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346" w:type="dxa"/>
            <w:tcBorders/>
            <w:shd w:fill="CCEEFF" w:val="clear"/>
            <w:tcMar>
              <w:bottom w:w="0" w:type="dxa"/>
            </w:tcMar>
            <w:vAlign w:val="center"/>
          </w:tcPr>
          <w:p>
            <w:pPr>
              <w:pStyle w:val="TableContents"/>
              <w:spacing w:before="0" w:after="0"/>
              <w:jc w:val="right"/>
              <w:rPr>
                <w:sz w:val="20"/>
              </w:rPr>
            </w:pPr>
            <w:r>
              <w:rPr>
                <w:sz w:val="20"/>
              </w:rPr>
              <w:t>83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2" w:type="dxa"/>
            <w:tcBorders/>
            <w:shd w:fill="CCEEFF" w:val="clear"/>
            <w:tcMar>
              <w:bottom w:w="0" w:type="dxa"/>
            </w:tcMar>
            <w:vAlign w:val="center"/>
          </w:tcPr>
          <w:p>
            <w:pPr>
              <w:pStyle w:val="TableContents"/>
              <w:spacing w:before="0" w:after="283"/>
              <w:rPr/>
            </w:pPr>
            <w:r>
              <w:rPr/>
              <w:t>​</w:t>
            </w:r>
          </w:p>
        </w:tc>
        <w:tc>
          <w:tcPr>
            <w:tcW w:w="142" w:type="dxa"/>
            <w:tcBorders/>
            <w:shd w:fill="CCEEFF" w:val="clear"/>
            <w:tcMar>
              <w:bottom w:w="0" w:type="dxa"/>
            </w:tcMar>
            <w:vAlign w:val="center"/>
          </w:tcPr>
          <w:p>
            <w:pPr>
              <w:pStyle w:val="TableContents"/>
              <w:spacing w:before="0" w:after="0"/>
              <w:jc w:val="right"/>
              <w:rPr/>
            </w:pPr>
            <w:r>
              <w:rPr/>
              <w:t>​</w:t>
            </w:r>
          </w:p>
        </w:tc>
        <w:tc>
          <w:tcPr>
            <w:tcW w:w="768" w:type="dxa"/>
            <w:tcBorders/>
            <w:shd w:fill="CCEEFF" w:val="clear"/>
            <w:tcMar>
              <w:bottom w:w="0" w:type="dxa"/>
            </w:tcMar>
            <w:vAlign w:val="center"/>
          </w:tcPr>
          <w:p>
            <w:pPr>
              <w:pStyle w:val="TableContents"/>
              <w:spacing w:before="0" w:after="0"/>
              <w:jc w:val="right"/>
              <w:rPr>
                <w:sz w:val="20"/>
              </w:rPr>
            </w:pPr>
            <w:r>
              <w:rPr>
                <w:sz w:val="20"/>
              </w:rPr>
              <w:t>2011</w:t>
            </w:r>
          </w:p>
        </w:tc>
        <w:tc>
          <w:tcPr>
            <w:tcW w:w="14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3408" w:type="dxa"/>
            <w:tcBorders/>
            <w:shd w:fill="CCEEFF" w:val="clear"/>
            <w:tcMar>
              <w:bottom w:w="0" w:type="dxa"/>
            </w:tcMar>
            <w:vAlign w:val="center"/>
          </w:tcPr>
          <w:p>
            <w:pPr>
              <w:pStyle w:val="TableContents"/>
              <w:spacing w:before="0" w:after="0"/>
              <w:jc w:val="left"/>
              <w:rPr>
                <w:sz w:val="20"/>
              </w:rPr>
            </w:pPr>
            <w:r>
              <w:rPr>
                <w:spacing w:val="4"/>
                <w:sz w:val="20"/>
              </w:rPr>
              <w:t>Director</w:t>
            </w:r>
            <w:r>
              <w:rPr>
                <w:sz w:val="20"/>
              </w:rPr>
              <w:t xml:space="preserve"> </w:t>
            </w:r>
          </w:p>
        </w:tc>
        <w:tc>
          <w:tcPr>
            <w:tcW w:w="158"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5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Member of Science Committee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95250" distB="0" distL="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largest"/>
                <wp:docPr id="30" name="Frame2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Audit Committee </w:t>
      </w:r>
      <w:r>
        <mc:AlternateContent>
          <mc:Choice Requires="wps">
            <w:drawing>
              <wp:anchor behindDoc="0" distT="44450" distB="0" distL="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largest"/>
                <wp:docPr id="31" name="Frame3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5pt;mso-wrap-distance-bottom:0pt;margin-top:3.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Compensation Committee </w:t>
      </w:r>
      <w:r>
        <mc:AlternateContent>
          <mc:Choice Requires="wps">
            <w:drawing>
              <wp:anchor behindDoc="0" distT="44450" distB="0" distL="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largest"/>
                <wp:docPr id="32" name="Frame3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Governance and Nominating Committee </w:t>
      </w:r>
      <w:r>
        <mc:AlternateContent>
          <mc:Choice Requires="wps">
            <w:drawing>
              <wp:anchor behindDoc="0" distT="44450" distB="0" distL="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largest"/>
                <wp:docPr id="33" name="Frame3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Biographical Information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brief biography of each nominee for election of director and a discussion of the specific experience, qualifications, attributes or skills that led the Board of Directors to select that director for nomination.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II Nominees With Term of Office Expiring in 2023:</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Frederick M. Hudson</w:t>
      </w:r>
      <w:r>
        <w:rPr>
          <w:rFonts w:ascii="Times New Roman;Times;serif" w:hAnsi="Times New Roman;Times;serif"/>
          <w:b w:val="false"/>
          <w:i w:val="false"/>
          <w:caps w:val="false"/>
          <w:smallCaps w:val="false"/>
          <w:color w:val="000000"/>
          <w:spacing w:val="4"/>
          <w:sz w:val="20"/>
        </w:rPr>
        <w:t xml:space="preserve"> has served as a member of our Board of Directors and chair of the Audit Committee since 2010. Mr. Hudson retired as a partner in the accounting firm of KPMG LLP in 2006 after a 37 year career with the firm. During Mr. Hudson’s career with KPMG, he was the partner in charge of the health care audit practice for the Washington — Baltimore business unit, and held leadership positions for serving the middle market practice and due diligence and mergers and acquisitions services. He was also a leader of the health care audit practice for the Mid-Atlantic area of KPMG, and served as national account lead partner and venture capital liaison partner. Mr. Hudson currently chairs the audit committee of the board of directors of scPharmaceuticals, Inc., a publicly traded pharmaceutical company. From 2014 to 2019, Mr. Hudson was on the board of directors of Aradigm Corporation, a publicly traded specialty pharmaceutical company, and was also chair of the audit committee and a member of several other board committees. He is a director of GBMC Healthcare, Inc. and its affiliate, Greater Baltimore Medical Center, serving as chair of the board from 2019-2022, and previously as chair of the finance committee and audit committee. He was previously on the board of directors and the audit committee chair of Educate, Inc., Woodhaven Holding Corp., Vicor Technologies, Inc., and Paradigm Management Services LLC; and as a member of the board of directors and the compliance committee of Maxim Healthcare Services, Inc. Mr. Hudson received a B.S. in Accounting from Loyola University Maryland and is a Certified Public Accountant (retired). Mr. Hudson’s extensive accounting and health care audit experience qualify him to serve as a director.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Charles W. Newhall, III</w:t>
      </w:r>
      <w:r>
        <w:rPr>
          <w:rFonts w:ascii="Times New Roman;Times;serif" w:hAnsi="Times New Roman;Times;serif"/>
          <w:b w:val="false"/>
          <w:i w:val="false"/>
          <w:caps w:val="false"/>
          <w:smallCaps w:val="false"/>
          <w:color w:val="000000"/>
          <w:spacing w:val="4"/>
          <w:sz w:val="20"/>
        </w:rPr>
        <w:t xml:space="preserve"> has served as a member of our Board of Directors since 2005 and was elected to serve as Chairman of the Board in August 2016. In 1977, Mr. Newhall co-founded NEA, a venture capital firm that focuses on the medical and life sciences and information technology industries, from which he retired effective December 31, 2012. To date, Mr. Newhall has served as a director of over approximately 60 venture-backed companies. In 1986, he founded the Mid-Atlantic Venture Capital Association (MAVA), which now has over 500 venture capital firms that are members, and is one of the most active regional venture associations in the country. He is Chairman Emeritus of MAVA. He has served as an advisor to Greenspring Associates since 2012. Before NEA, Mr. Newhall was a Vice President of T. Rowe Price. He served in Vietnam commanding an independent platoon including an initial reconnaissance of Hamburger Hill. His decorations include the Silver Star, Bronze Star V (1st OLC) and the Purple Heart. He earned an Honors Degree in English from the University of Pennsylvania and an MBA from Harvard Business School. Mr. Newhall’s substantial experience with companies in the healthcare sector and his venture capital, financial and business experience qualify him to serve as a director. </w:t>
      </w:r>
    </w:p>
    <w:p>
      <w:pPr>
        <w:pStyle w:val="TextBody"/>
        <w:spacing w:lineRule="atLeast" w:line="240" w:before="160" w:after="283"/>
        <w:ind w:left="1393" w:right="0" w:firstLine="40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recommends a vote “FOR” the election of the Class II nominees to the Board of Directors named above.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III Directors Continuing for Term of Office Expiring in 2024:</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Georges Gemayel, Ph.D.</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has served as a member of our Board of Directors since 2015. From February 2011 to December 2012, Dr. Gemayel served as Executive Chairman of Syndexa Pharmaceuticals Corp., a privately held drug development company. Prior to that, in 2010, Dr. Gemayel served as Executive Chairman of FoldRx until its acquisition by Pfizer. From June 2008 until November 2009, Dr. Gemayel served as President and Chief Executive Officer of Altus Pharmaceuticals, a publicly traded pharmaceutical company. From 2003 to 2008, he was Executive Vice President at Genzyme Corporation where he was responsible for Genzyme’s global therapeutics, transplant, renal and biosurgery businesses. From 2000 to 2003, Dr. Gemayel was employed as Vice President National Specialty Care for Hoffmann La-Roche, responsible for its U.S. business for dermatology, oncology, transplantation, hepatitis and HIV. Dr. Gemayel joined Hoffmann-La Roche in 1988 and served in various positions of increasing responsibility over his tenure there. Dr. Gemayel received his doctorate in pharmacy from St. Joseph University in Beirut, Lebanon and his Ph.D. in Pharmacology from Paris-Sud University in Paris. France. Dr. Gemayel currently serves as Chairman of the board of directors of Enterome Bioscience SA, and GlycoEra AG all privately held companies, as well as serving as a director of Disc Medicine Inc., a publicly traded company, and of Flamingo Therapeutics, a privately held company. He was previously a director of Adolor Corporation, a publicly traded company, acquired by Cubist Pharmaceuticals. Inc., a director at Prosensa, acquired by Biomarin, a director at NPS, acquired by Shire, a director of Epitherapeutics, acquired by Gilead, a director of Raptor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Pharmaceutical Corp., acquired by Horizon Pharma plc, the Chairman of Dimension Therapeutics, acquired by Ultragenyx, a director of Momenta Pharmaceuticals, a publicly traded company acquired by Johnson and Johnson, the Chairman of Gemini Therapeutics, which merged with Disc Medicine Inc., the Chairman of Dynacure, which merged with Flamingo Therapeutics, and the Chairman of Vascular Magnetics and Oxthera AB, both privately owned companies. Dr. Gemayel’s substantial experience on the boards of directors of life science and healthcare companies and his over 25 years of experience in the pharmaceutical industry, including management and executive positions spanning the United States, Europe and the Middle East, qualify him to serve as a director.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John M. Siebert, Ph.D.</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has served as a member of our Board of Directors since 2011. Dr. Siebert is currently a member of the board of directors of Riverside Pharmaceuticals, a private company. From February 2018 to July 2020, Dr. Siebert was Acting Principal Executive Officer of Aradigm Corporation, a publicly traded respiratory pharmaceuticals development company. From November 2006 to February 2018, Dr. Siebert was a member of the board of directors of Aradigm Corporation and was Chairman of the board of directors from June 2017 to February 2018. From May 2014 to November 2015, Dr. Siebert was Chief Executive Officer of Chase Pharmaceuticals, a company conducting clinical trials in Alzheimer’s disease. From 2010 to 2014, he was a Partner and Chief Operating Officer of New Rhein Healthcare Investors, LLC, a private equity group. From 2008 to 2010, Dr. Siebert was the founder and CEO of Compan Pharmaceuticals, a companion animal pharmaceutical company developing a drug to treat transitional cell cancer. From May 2003 to October 2008, Dr. Siebert was the Chairman and Chief Executive Officer of CyDex, Inc., a privately held specialty pharmaceutical company. From September 1995 to April 2003, he was President and Chief Executive Officer of CIMA Labs Inc., a publicly traded specialty pharmaceutical company, and from July 1995 to September 1995 he was President and Chief Operating Officer of CIMA Labs. From 1992 to 1995, Dr. Siebert was Vice President, Technical Affairs at Dey Laboratories, Inc., a privately held pharmaceutical company. From 1988 to 1992, he headed R&amp;D and Quality Control at a division of Bayer Corporation. Prior to that, Dr. Siebert was employed by E.R. Squibb &amp; Sons, Inc., G.D. Searle &amp; Co., Gillette and The Procter &amp; Gamble Company. Dr. Siebert holds a B.S. in Chemistry from Illinois Benedictine University, an M.S. in Organic Chemistry from Wichita State University and a Ph.D. in Organic Chemistry from the University of Missouri. Dr. Siebert’s substantial operational and business experience with companies in the healthcare sector, combined with his scientific experience, qualify him to serve as a director.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I Directors Continuing for Term of Office Expiring in 2025:</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Carrolee Barlow, M.D., Ph.D.</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has served as a member of our Board of Directors since 2018. Dr. Barlow is a renowned expert in neuroscience and neurodegeneration, rare diseases and clinical development of new therapies, and most recently served as the Chief Medical Officer of EScape Bio from 2019 to 2022, a position she has held since January 2019. Prior to EScape, Dr. Barlow served as Chief Executive Officer of the Parkinson’s Institute and Clinical Center (Parkinson’s Institute), an independent nonprofit organization providing research, clinical trials and patient care for Parkinson’s and related disorders. There, she led all aspects of basic research, clinical research, and clinical care, as well as partnerships with biotech and pharmaceutical companies. She remained a member of the board of directors for the Parkinson’s Institute until 2019. Before joining the Parkinson’s Institute in 2014, Dr. Barlow served as a consultant and advisor to a variety of biotechnology companies addressing neurologic, psychiatric, metabolic and rare genetic diseases. She was acting Chief Medical Officer at Amicus Therapeutics leading the execution, analysis and regulatory interactions that resulted in the approval of the first small-molecule therapy for Fabry disease (migalastat). She also led efforts that resulted in the first proof-of-concept clinical studies in patients for two novel biologic programs for Pompe and Fabry diseases. Previously, Dr. Barlow was a co-founder, Chief Scientific Officer and Chief Medical Officer of BrainCells Inc., advancing new therapeutic approaches for neurological and psychiatric disease, and worked at Merck Research Laboratories as Director of Molecular Neuroscience and worldwide leader of the Stroke and Neurodegeneration therapeutic areas. Earlier in her career, Dr. Barlow was a professor at the Salk Institute for Biological Studies, where she was a pioneer in the nascent field of neurogenomics. Dr. Barlow currently serves as a member of the board of directors of Orphazyme A/S, a publicly traded company, and on the scientific advisory boards of Razor Inc., Kainos Medicine and Rune Biosciences, each a private company. Dr. Barlow received her M.D. from the University of Utah and completed her residency in internal medicine at The New York Hospital, Cornell Medical Center. She went on to earn a Ph.D. in molecular and developmental biology at the Karolinska Medical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688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Nobel Institute in Stockholm, Sweden. Shortly thereafter, she joined the National Institutes of Health and completed specialty training in endocrinology and a postdoctoral fellowship in neurogenetics at the National Human Genome Research Institute. Dr. Barlow is an author of approximately 100 peer-reviewed research papers, review articles and book chapters, and is an inventor on numerous U.S. patents. Dr. Barlow’s extensive executive and pharmaceutical research experience with various neurological and psychiatric diseases qualifies her to serve as a director.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Jack A. Khattar</w:t>
      </w:r>
      <w:r>
        <w:rPr>
          <w:rFonts w:ascii="Times New Roman;Times;serif" w:hAnsi="Times New Roman;Times;serif"/>
          <w:b w:val="false"/>
          <w:i w:val="false"/>
          <w:caps w:val="false"/>
          <w:smallCaps w:val="false"/>
          <w:color w:val="000000"/>
          <w:spacing w:val="4"/>
          <w:sz w:val="20"/>
        </w:rPr>
        <w:t xml:space="preserve"> is the founder of our Company and has served as our President, Chief Executive Officer and Secretary and a Director since 2005. From 1999 to 2005, Mr. Khattar served in various positions during that time as a board member, President and Chief Executive Officer of Shire Laboratories Inc., the drug delivery subsidiary of Shire plc. From 1999 to 2004, he also served as a member of Shire plc’s executive committee. Prior to that, Mr. Khattar served as an executive officer and the Chairman of the management committee at CIMA Labs Inc. (CIMA), a drug delivery company where he was also responsible for business development, corporate alliances and strategic planning. Prior to joining CIMA in 1995, Mr. Khattar held several marketing and business development positions at Merck &amp; Co., Novartis, Playtex and Kodak in various locations, including the United States, Europe and the Middle East. Mr. Khattar currently serves on the boards of directors of Navitor Pharmaceuticals, LLC a privately-held development stage biotechnology companies, and on the advisory board of New Rhein Healthcare, a private equity firm. Mr. Khattar also serves as Chairman of the board of directors of scPharmaceuticals and Cognition Therapeutics Inc., two publicly traded pharmaceutical companies. Mr. Khattar earned his degrees in Marketing with a BBA from American University of Beirut and an MBA from the Wharton School of the University of Pennsylvania. Mr. Khattar’s leadership, executive, managerial, business and pharmaceutical company experience, along with his more than 30 years of industry experience in the development and commercialization of pharmaceutical products and drug delivery technologies, qualify him to be a director.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Code of Business Conduct and Ethics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adopted a code of business conduct and ethics that applies to all of our employees, officers and directors, including those officers responsible for financial reporting. A copy of the Code of Ethics is currently available at ir.supernus.com/corporate-governance. Supernus will publicly disclose any waivers or amendments to the Code of Ethics that apply to the Chief Executive Officer (CEO) and senior financial officers pursuant to the requirements of the SEC.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Composition of Our Board of Directors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currently consists of six members. Our Class I directors were elected by our stockholders at the 2022 Annual Meeting of Stockholders, our Class II directors were elected by our stockholders at the 2020 Annual Meeting of Stockholders, and our Class III directors were elected by our stockholders at the 2021 Annual Meeting of Stockholders. Our Governance and Nominating Committee and Board of Directors may consider a broad range of factors relating to the qualifications and background of nominees, including, for example, diversity, which is not limited to race, gender or national origin.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Governance and Nominating Committee and Board of Directors’ priority in selecting Board members is identification of persons who will further the interests of our stockholders through their established records of professional accomplishment, the ability to contribute positively to the collaborative culture among Board members, and professional and personal experiences and expertise relevant to our growth strategy.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company listed on the NASDAQ Global Market, we are required to disclose the following aggregate demographic information about the members of our Board of Directors.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Diversity Matrix as of March 31, 2023</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28" w:type="dxa"/>
          <w:right w:w="0" w:type="dxa"/>
        </w:tblCellMar>
      </w:tblPr>
      <w:tblGrid>
        <w:gridCol w:w="3571"/>
        <w:gridCol w:w="109"/>
        <w:gridCol w:w="109"/>
        <w:gridCol w:w="160"/>
        <w:gridCol w:w="160"/>
        <w:gridCol w:w="335"/>
        <w:gridCol w:w="163"/>
        <w:gridCol w:w="109"/>
        <w:gridCol w:w="109"/>
        <w:gridCol w:w="120"/>
        <w:gridCol w:w="120"/>
        <w:gridCol w:w="251"/>
        <w:gridCol w:w="124"/>
        <w:gridCol w:w="109"/>
        <w:gridCol w:w="109"/>
        <w:gridCol w:w="247"/>
        <w:gridCol w:w="247"/>
        <w:gridCol w:w="514"/>
        <w:gridCol w:w="248"/>
        <w:gridCol w:w="109"/>
        <w:gridCol w:w="109"/>
        <w:gridCol w:w="298"/>
        <w:gridCol w:w="298"/>
        <w:gridCol w:w="619"/>
        <w:gridCol w:w="301"/>
        <w:gridCol w:w="164"/>
      </w:tblGrid>
      <w:tr>
        <w:trPr/>
        <w:tc>
          <w:tcPr>
            <w:tcW w:w="3571"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818"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Female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615"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Male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56"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Non-Binary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6"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Did Not Disclose </w:t>
              <w:br/>
              <w:t xml:space="preserve">Gender </w:t>
            </w:r>
          </w:p>
        </w:tc>
        <w:tc>
          <w:tcPr>
            <w:tcW w:w="164" w:type="dxa"/>
            <w:tcBorders>
              <w:bottom w:val="single" w:sz="2" w:space="0" w:color="FFFFFF"/>
            </w:tcBorders>
            <w:shd w:fill="auto" w:val="clear"/>
            <w:vAlign w:val="center"/>
          </w:tcPr>
          <w:p>
            <w:pPr>
              <w:pStyle w:val="TableContents"/>
              <w:spacing w:before="0" w:after="283"/>
              <w:rPr/>
            </w:pPr>
            <w:r>
              <w:rPr/>
              <w:t>​</w:t>
            </w:r>
          </w:p>
        </w:tc>
      </w:tr>
      <w:tr>
        <w:trPr/>
        <w:tc>
          <w:tcPr>
            <w:tcW w:w="3571" w:type="dxa"/>
            <w:tcBorders>
              <w:bottom w:val="single" w:sz="2" w:space="0" w:color="000000"/>
            </w:tcBorders>
            <w:shd w:fill="auto" w:val="clear"/>
            <w:tcMar>
              <w:bottom w:w="50" w:type="dxa"/>
            </w:tcMar>
            <w:vAlign w:val="center"/>
          </w:tcPr>
          <w:p>
            <w:pPr>
              <w:pStyle w:val="TableContents"/>
              <w:spacing w:before="0" w:after="0"/>
              <w:jc w:val="left"/>
              <w:rPr>
                <w:spacing w:val="-3"/>
              </w:rPr>
            </w:pPr>
            <w:r>
              <w:rPr>
                <w:spacing w:val="-3"/>
              </w:rPr>
              <w:t xml:space="preserve">Gender Identity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60" w:type="dxa"/>
            <w:tcBorders>
              <w:bottom w:val="single" w:sz="2" w:space="0" w:color="000000"/>
            </w:tcBorders>
            <w:shd w:fill="auto" w:val="clear"/>
            <w:vAlign w:val="center"/>
          </w:tcPr>
          <w:p>
            <w:pPr>
              <w:pStyle w:val="TableContents"/>
              <w:spacing w:before="0" w:after="283"/>
              <w:rPr/>
            </w:pPr>
            <w:r>
              <w:rPr/>
              <w:t>​</w:t>
            </w:r>
          </w:p>
        </w:tc>
        <w:tc>
          <w:tcPr>
            <w:tcW w:w="160"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335"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63"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20" w:type="dxa"/>
            <w:tcBorders>
              <w:bottom w:val="single" w:sz="2" w:space="0" w:color="000000"/>
            </w:tcBorders>
            <w:shd w:fill="auto" w:val="clear"/>
            <w:vAlign w:val="center"/>
          </w:tcPr>
          <w:p>
            <w:pPr>
              <w:pStyle w:val="TableContents"/>
              <w:spacing w:before="0" w:after="283"/>
              <w:rPr/>
            </w:pPr>
            <w:r>
              <w:rPr/>
              <w:t>​</w:t>
            </w:r>
          </w:p>
        </w:tc>
        <w:tc>
          <w:tcPr>
            <w:tcW w:w="120"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251"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24"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247" w:type="dxa"/>
            <w:tcBorders>
              <w:bottom w:val="single" w:sz="2" w:space="0" w:color="000000"/>
            </w:tcBorders>
            <w:shd w:fill="auto" w:val="clear"/>
            <w:vAlign w:val="center"/>
          </w:tcPr>
          <w:p>
            <w:pPr>
              <w:pStyle w:val="TableContents"/>
              <w:spacing w:before="0" w:after="283"/>
              <w:rPr/>
            </w:pPr>
            <w:r>
              <w:rPr/>
              <w:t>​</w:t>
            </w:r>
          </w:p>
        </w:tc>
        <w:tc>
          <w:tcPr>
            <w:tcW w:w="247"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514"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248"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298" w:type="dxa"/>
            <w:tcBorders>
              <w:bottom w:val="single" w:sz="2" w:space="0" w:color="000000"/>
            </w:tcBorders>
            <w:shd w:fill="auto" w:val="clear"/>
            <w:vAlign w:val="center"/>
          </w:tcPr>
          <w:p>
            <w:pPr>
              <w:pStyle w:val="TableContents"/>
              <w:spacing w:before="0" w:after="283"/>
              <w:rPr/>
            </w:pPr>
            <w:r>
              <w:rPr/>
              <w:t>​</w:t>
            </w:r>
          </w:p>
        </w:tc>
        <w:tc>
          <w:tcPr>
            <w:tcW w:w="298"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61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301" w:type="dxa"/>
            <w:tcBorders>
              <w:bottom w:val="single" w:sz="2" w:space="0" w:color="000000"/>
            </w:tcBorders>
            <w:shd w:fill="auto" w:val="clear"/>
            <w:vAlign w:val="center"/>
          </w:tcPr>
          <w:p>
            <w:pPr>
              <w:pStyle w:val="TableContents"/>
              <w:spacing w:before="0" w:after="283"/>
              <w:rPr/>
            </w:pPr>
            <w:r>
              <w:rPr/>
              <w:t>​</w:t>
            </w:r>
          </w:p>
        </w:tc>
        <w:tc>
          <w:tcPr>
            <w:tcW w:w="164" w:type="dxa"/>
            <w:tcBorders>
              <w:bottom w:val="single" w:sz="2" w:space="0" w:color="000000"/>
            </w:tcBorders>
            <w:shd w:fill="auto" w:val="clear"/>
            <w:vAlign w:val="center"/>
          </w:tcPr>
          <w:p>
            <w:pPr>
              <w:pStyle w:val="TableContents"/>
              <w:spacing w:before="0" w:after="283"/>
              <w:rPr/>
            </w:pPr>
            <w:r>
              <w:rPr/>
              <w:t>​</w:t>
            </w:r>
          </w:p>
        </w:tc>
      </w:tr>
      <w:tr>
        <w:trPr/>
        <w:tc>
          <w:tcPr>
            <w:tcW w:w="3571" w:type="dxa"/>
            <w:tcBorders/>
            <w:shd w:fill="CCEEFF" w:val="clear"/>
            <w:tcMar>
              <w:bottom w:w="0" w:type="dxa"/>
            </w:tcMar>
            <w:vAlign w:val="center"/>
          </w:tcPr>
          <w:p>
            <w:pPr>
              <w:pStyle w:val="TableContents"/>
              <w:spacing w:before="0" w:after="0"/>
              <w:jc w:val="left"/>
              <w:rPr>
                <w:spacing w:val="4"/>
              </w:rPr>
            </w:pPr>
            <w:r>
              <w:rPr>
                <w:spacing w:val="4"/>
              </w:rPr>
              <w:t xml:space="preserve">Directors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jc w:val="right"/>
              <w:rPr/>
            </w:pPr>
            <w:r>
              <w:rPr/>
              <w:t>​</w:t>
            </w:r>
          </w:p>
        </w:tc>
        <w:tc>
          <w:tcPr>
            <w:tcW w:w="335" w:type="dxa"/>
            <w:tcBorders/>
            <w:shd w:fill="CCEEFF" w:val="clear"/>
            <w:tcMar>
              <w:bottom w:w="0" w:type="dxa"/>
            </w:tcMar>
            <w:vAlign w:val="center"/>
          </w:tcPr>
          <w:p>
            <w:pPr>
              <w:pStyle w:val="TableContents"/>
              <w:spacing w:before="0" w:after="283"/>
              <w:jc w:val="right"/>
              <w:rPr/>
            </w:pPr>
            <w:r>
              <w:rPr/>
              <w:t>1</w:t>
            </w:r>
          </w:p>
        </w:tc>
        <w:tc>
          <w:tcPr>
            <w:tcW w:w="16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jc w:val="right"/>
              <w:rPr/>
            </w:pPr>
            <w:r>
              <w:rPr/>
              <w:t>​</w:t>
            </w:r>
          </w:p>
        </w:tc>
        <w:tc>
          <w:tcPr>
            <w:tcW w:w="251" w:type="dxa"/>
            <w:tcBorders/>
            <w:shd w:fill="CCEEFF" w:val="clear"/>
            <w:tcMar>
              <w:bottom w:w="0" w:type="dxa"/>
            </w:tcMar>
            <w:vAlign w:val="center"/>
          </w:tcPr>
          <w:p>
            <w:pPr>
              <w:pStyle w:val="TableContents"/>
              <w:spacing w:before="0" w:after="283"/>
              <w:jc w:val="right"/>
              <w:rPr/>
            </w:pPr>
            <w:r>
              <w:rPr/>
              <w:t>4</w:t>
            </w:r>
          </w:p>
        </w:tc>
        <w:tc>
          <w:tcPr>
            <w:tcW w:w="12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47" w:type="dxa"/>
            <w:tcBorders/>
            <w:shd w:fill="CCEEFF" w:val="clear"/>
            <w:tcMar>
              <w:bottom w:w="0" w:type="dxa"/>
            </w:tcMar>
            <w:vAlign w:val="center"/>
          </w:tcPr>
          <w:p>
            <w:pPr>
              <w:pStyle w:val="TableContents"/>
              <w:spacing w:before="0" w:after="283"/>
              <w:rPr/>
            </w:pPr>
            <w:r>
              <w:rPr/>
              <w:t>​</w:t>
            </w:r>
          </w:p>
        </w:tc>
        <w:tc>
          <w:tcPr>
            <w:tcW w:w="247" w:type="dxa"/>
            <w:tcBorders/>
            <w:shd w:fill="CCEEFF" w:val="clear"/>
            <w:tcMar>
              <w:bottom w:w="0" w:type="dxa"/>
            </w:tcMar>
            <w:vAlign w:val="center"/>
          </w:tcPr>
          <w:p>
            <w:pPr>
              <w:pStyle w:val="TableContents"/>
              <w:spacing w:before="0" w:after="283"/>
              <w:jc w:val="right"/>
              <w:rPr/>
            </w:pPr>
            <w:r>
              <w:rPr/>
              <w:t>​</w:t>
            </w:r>
          </w:p>
        </w:tc>
        <w:tc>
          <w:tcPr>
            <w:tcW w:w="514" w:type="dxa"/>
            <w:tcBorders/>
            <w:shd w:fill="CCEEFF" w:val="clear"/>
            <w:tcMar>
              <w:bottom w:w="0" w:type="dxa"/>
            </w:tcMar>
            <w:vAlign w:val="center"/>
          </w:tcPr>
          <w:p>
            <w:pPr>
              <w:pStyle w:val="TableContents"/>
              <w:spacing w:before="0" w:after="283"/>
              <w:jc w:val="right"/>
              <w:rPr/>
            </w:pPr>
            <w:r>
              <w:rPr/>
              <w:t>0</w:t>
            </w:r>
          </w:p>
        </w:tc>
        <w:tc>
          <w:tcPr>
            <w:tcW w:w="24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98" w:type="dxa"/>
            <w:tcBorders/>
            <w:shd w:fill="CCEEFF" w:val="clear"/>
            <w:tcMar>
              <w:bottom w:w="0" w:type="dxa"/>
            </w:tcMar>
            <w:vAlign w:val="center"/>
          </w:tcPr>
          <w:p>
            <w:pPr>
              <w:pStyle w:val="TableContents"/>
              <w:spacing w:before="0" w:after="283"/>
              <w:rPr/>
            </w:pPr>
            <w:r>
              <w:rPr/>
              <w:t>​</w:t>
            </w:r>
          </w:p>
        </w:tc>
        <w:tc>
          <w:tcPr>
            <w:tcW w:w="298" w:type="dxa"/>
            <w:tcBorders/>
            <w:shd w:fill="CCEEFF" w:val="clear"/>
            <w:tcMar>
              <w:bottom w:w="0" w:type="dxa"/>
            </w:tcMar>
            <w:vAlign w:val="center"/>
          </w:tcPr>
          <w:p>
            <w:pPr>
              <w:pStyle w:val="TableContents"/>
              <w:spacing w:before="0" w:after="283"/>
              <w:jc w:val="right"/>
              <w:rPr/>
            </w:pPr>
            <w:r>
              <w:rPr/>
              <w:t>​</w:t>
            </w:r>
          </w:p>
        </w:tc>
        <w:tc>
          <w:tcPr>
            <w:tcW w:w="619" w:type="dxa"/>
            <w:tcBorders/>
            <w:shd w:fill="CCEEFF" w:val="clear"/>
            <w:tcMar>
              <w:bottom w:w="0" w:type="dxa"/>
            </w:tcMar>
            <w:vAlign w:val="center"/>
          </w:tcPr>
          <w:p>
            <w:pPr>
              <w:pStyle w:val="TableContents"/>
              <w:spacing w:before="0" w:after="283"/>
              <w:jc w:val="right"/>
              <w:rPr/>
            </w:pPr>
            <w:r>
              <w:rPr/>
              <w:t>1</w:t>
            </w:r>
          </w:p>
        </w:tc>
        <w:tc>
          <w:tcPr>
            <w:tcW w:w="301" w:type="dxa"/>
            <w:tcBorders/>
            <w:shd w:fill="CCEEFF" w:val="clear"/>
            <w:tcMar>
              <w:bottom w:w="0" w:type="dxa"/>
            </w:tcMar>
            <w:vAlign w:val="center"/>
          </w:tcPr>
          <w:p>
            <w:pPr>
              <w:pStyle w:val="TableContents"/>
              <w:spacing w:before="0" w:after="283"/>
              <w:rPr/>
            </w:pPr>
            <w:r>
              <w:rPr/>
              <w:t>​</w:t>
            </w:r>
          </w:p>
        </w:tc>
        <w:tc>
          <w:tcPr>
            <w:tcW w:w="164" w:type="dxa"/>
            <w:tcBorders/>
            <w:shd w:fill="CCEEFF" w:val="clear"/>
            <w:tcMar>
              <w:bottom w:w="0" w:type="dxa"/>
            </w:tcMar>
            <w:vAlign w:val="center"/>
          </w:tcPr>
          <w:p>
            <w:pPr>
              <w:pStyle w:val="TableContents"/>
              <w:spacing w:before="0" w:after="283"/>
              <w:rPr/>
            </w:pPr>
            <w:r>
              <w:rPr/>
              <w:t>​</w:t>
            </w:r>
          </w:p>
        </w:tc>
      </w:tr>
      <w:tr>
        <w:trPr/>
        <w:tc>
          <w:tcPr>
            <w:tcW w:w="3571" w:type="dxa"/>
            <w:tcBorders>
              <w:bottom w:val="single" w:sz="2" w:space="0" w:color="000000"/>
            </w:tcBorders>
            <w:shd w:fill="auto" w:val="clear"/>
            <w:tcMar>
              <w:bottom w:w="50" w:type="dxa"/>
            </w:tcMar>
            <w:vAlign w:val="center"/>
          </w:tcPr>
          <w:p>
            <w:pPr>
              <w:pStyle w:val="TableContents"/>
              <w:spacing w:before="0" w:after="283"/>
              <w:jc w:val="left"/>
              <w:rPr/>
            </w:pPr>
            <w:r>
              <w:rPr>
                <w:spacing w:val="-3"/>
              </w:rPr>
              <w:t>Demographic Background</w:t>
            </w:r>
            <w:r>
              <w:rPr/>
              <w:t xml:space="preserve">​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60" w:type="dxa"/>
            <w:tcBorders>
              <w:bottom w:val="single" w:sz="2" w:space="0" w:color="000000"/>
            </w:tcBorders>
            <w:shd w:fill="auto" w:val="clear"/>
            <w:vAlign w:val="center"/>
          </w:tcPr>
          <w:p>
            <w:pPr>
              <w:pStyle w:val="TableContents"/>
              <w:spacing w:before="0" w:after="283"/>
              <w:rPr/>
            </w:pPr>
            <w:r>
              <w:rPr/>
              <w:t>​</w:t>
            </w:r>
          </w:p>
        </w:tc>
        <w:tc>
          <w:tcPr>
            <w:tcW w:w="160"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335"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63"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20" w:type="dxa"/>
            <w:tcBorders>
              <w:bottom w:val="single" w:sz="2" w:space="0" w:color="000000"/>
            </w:tcBorders>
            <w:shd w:fill="auto" w:val="clear"/>
            <w:vAlign w:val="center"/>
          </w:tcPr>
          <w:p>
            <w:pPr>
              <w:pStyle w:val="TableContents"/>
              <w:spacing w:before="0" w:after="283"/>
              <w:rPr/>
            </w:pPr>
            <w:r>
              <w:rPr/>
              <w:t>​</w:t>
            </w:r>
          </w:p>
        </w:tc>
        <w:tc>
          <w:tcPr>
            <w:tcW w:w="120"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251"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24"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247" w:type="dxa"/>
            <w:tcBorders>
              <w:bottom w:val="single" w:sz="2" w:space="0" w:color="000000"/>
            </w:tcBorders>
            <w:shd w:fill="auto" w:val="clear"/>
            <w:vAlign w:val="center"/>
          </w:tcPr>
          <w:p>
            <w:pPr>
              <w:pStyle w:val="TableContents"/>
              <w:spacing w:before="0" w:after="283"/>
              <w:rPr/>
            </w:pPr>
            <w:r>
              <w:rPr/>
              <w:t>​</w:t>
            </w:r>
          </w:p>
        </w:tc>
        <w:tc>
          <w:tcPr>
            <w:tcW w:w="247"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514"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248"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298" w:type="dxa"/>
            <w:tcBorders>
              <w:bottom w:val="single" w:sz="2" w:space="0" w:color="000000"/>
            </w:tcBorders>
            <w:shd w:fill="auto" w:val="clear"/>
            <w:vAlign w:val="center"/>
          </w:tcPr>
          <w:p>
            <w:pPr>
              <w:pStyle w:val="TableContents"/>
              <w:spacing w:before="0" w:after="283"/>
              <w:rPr/>
            </w:pPr>
            <w:r>
              <w:rPr/>
              <w:t>​</w:t>
            </w:r>
          </w:p>
        </w:tc>
        <w:tc>
          <w:tcPr>
            <w:tcW w:w="298"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61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301" w:type="dxa"/>
            <w:tcBorders>
              <w:bottom w:val="single" w:sz="2" w:space="0" w:color="000000"/>
            </w:tcBorders>
            <w:shd w:fill="auto" w:val="clear"/>
            <w:vAlign w:val="center"/>
          </w:tcPr>
          <w:p>
            <w:pPr>
              <w:pStyle w:val="TableContents"/>
              <w:spacing w:before="0" w:after="283"/>
              <w:rPr/>
            </w:pPr>
            <w:r>
              <w:rPr/>
              <w:t>​</w:t>
            </w:r>
          </w:p>
        </w:tc>
        <w:tc>
          <w:tcPr>
            <w:tcW w:w="164" w:type="dxa"/>
            <w:tcBorders>
              <w:bottom w:val="single" w:sz="2" w:space="0" w:color="000000"/>
            </w:tcBorders>
            <w:shd w:fill="auto" w:val="clear"/>
            <w:vAlign w:val="center"/>
          </w:tcPr>
          <w:p>
            <w:pPr>
              <w:pStyle w:val="TableContents"/>
              <w:spacing w:before="0" w:after="283"/>
              <w:rPr/>
            </w:pPr>
            <w:r>
              <w:rPr/>
              <w:t>​</w:t>
            </w:r>
          </w:p>
        </w:tc>
      </w:tr>
      <w:tr>
        <w:trPr/>
        <w:tc>
          <w:tcPr>
            <w:tcW w:w="3571" w:type="dxa"/>
            <w:tcBorders/>
            <w:shd w:fill="CCEEFF" w:val="clear"/>
            <w:tcMar>
              <w:bottom w:w="0" w:type="dxa"/>
            </w:tcMar>
            <w:vAlign w:val="center"/>
          </w:tcPr>
          <w:p>
            <w:pPr>
              <w:pStyle w:val="TableContents"/>
              <w:spacing w:before="0" w:after="0"/>
              <w:jc w:val="left"/>
              <w:rPr>
                <w:spacing w:val="4"/>
              </w:rPr>
            </w:pPr>
            <w:r>
              <w:rPr>
                <w:spacing w:val="4"/>
              </w:rPr>
              <w:t xml:space="preserve">African American or Black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jc w:val="right"/>
              <w:rPr/>
            </w:pPr>
            <w:r>
              <w:rPr/>
              <w:t>​</w:t>
            </w:r>
          </w:p>
        </w:tc>
        <w:tc>
          <w:tcPr>
            <w:tcW w:w="335" w:type="dxa"/>
            <w:tcBorders/>
            <w:shd w:fill="CCEEFF" w:val="clear"/>
            <w:tcMar>
              <w:bottom w:w="0" w:type="dxa"/>
            </w:tcMar>
            <w:vAlign w:val="center"/>
          </w:tcPr>
          <w:p>
            <w:pPr>
              <w:pStyle w:val="TableContents"/>
              <w:spacing w:before="0" w:after="283"/>
              <w:jc w:val="right"/>
              <w:rPr/>
            </w:pPr>
            <w:r>
              <w:rPr/>
              <w:t>0</w:t>
            </w:r>
          </w:p>
        </w:tc>
        <w:tc>
          <w:tcPr>
            <w:tcW w:w="16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jc w:val="right"/>
              <w:rPr/>
            </w:pPr>
            <w:r>
              <w:rPr/>
              <w:t>​</w:t>
            </w:r>
          </w:p>
        </w:tc>
        <w:tc>
          <w:tcPr>
            <w:tcW w:w="251" w:type="dxa"/>
            <w:tcBorders/>
            <w:shd w:fill="CCEEFF" w:val="clear"/>
            <w:tcMar>
              <w:bottom w:w="0" w:type="dxa"/>
            </w:tcMar>
            <w:vAlign w:val="center"/>
          </w:tcPr>
          <w:p>
            <w:pPr>
              <w:pStyle w:val="TableContents"/>
              <w:spacing w:before="0" w:after="283"/>
              <w:jc w:val="right"/>
              <w:rPr/>
            </w:pPr>
            <w:r>
              <w:rPr/>
              <w:t>0</w:t>
            </w:r>
          </w:p>
        </w:tc>
        <w:tc>
          <w:tcPr>
            <w:tcW w:w="12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47" w:type="dxa"/>
            <w:tcBorders/>
            <w:shd w:fill="CCEEFF" w:val="clear"/>
            <w:tcMar>
              <w:bottom w:w="0" w:type="dxa"/>
            </w:tcMar>
            <w:vAlign w:val="center"/>
          </w:tcPr>
          <w:p>
            <w:pPr>
              <w:pStyle w:val="TableContents"/>
              <w:spacing w:before="0" w:after="283"/>
              <w:rPr/>
            </w:pPr>
            <w:r>
              <w:rPr/>
              <w:t>​</w:t>
            </w:r>
          </w:p>
        </w:tc>
        <w:tc>
          <w:tcPr>
            <w:tcW w:w="247" w:type="dxa"/>
            <w:tcBorders/>
            <w:shd w:fill="CCEEFF" w:val="clear"/>
            <w:tcMar>
              <w:bottom w:w="0" w:type="dxa"/>
            </w:tcMar>
            <w:vAlign w:val="center"/>
          </w:tcPr>
          <w:p>
            <w:pPr>
              <w:pStyle w:val="TableContents"/>
              <w:spacing w:before="0" w:after="283"/>
              <w:jc w:val="right"/>
              <w:rPr/>
            </w:pPr>
            <w:r>
              <w:rPr/>
              <w:t>​</w:t>
            </w:r>
          </w:p>
        </w:tc>
        <w:tc>
          <w:tcPr>
            <w:tcW w:w="514" w:type="dxa"/>
            <w:tcBorders/>
            <w:shd w:fill="CCEEFF" w:val="clear"/>
            <w:tcMar>
              <w:bottom w:w="0" w:type="dxa"/>
            </w:tcMar>
            <w:vAlign w:val="center"/>
          </w:tcPr>
          <w:p>
            <w:pPr>
              <w:pStyle w:val="TableContents"/>
              <w:spacing w:before="0" w:after="283"/>
              <w:jc w:val="right"/>
              <w:rPr/>
            </w:pPr>
            <w:r>
              <w:rPr/>
              <w:t>0</w:t>
            </w:r>
          </w:p>
        </w:tc>
        <w:tc>
          <w:tcPr>
            <w:tcW w:w="24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98" w:type="dxa"/>
            <w:tcBorders/>
            <w:shd w:fill="CCEEFF" w:val="clear"/>
            <w:tcMar>
              <w:bottom w:w="0" w:type="dxa"/>
            </w:tcMar>
            <w:vAlign w:val="center"/>
          </w:tcPr>
          <w:p>
            <w:pPr>
              <w:pStyle w:val="TableContents"/>
              <w:spacing w:before="0" w:after="283"/>
              <w:rPr/>
            </w:pPr>
            <w:r>
              <w:rPr/>
              <w:t>​</w:t>
            </w:r>
          </w:p>
        </w:tc>
        <w:tc>
          <w:tcPr>
            <w:tcW w:w="298" w:type="dxa"/>
            <w:tcBorders/>
            <w:shd w:fill="CCEEFF" w:val="clear"/>
            <w:tcMar>
              <w:bottom w:w="0" w:type="dxa"/>
            </w:tcMar>
            <w:vAlign w:val="center"/>
          </w:tcPr>
          <w:p>
            <w:pPr>
              <w:pStyle w:val="TableContents"/>
              <w:spacing w:before="0" w:after="283"/>
              <w:jc w:val="right"/>
              <w:rPr/>
            </w:pPr>
            <w:r>
              <w:rPr/>
              <w:t>​</w:t>
            </w:r>
          </w:p>
        </w:tc>
        <w:tc>
          <w:tcPr>
            <w:tcW w:w="619" w:type="dxa"/>
            <w:tcBorders/>
            <w:shd w:fill="CCEEFF" w:val="clear"/>
            <w:tcMar>
              <w:bottom w:w="0" w:type="dxa"/>
            </w:tcMar>
            <w:vAlign w:val="center"/>
          </w:tcPr>
          <w:p>
            <w:pPr>
              <w:pStyle w:val="TableContents"/>
              <w:spacing w:before="0" w:after="283"/>
              <w:jc w:val="right"/>
              <w:rPr/>
            </w:pPr>
            <w:r>
              <w:rPr/>
              <w:t>0</w:t>
            </w:r>
          </w:p>
        </w:tc>
        <w:tc>
          <w:tcPr>
            <w:tcW w:w="301" w:type="dxa"/>
            <w:tcBorders/>
            <w:shd w:fill="CCEEFF" w:val="clear"/>
            <w:tcMar>
              <w:bottom w:w="0" w:type="dxa"/>
            </w:tcMar>
            <w:vAlign w:val="center"/>
          </w:tcPr>
          <w:p>
            <w:pPr>
              <w:pStyle w:val="TableContents"/>
              <w:spacing w:before="0" w:after="283"/>
              <w:rPr/>
            </w:pPr>
            <w:r>
              <w:rPr/>
              <w:t>​</w:t>
            </w:r>
          </w:p>
        </w:tc>
        <w:tc>
          <w:tcPr>
            <w:tcW w:w="164" w:type="dxa"/>
            <w:tcBorders/>
            <w:shd w:fill="CCEEFF" w:val="clear"/>
            <w:tcMar>
              <w:bottom w:w="0" w:type="dxa"/>
            </w:tcMar>
            <w:vAlign w:val="center"/>
          </w:tcPr>
          <w:p>
            <w:pPr>
              <w:pStyle w:val="TableContents"/>
              <w:spacing w:before="0" w:after="283"/>
              <w:rPr/>
            </w:pPr>
            <w:r>
              <w:rPr/>
              <w:t>​</w:t>
            </w:r>
          </w:p>
        </w:tc>
      </w:tr>
      <w:tr>
        <w:trPr/>
        <w:tc>
          <w:tcPr>
            <w:tcW w:w="3571" w:type="dxa"/>
            <w:tcBorders/>
            <w:shd w:fill="auto" w:val="clear"/>
            <w:tcMar>
              <w:bottom w:w="0" w:type="dxa"/>
            </w:tcMar>
            <w:vAlign w:val="center"/>
          </w:tcPr>
          <w:p>
            <w:pPr>
              <w:pStyle w:val="TableContents"/>
              <w:spacing w:before="0" w:after="0"/>
              <w:jc w:val="left"/>
              <w:rPr>
                <w:spacing w:val="4"/>
              </w:rPr>
            </w:pPr>
            <w:r>
              <w:rPr>
                <w:spacing w:val="4"/>
              </w:rPr>
              <w:t xml:space="preserve">Alaskan Native or Native American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jc w:val="right"/>
              <w:rPr/>
            </w:pPr>
            <w:r>
              <w:rPr/>
              <w:t>​</w:t>
            </w:r>
          </w:p>
        </w:tc>
        <w:tc>
          <w:tcPr>
            <w:tcW w:w="335" w:type="dxa"/>
            <w:tcBorders/>
            <w:shd w:fill="auto" w:val="clear"/>
            <w:tcMar>
              <w:bottom w:w="0" w:type="dxa"/>
            </w:tcMar>
            <w:vAlign w:val="center"/>
          </w:tcPr>
          <w:p>
            <w:pPr>
              <w:pStyle w:val="TableContents"/>
              <w:spacing w:before="0" w:after="283"/>
              <w:jc w:val="right"/>
              <w:rPr/>
            </w:pPr>
            <w:r>
              <w:rPr/>
              <w:t>0</w:t>
            </w:r>
          </w:p>
        </w:tc>
        <w:tc>
          <w:tcPr>
            <w:tcW w:w="16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0" w:type="dxa"/>
            <w:tcBorders/>
            <w:shd w:fill="auto" w:val="clear"/>
            <w:tcMar>
              <w:bottom w:w="0" w:type="dxa"/>
            </w:tcMar>
            <w:vAlign w:val="center"/>
          </w:tcPr>
          <w:p>
            <w:pPr>
              <w:pStyle w:val="TableContents"/>
              <w:spacing w:before="0" w:after="283"/>
              <w:rPr/>
            </w:pPr>
            <w:r>
              <w:rPr/>
              <w:t>​</w:t>
            </w:r>
          </w:p>
        </w:tc>
        <w:tc>
          <w:tcPr>
            <w:tcW w:w="120" w:type="dxa"/>
            <w:tcBorders/>
            <w:shd w:fill="auto" w:val="clear"/>
            <w:tcMar>
              <w:bottom w:w="0" w:type="dxa"/>
            </w:tcMar>
            <w:vAlign w:val="center"/>
          </w:tcPr>
          <w:p>
            <w:pPr>
              <w:pStyle w:val="TableContents"/>
              <w:spacing w:before="0" w:after="283"/>
              <w:jc w:val="right"/>
              <w:rPr/>
            </w:pPr>
            <w:r>
              <w:rPr/>
              <w:t>​</w:t>
            </w:r>
          </w:p>
        </w:tc>
        <w:tc>
          <w:tcPr>
            <w:tcW w:w="251" w:type="dxa"/>
            <w:tcBorders/>
            <w:shd w:fill="auto" w:val="clear"/>
            <w:tcMar>
              <w:bottom w:w="0" w:type="dxa"/>
            </w:tcMar>
            <w:vAlign w:val="center"/>
          </w:tcPr>
          <w:p>
            <w:pPr>
              <w:pStyle w:val="TableContents"/>
              <w:spacing w:before="0" w:after="283"/>
              <w:jc w:val="right"/>
              <w:rPr/>
            </w:pPr>
            <w:r>
              <w:rPr/>
              <w:t>0</w:t>
            </w:r>
          </w:p>
        </w:tc>
        <w:tc>
          <w:tcPr>
            <w:tcW w:w="12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47" w:type="dxa"/>
            <w:tcBorders/>
            <w:shd w:fill="auto" w:val="clear"/>
            <w:tcMar>
              <w:bottom w:w="0" w:type="dxa"/>
            </w:tcMar>
            <w:vAlign w:val="center"/>
          </w:tcPr>
          <w:p>
            <w:pPr>
              <w:pStyle w:val="TableContents"/>
              <w:spacing w:before="0" w:after="283"/>
              <w:rPr/>
            </w:pPr>
            <w:r>
              <w:rPr/>
              <w:t>​</w:t>
            </w:r>
          </w:p>
        </w:tc>
        <w:tc>
          <w:tcPr>
            <w:tcW w:w="247" w:type="dxa"/>
            <w:tcBorders/>
            <w:shd w:fill="auto" w:val="clear"/>
            <w:tcMar>
              <w:bottom w:w="0" w:type="dxa"/>
            </w:tcMar>
            <w:vAlign w:val="center"/>
          </w:tcPr>
          <w:p>
            <w:pPr>
              <w:pStyle w:val="TableContents"/>
              <w:spacing w:before="0" w:after="283"/>
              <w:jc w:val="right"/>
              <w:rPr/>
            </w:pPr>
            <w:r>
              <w:rPr/>
              <w:t>​</w:t>
            </w:r>
          </w:p>
        </w:tc>
        <w:tc>
          <w:tcPr>
            <w:tcW w:w="514" w:type="dxa"/>
            <w:tcBorders/>
            <w:shd w:fill="auto" w:val="clear"/>
            <w:tcMar>
              <w:bottom w:w="0" w:type="dxa"/>
            </w:tcMar>
            <w:vAlign w:val="center"/>
          </w:tcPr>
          <w:p>
            <w:pPr>
              <w:pStyle w:val="TableContents"/>
              <w:spacing w:before="0" w:after="283"/>
              <w:jc w:val="right"/>
              <w:rPr/>
            </w:pPr>
            <w:r>
              <w:rPr/>
              <w:t>0</w:t>
            </w:r>
          </w:p>
        </w:tc>
        <w:tc>
          <w:tcPr>
            <w:tcW w:w="24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98" w:type="dxa"/>
            <w:tcBorders/>
            <w:shd w:fill="auto" w:val="clear"/>
            <w:tcMar>
              <w:bottom w:w="0" w:type="dxa"/>
            </w:tcMar>
            <w:vAlign w:val="center"/>
          </w:tcPr>
          <w:p>
            <w:pPr>
              <w:pStyle w:val="TableContents"/>
              <w:spacing w:before="0" w:after="283"/>
              <w:rPr/>
            </w:pPr>
            <w:r>
              <w:rPr/>
              <w:t>​</w:t>
            </w:r>
          </w:p>
        </w:tc>
        <w:tc>
          <w:tcPr>
            <w:tcW w:w="298" w:type="dxa"/>
            <w:tcBorders/>
            <w:shd w:fill="auto" w:val="clear"/>
            <w:tcMar>
              <w:bottom w:w="0" w:type="dxa"/>
            </w:tcMar>
            <w:vAlign w:val="center"/>
          </w:tcPr>
          <w:p>
            <w:pPr>
              <w:pStyle w:val="TableContents"/>
              <w:spacing w:before="0" w:after="283"/>
              <w:jc w:val="right"/>
              <w:rPr/>
            </w:pPr>
            <w:r>
              <w:rPr/>
              <w:t>​</w:t>
            </w:r>
          </w:p>
        </w:tc>
        <w:tc>
          <w:tcPr>
            <w:tcW w:w="619" w:type="dxa"/>
            <w:tcBorders/>
            <w:shd w:fill="auto" w:val="clear"/>
            <w:tcMar>
              <w:bottom w:w="0" w:type="dxa"/>
            </w:tcMar>
            <w:vAlign w:val="center"/>
          </w:tcPr>
          <w:p>
            <w:pPr>
              <w:pStyle w:val="TableContents"/>
              <w:spacing w:before="0" w:after="283"/>
              <w:jc w:val="right"/>
              <w:rPr/>
            </w:pPr>
            <w:r>
              <w:rPr/>
              <w:t>0</w:t>
            </w:r>
          </w:p>
        </w:tc>
        <w:tc>
          <w:tcPr>
            <w:tcW w:w="301" w:type="dxa"/>
            <w:tcBorders/>
            <w:shd w:fill="auto" w:val="clear"/>
            <w:tcMar>
              <w:bottom w:w="0" w:type="dxa"/>
            </w:tcMar>
            <w:vAlign w:val="center"/>
          </w:tcPr>
          <w:p>
            <w:pPr>
              <w:pStyle w:val="TableContents"/>
              <w:spacing w:before="0" w:after="283"/>
              <w:rPr/>
            </w:pPr>
            <w:r>
              <w:rPr/>
              <w:t>​</w:t>
            </w:r>
          </w:p>
        </w:tc>
        <w:tc>
          <w:tcPr>
            <w:tcW w:w="164" w:type="dxa"/>
            <w:tcBorders/>
            <w:shd w:fill="auto" w:val="clear"/>
            <w:tcMar>
              <w:bottom w:w="0" w:type="dxa"/>
            </w:tcMar>
            <w:vAlign w:val="center"/>
          </w:tcPr>
          <w:p>
            <w:pPr>
              <w:pStyle w:val="TableContents"/>
              <w:spacing w:before="0" w:after="283"/>
              <w:rPr/>
            </w:pPr>
            <w:r>
              <w:rPr/>
              <w:t>​</w:t>
            </w:r>
          </w:p>
        </w:tc>
      </w:tr>
      <w:tr>
        <w:trPr/>
        <w:tc>
          <w:tcPr>
            <w:tcW w:w="3571" w:type="dxa"/>
            <w:tcBorders/>
            <w:shd w:fill="CCEEFF" w:val="clear"/>
            <w:tcMar>
              <w:bottom w:w="0" w:type="dxa"/>
            </w:tcMar>
            <w:vAlign w:val="center"/>
          </w:tcPr>
          <w:p>
            <w:pPr>
              <w:pStyle w:val="TableContents"/>
              <w:spacing w:before="0" w:after="0"/>
              <w:jc w:val="left"/>
              <w:rPr>
                <w:spacing w:val="4"/>
              </w:rPr>
            </w:pPr>
            <w:r>
              <w:rPr>
                <w:spacing w:val="4"/>
              </w:rPr>
              <w:t xml:space="preserve">Asian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jc w:val="right"/>
              <w:rPr/>
            </w:pPr>
            <w:r>
              <w:rPr/>
              <w:t>​</w:t>
            </w:r>
          </w:p>
        </w:tc>
        <w:tc>
          <w:tcPr>
            <w:tcW w:w="335" w:type="dxa"/>
            <w:tcBorders/>
            <w:shd w:fill="CCEEFF" w:val="clear"/>
            <w:tcMar>
              <w:bottom w:w="0" w:type="dxa"/>
            </w:tcMar>
            <w:vAlign w:val="center"/>
          </w:tcPr>
          <w:p>
            <w:pPr>
              <w:pStyle w:val="TableContents"/>
              <w:spacing w:before="0" w:after="283"/>
              <w:jc w:val="right"/>
              <w:rPr/>
            </w:pPr>
            <w:r>
              <w:rPr/>
              <w:t>0</w:t>
            </w:r>
          </w:p>
        </w:tc>
        <w:tc>
          <w:tcPr>
            <w:tcW w:w="16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jc w:val="right"/>
              <w:rPr/>
            </w:pPr>
            <w:r>
              <w:rPr/>
              <w:t>​</w:t>
            </w:r>
          </w:p>
        </w:tc>
        <w:tc>
          <w:tcPr>
            <w:tcW w:w="251" w:type="dxa"/>
            <w:tcBorders/>
            <w:shd w:fill="CCEEFF" w:val="clear"/>
            <w:tcMar>
              <w:bottom w:w="0" w:type="dxa"/>
            </w:tcMar>
            <w:vAlign w:val="center"/>
          </w:tcPr>
          <w:p>
            <w:pPr>
              <w:pStyle w:val="TableContents"/>
              <w:spacing w:before="0" w:after="283"/>
              <w:jc w:val="right"/>
              <w:rPr/>
            </w:pPr>
            <w:r>
              <w:rPr/>
              <w:t>0</w:t>
            </w:r>
          </w:p>
        </w:tc>
        <w:tc>
          <w:tcPr>
            <w:tcW w:w="12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47" w:type="dxa"/>
            <w:tcBorders/>
            <w:shd w:fill="CCEEFF" w:val="clear"/>
            <w:tcMar>
              <w:bottom w:w="0" w:type="dxa"/>
            </w:tcMar>
            <w:vAlign w:val="center"/>
          </w:tcPr>
          <w:p>
            <w:pPr>
              <w:pStyle w:val="TableContents"/>
              <w:spacing w:before="0" w:after="283"/>
              <w:rPr/>
            </w:pPr>
            <w:r>
              <w:rPr/>
              <w:t>​</w:t>
            </w:r>
          </w:p>
        </w:tc>
        <w:tc>
          <w:tcPr>
            <w:tcW w:w="247" w:type="dxa"/>
            <w:tcBorders/>
            <w:shd w:fill="CCEEFF" w:val="clear"/>
            <w:tcMar>
              <w:bottom w:w="0" w:type="dxa"/>
            </w:tcMar>
            <w:vAlign w:val="center"/>
          </w:tcPr>
          <w:p>
            <w:pPr>
              <w:pStyle w:val="TableContents"/>
              <w:spacing w:before="0" w:after="283"/>
              <w:jc w:val="right"/>
              <w:rPr/>
            </w:pPr>
            <w:r>
              <w:rPr/>
              <w:t>​</w:t>
            </w:r>
          </w:p>
        </w:tc>
        <w:tc>
          <w:tcPr>
            <w:tcW w:w="514" w:type="dxa"/>
            <w:tcBorders/>
            <w:shd w:fill="CCEEFF" w:val="clear"/>
            <w:tcMar>
              <w:bottom w:w="0" w:type="dxa"/>
            </w:tcMar>
            <w:vAlign w:val="center"/>
          </w:tcPr>
          <w:p>
            <w:pPr>
              <w:pStyle w:val="TableContents"/>
              <w:spacing w:before="0" w:after="283"/>
              <w:jc w:val="right"/>
              <w:rPr/>
            </w:pPr>
            <w:r>
              <w:rPr/>
              <w:t>0</w:t>
            </w:r>
          </w:p>
        </w:tc>
        <w:tc>
          <w:tcPr>
            <w:tcW w:w="24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98" w:type="dxa"/>
            <w:tcBorders/>
            <w:shd w:fill="CCEEFF" w:val="clear"/>
            <w:tcMar>
              <w:bottom w:w="0" w:type="dxa"/>
            </w:tcMar>
            <w:vAlign w:val="center"/>
          </w:tcPr>
          <w:p>
            <w:pPr>
              <w:pStyle w:val="TableContents"/>
              <w:spacing w:before="0" w:after="283"/>
              <w:rPr/>
            </w:pPr>
            <w:r>
              <w:rPr/>
              <w:t>​</w:t>
            </w:r>
          </w:p>
        </w:tc>
        <w:tc>
          <w:tcPr>
            <w:tcW w:w="298" w:type="dxa"/>
            <w:tcBorders/>
            <w:shd w:fill="CCEEFF" w:val="clear"/>
            <w:tcMar>
              <w:bottom w:w="0" w:type="dxa"/>
            </w:tcMar>
            <w:vAlign w:val="center"/>
          </w:tcPr>
          <w:p>
            <w:pPr>
              <w:pStyle w:val="TableContents"/>
              <w:spacing w:before="0" w:after="283"/>
              <w:jc w:val="right"/>
              <w:rPr/>
            </w:pPr>
            <w:r>
              <w:rPr/>
              <w:t>​</w:t>
            </w:r>
          </w:p>
        </w:tc>
        <w:tc>
          <w:tcPr>
            <w:tcW w:w="619" w:type="dxa"/>
            <w:tcBorders/>
            <w:shd w:fill="CCEEFF" w:val="clear"/>
            <w:tcMar>
              <w:bottom w:w="0" w:type="dxa"/>
            </w:tcMar>
            <w:vAlign w:val="center"/>
          </w:tcPr>
          <w:p>
            <w:pPr>
              <w:pStyle w:val="TableContents"/>
              <w:spacing w:before="0" w:after="283"/>
              <w:jc w:val="right"/>
              <w:rPr/>
            </w:pPr>
            <w:r>
              <w:rPr/>
              <w:t>0</w:t>
            </w:r>
          </w:p>
        </w:tc>
        <w:tc>
          <w:tcPr>
            <w:tcW w:w="301" w:type="dxa"/>
            <w:tcBorders/>
            <w:shd w:fill="CCEEFF" w:val="clear"/>
            <w:tcMar>
              <w:bottom w:w="0" w:type="dxa"/>
            </w:tcMar>
            <w:vAlign w:val="center"/>
          </w:tcPr>
          <w:p>
            <w:pPr>
              <w:pStyle w:val="TableContents"/>
              <w:spacing w:before="0" w:after="283"/>
              <w:rPr/>
            </w:pPr>
            <w:r>
              <w:rPr/>
              <w:t>​</w:t>
            </w:r>
          </w:p>
        </w:tc>
        <w:tc>
          <w:tcPr>
            <w:tcW w:w="164" w:type="dxa"/>
            <w:tcBorders/>
            <w:shd w:fill="CCEEFF" w:val="clear"/>
            <w:tcMar>
              <w:bottom w:w="0" w:type="dxa"/>
            </w:tcMar>
            <w:vAlign w:val="center"/>
          </w:tcPr>
          <w:p>
            <w:pPr>
              <w:pStyle w:val="TableContents"/>
              <w:spacing w:before="0" w:after="283"/>
              <w:rPr/>
            </w:pPr>
            <w:r>
              <w:rPr/>
              <w:t>​</w:t>
            </w:r>
          </w:p>
        </w:tc>
      </w:tr>
      <w:tr>
        <w:trPr/>
        <w:tc>
          <w:tcPr>
            <w:tcW w:w="3571" w:type="dxa"/>
            <w:tcBorders/>
            <w:shd w:fill="auto" w:val="clear"/>
            <w:tcMar>
              <w:bottom w:w="0" w:type="dxa"/>
            </w:tcMar>
            <w:vAlign w:val="center"/>
          </w:tcPr>
          <w:p>
            <w:pPr>
              <w:pStyle w:val="TableContents"/>
              <w:spacing w:before="0" w:after="0"/>
              <w:jc w:val="left"/>
              <w:rPr>
                <w:spacing w:val="4"/>
              </w:rPr>
            </w:pPr>
            <w:r>
              <w:rPr>
                <w:spacing w:val="4"/>
              </w:rPr>
              <w:t xml:space="preserve">Hispanic or Latinx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jc w:val="right"/>
              <w:rPr/>
            </w:pPr>
            <w:r>
              <w:rPr/>
              <w:t>​</w:t>
            </w:r>
          </w:p>
        </w:tc>
        <w:tc>
          <w:tcPr>
            <w:tcW w:w="335" w:type="dxa"/>
            <w:tcBorders/>
            <w:shd w:fill="auto" w:val="clear"/>
            <w:tcMar>
              <w:bottom w:w="0" w:type="dxa"/>
            </w:tcMar>
            <w:vAlign w:val="center"/>
          </w:tcPr>
          <w:p>
            <w:pPr>
              <w:pStyle w:val="TableContents"/>
              <w:spacing w:before="0" w:after="283"/>
              <w:jc w:val="right"/>
              <w:rPr/>
            </w:pPr>
            <w:r>
              <w:rPr/>
              <w:t>0</w:t>
            </w:r>
          </w:p>
        </w:tc>
        <w:tc>
          <w:tcPr>
            <w:tcW w:w="16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0" w:type="dxa"/>
            <w:tcBorders/>
            <w:shd w:fill="auto" w:val="clear"/>
            <w:tcMar>
              <w:bottom w:w="0" w:type="dxa"/>
            </w:tcMar>
            <w:vAlign w:val="center"/>
          </w:tcPr>
          <w:p>
            <w:pPr>
              <w:pStyle w:val="TableContents"/>
              <w:spacing w:before="0" w:after="283"/>
              <w:rPr/>
            </w:pPr>
            <w:r>
              <w:rPr/>
              <w:t>​</w:t>
            </w:r>
          </w:p>
        </w:tc>
        <w:tc>
          <w:tcPr>
            <w:tcW w:w="120" w:type="dxa"/>
            <w:tcBorders/>
            <w:shd w:fill="auto" w:val="clear"/>
            <w:tcMar>
              <w:bottom w:w="0" w:type="dxa"/>
            </w:tcMar>
            <w:vAlign w:val="center"/>
          </w:tcPr>
          <w:p>
            <w:pPr>
              <w:pStyle w:val="TableContents"/>
              <w:spacing w:before="0" w:after="283"/>
              <w:jc w:val="right"/>
              <w:rPr/>
            </w:pPr>
            <w:r>
              <w:rPr/>
              <w:t>​</w:t>
            </w:r>
          </w:p>
        </w:tc>
        <w:tc>
          <w:tcPr>
            <w:tcW w:w="251" w:type="dxa"/>
            <w:tcBorders/>
            <w:shd w:fill="auto" w:val="clear"/>
            <w:tcMar>
              <w:bottom w:w="0" w:type="dxa"/>
            </w:tcMar>
            <w:vAlign w:val="center"/>
          </w:tcPr>
          <w:p>
            <w:pPr>
              <w:pStyle w:val="TableContents"/>
              <w:spacing w:before="0" w:after="283"/>
              <w:jc w:val="right"/>
              <w:rPr/>
            </w:pPr>
            <w:r>
              <w:rPr/>
              <w:t>0</w:t>
            </w:r>
          </w:p>
        </w:tc>
        <w:tc>
          <w:tcPr>
            <w:tcW w:w="12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47" w:type="dxa"/>
            <w:tcBorders/>
            <w:shd w:fill="auto" w:val="clear"/>
            <w:tcMar>
              <w:bottom w:w="0" w:type="dxa"/>
            </w:tcMar>
            <w:vAlign w:val="center"/>
          </w:tcPr>
          <w:p>
            <w:pPr>
              <w:pStyle w:val="TableContents"/>
              <w:spacing w:before="0" w:after="283"/>
              <w:rPr/>
            </w:pPr>
            <w:r>
              <w:rPr/>
              <w:t>​</w:t>
            </w:r>
          </w:p>
        </w:tc>
        <w:tc>
          <w:tcPr>
            <w:tcW w:w="247" w:type="dxa"/>
            <w:tcBorders/>
            <w:shd w:fill="auto" w:val="clear"/>
            <w:tcMar>
              <w:bottom w:w="0" w:type="dxa"/>
            </w:tcMar>
            <w:vAlign w:val="center"/>
          </w:tcPr>
          <w:p>
            <w:pPr>
              <w:pStyle w:val="TableContents"/>
              <w:spacing w:before="0" w:after="283"/>
              <w:jc w:val="right"/>
              <w:rPr/>
            </w:pPr>
            <w:r>
              <w:rPr/>
              <w:t>​</w:t>
            </w:r>
          </w:p>
        </w:tc>
        <w:tc>
          <w:tcPr>
            <w:tcW w:w="514" w:type="dxa"/>
            <w:tcBorders/>
            <w:shd w:fill="auto" w:val="clear"/>
            <w:tcMar>
              <w:bottom w:w="0" w:type="dxa"/>
            </w:tcMar>
            <w:vAlign w:val="center"/>
          </w:tcPr>
          <w:p>
            <w:pPr>
              <w:pStyle w:val="TableContents"/>
              <w:spacing w:before="0" w:after="283"/>
              <w:jc w:val="right"/>
              <w:rPr/>
            </w:pPr>
            <w:r>
              <w:rPr/>
              <w:t>0</w:t>
            </w:r>
          </w:p>
        </w:tc>
        <w:tc>
          <w:tcPr>
            <w:tcW w:w="24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98" w:type="dxa"/>
            <w:tcBorders/>
            <w:shd w:fill="auto" w:val="clear"/>
            <w:tcMar>
              <w:bottom w:w="0" w:type="dxa"/>
            </w:tcMar>
            <w:vAlign w:val="center"/>
          </w:tcPr>
          <w:p>
            <w:pPr>
              <w:pStyle w:val="TableContents"/>
              <w:spacing w:before="0" w:after="283"/>
              <w:rPr/>
            </w:pPr>
            <w:r>
              <w:rPr/>
              <w:t>​</w:t>
            </w:r>
          </w:p>
        </w:tc>
        <w:tc>
          <w:tcPr>
            <w:tcW w:w="298" w:type="dxa"/>
            <w:tcBorders/>
            <w:shd w:fill="auto" w:val="clear"/>
            <w:tcMar>
              <w:bottom w:w="0" w:type="dxa"/>
            </w:tcMar>
            <w:vAlign w:val="center"/>
          </w:tcPr>
          <w:p>
            <w:pPr>
              <w:pStyle w:val="TableContents"/>
              <w:spacing w:before="0" w:after="283"/>
              <w:jc w:val="right"/>
              <w:rPr/>
            </w:pPr>
            <w:r>
              <w:rPr/>
              <w:t>​</w:t>
            </w:r>
          </w:p>
        </w:tc>
        <w:tc>
          <w:tcPr>
            <w:tcW w:w="619" w:type="dxa"/>
            <w:tcBorders/>
            <w:shd w:fill="auto" w:val="clear"/>
            <w:tcMar>
              <w:bottom w:w="0" w:type="dxa"/>
            </w:tcMar>
            <w:vAlign w:val="center"/>
          </w:tcPr>
          <w:p>
            <w:pPr>
              <w:pStyle w:val="TableContents"/>
              <w:spacing w:before="0" w:after="283"/>
              <w:jc w:val="right"/>
              <w:rPr/>
            </w:pPr>
            <w:r>
              <w:rPr/>
              <w:t>0</w:t>
            </w:r>
          </w:p>
        </w:tc>
        <w:tc>
          <w:tcPr>
            <w:tcW w:w="301" w:type="dxa"/>
            <w:tcBorders/>
            <w:shd w:fill="auto" w:val="clear"/>
            <w:tcMar>
              <w:bottom w:w="0" w:type="dxa"/>
            </w:tcMar>
            <w:vAlign w:val="center"/>
          </w:tcPr>
          <w:p>
            <w:pPr>
              <w:pStyle w:val="TableContents"/>
              <w:spacing w:before="0" w:after="283"/>
              <w:rPr/>
            </w:pPr>
            <w:r>
              <w:rPr/>
              <w:t>​</w:t>
            </w:r>
          </w:p>
        </w:tc>
        <w:tc>
          <w:tcPr>
            <w:tcW w:w="164" w:type="dxa"/>
            <w:tcBorders/>
            <w:shd w:fill="auto" w:val="clear"/>
            <w:tcMar>
              <w:bottom w:w="0" w:type="dxa"/>
            </w:tcMar>
            <w:vAlign w:val="center"/>
          </w:tcPr>
          <w:p>
            <w:pPr>
              <w:pStyle w:val="TableContents"/>
              <w:spacing w:before="0" w:after="283"/>
              <w:rPr/>
            </w:pPr>
            <w:r>
              <w:rPr/>
              <w:t>​</w:t>
            </w:r>
          </w:p>
        </w:tc>
      </w:tr>
      <w:tr>
        <w:trPr/>
        <w:tc>
          <w:tcPr>
            <w:tcW w:w="3571" w:type="dxa"/>
            <w:tcBorders/>
            <w:shd w:fill="CCEEFF" w:val="clear"/>
            <w:tcMar>
              <w:bottom w:w="0" w:type="dxa"/>
            </w:tcMar>
            <w:vAlign w:val="center"/>
          </w:tcPr>
          <w:p>
            <w:pPr>
              <w:pStyle w:val="TableContents"/>
              <w:spacing w:before="0" w:after="0"/>
              <w:jc w:val="left"/>
              <w:rPr>
                <w:spacing w:val="4"/>
              </w:rPr>
            </w:pPr>
            <w:r>
              <w:rPr>
                <w:spacing w:val="4"/>
              </w:rPr>
              <w:t xml:space="preserve">Native Hawaiian or Pacific Islander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jc w:val="right"/>
              <w:rPr/>
            </w:pPr>
            <w:r>
              <w:rPr/>
              <w:t>​</w:t>
            </w:r>
          </w:p>
        </w:tc>
        <w:tc>
          <w:tcPr>
            <w:tcW w:w="335" w:type="dxa"/>
            <w:tcBorders/>
            <w:shd w:fill="CCEEFF" w:val="clear"/>
            <w:tcMar>
              <w:bottom w:w="0" w:type="dxa"/>
            </w:tcMar>
            <w:vAlign w:val="center"/>
          </w:tcPr>
          <w:p>
            <w:pPr>
              <w:pStyle w:val="TableContents"/>
              <w:spacing w:before="0" w:after="283"/>
              <w:jc w:val="right"/>
              <w:rPr/>
            </w:pPr>
            <w:r>
              <w:rPr/>
              <w:t>0</w:t>
            </w:r>
          </w:p>
        </w:tc>
        <w:tc>
          <w:tcPr>
            <w:tcW w:w="16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jc w:val="right"/>
              <w:rPr/>
            </w:pPr>
            <w:r>
              <w:rPr/>
              <w:t>​</w:t>
            </w:r>
          </w:p>
        </w:tc>
        <w:tc>
          <w:tcPr>
            <w:tcW w:w="251" w:type="dxa"/>
            <w:tcBorders/>
            <w:shd w:fill="CCEEFF" w:val="clear"/>
            <w:tcMar>
              <w:bottom w:w="0" w:type="dxa"/>
            </w:tcMar>
            <w:vAlign w:val="center"/>
          </w:tcPr>
          <w:p>
            <w:pPr>
              <w:pStyle w:val="TableContents"/>
              <w:spacing w:before="0" w:after="283"/>
              <w:jc w:val="right"/>
              <w:rPr/>
            </w:pPr>
            <w:r>
              <w:rPr/>
              <w:t>0</w:t>
            </w:r>
          </w:p>
        </w:tc>
        <w:tc>
          <w:tcPr>
            <w:tcW w:w="12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47" w:type="dxa"/>
            <w:tcBorders/>
            <w:shd w:fill="CCEEFF" w:val="clear"/>
            <w:tcMar>
              <w:bottom w:w="0" w:type="dxa"/>
            </w:tcMar>
            <w:vAlign w:val="center"/>
          </w:tcPr>
          <w:p>
            <w:pPr>
              <w:pStyle w:val="TableContents"/>
              <w:spacing w:before="0" w:after="283"/>
              <w:rPr/>
            </w:pPr>
            <w:r>
              <w:rPr/>
              <w:t>​</w:t>
            </w:r>
          </w:p>
        </w:tc>
        <w:tc>
          <w:tcPr>
            <w:tcW w:w="247" w:type="dxa"/>
            <w:tcBorders/>
            <w:shd w:fill="CCEEFF" w:val="clear"/>
            <w:tcMar>
              <w:bottom w:w="0" w:type="dxa"/>
            </w:tcMar>
            <w:vAlign w:val="center"/>
          </w:tcPr>
          <w:p>
            <w:pPr>
              <w:pStyle w:val="TableContents"/>
              <w:spacing w:before="0" w:after="283"/>
              <w:jc w:val="right"/>
              <w:rPr/>
            </w:pPr>
            <w:r>
              <w:rPr/>
              <w:t>​</w:t>
            </w:r>
          </w:p>
        </w:tc>
        <w:tc>
          <w:tcPr>
            <w:tcW w:w="514" w:type="dxa"/>
            <w:tcBorders/>
            <w:shd w:fill="CCEEFF" w:val="clear"/>
            <w:tcMar>
              <w:bottom w:w="0" w:type="dxa"/>
            </w:tcMar>
            <w:vAlign w:val="center"/>
          </w:tcPr>
          <w:p>
            <w:pPr>
              <w:pStyle w:val="TableContents"/>
              <w:spacing w:before="0" w:after="283"/>
              <w:jc w:val="right"/>
              <w:rPr/>
            </w:pPr>
            <w:r>
              <w:rPr/>
              <w:t>0</w:t>
            </w:r>
          </w:p>
        </w:tc>
        <w:tc>
          <w:tcPr>
            <w:tcW w:w="24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98" w:type="dxa"/>
            <w:tcBorders/>
            <w:shd w:fill="CCEEFF" w:val="clear"/>
            <w:tcMar>
              <w:bottom w:w="0" w:type="dxa"/>
            </w:tcMar>
            <w:vAlign w:val="center"/>
          </w:tcPr>
          <w:p>
            <w:pPr>
              <w:pStyle w:val="TableContents"/>
              <w:spacing w:before="0" w:after="283"/>
              <w:rPr/>
            </w:pPr>
            <w:r>
              <w:rPr/>
              <w:t>​</w:t>
            </w:r>
          </w:p>
        </w:tc>
        <w:tc>
          <w:tcPr>
            <w:tcW w:w="298" w:type="dxa"/>
            <w:tcBorders/>
            <w:shd w:fill="CCEEFF" w:val="clear"/>
            <w:tcMar>
              <w:bottom w:w="0" w:type="dxa"/>
            </w:tcMar>
            <w:vAlign w:val="center"/>
          </w:tcPr>
          <w:p>
            <w:pPr>
              <w:pStyle w:val="TableContents"/>
              <w:spacing w:before="0" w:after="283"/>
              <w:jc w:val="right"/>
              <w:rPr/>
            </w:pPr>
            <w:r>
              <w:rPr/>
              <w:t>​</w:t>
            </w:r>
          </w:p>
        </w:tc>
        <w:tc>
          <w:tcPr>
            <w:tcW w:w="619" w:type="dxa"/>
            <w:tcBorders/>
            <w:shd w:fill="CCEEFF" w:val="clear"/>
            <w:tcMar>
              <w:bottom w:w="0" w:type="dxa"/>
            </w:tcMar>
            <w:vAlign w:val="center"/>
          </w:tcPr>
          <w:p>
            <w:pPr>
              <w:pStyle w:val="TableContents"/>
              <w:spacing w:before="0" w:after="283"/>
              <w:jc w:val="right"/>
              <w:rPr/>
            </w:pPr>
            <w:r>
              <w:rPr/>
              <w:t>0</w:t>
            </w:r>
          </w:p>
        </w:tc>
        <w:tc>
          <w:tcPr>
            <w:tcW w:w="301" w:type="dxa"/>
            <w:tcBorders/>
            <w:shd w:fill="CCEEFF" w:val="clear"/>
            <w:tcMar>
              <w:bottom w:w="0" w:type="dxa"/>
            </w:tcMar>
            <w:vAlign w:val="center"/>
          </w:tcPr>
          <w:p>
            <w:pPr>
              <w:pStyle w:val="TableContents"/>
              <w:spacing w:before="0" w:after="283"/>
              <w:rPr/>
            </w:pPr>
            <w:r>
              <w:rPr/>
              <w:t>​</w:t>
            </w:r>
          </w:p>
        </w:tc>
        <w:tc>
          <w:tcPr>
            <w:tcW w:w="164" w:type="dxa"/>
            <w:tcBorders/>
            <w:shd w:fill="CCEEFF" w:val="clear"/>
            <w:tcMar>
              <w:bottom w:w="0" w:type="dxa"/>
            </w:tcMar>
            <w:vAlign w:val="center"/>
          </w:tcPr>
          <w:p>
            <w:pPr>
              <w:pStyle w:val="TableContents"/>
              <w:spacing w:before="0" w:after="283"/>
              <w:rPr/>
            </w:pPr>
            <w:r>
              <w:rPr/>
              <w:t>​</w:t>
            </w:r>
          </w:p>
        </w:tc>
      </w:tr>
      <w:tr>
        <w:trPr/>
        <w:tc>
          <w:tcPr>
            <w:tcW w:w="3571" w:type="dxa"/>
            <w:tcBorders/>
            <w:shd w:fill="auto" w:val="clear"/>
            <w:tcMar>
              <w:bottom w:w="0" w:type="dxa"/>
            </w:tcMar>
            <w:vAlign w:val="center"/>
          </w:tcPr>
          <w:p>
            <w:pPr>
              <w:pStyle w:val="TableContents"/>
              <w:spacing w:before="0" w:after="0"/>
              <w:jc w:val="left"/>
              <w:rPr>
                <w:spacing w:val="4"/>
              </w:rPr>
            </w:pPr>
            <w:r>
              <w:rPr>
                <w:spacing w:val="4"/>
              </w:rPr>
              <w:t xml:space="preserve">Two or More Races or Ethnicities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jc w:val="right"/>
              <w:rPr/>
            </w:pPr>
            <w:r>
              <w:rPr/>
              <w:t>​</w:t>
            </w:r>
          </w:p>
        </w:tc>
        <w:tc>
          <w:tcPr>
            <w:tcW w:w="335" w:type="dxa"/>
            <w:tcBorders/>
            <w:shd w:fill="auto" w:val="clear"/>
            <w:tcMar>
              <w:bottom w:w="0" w:type="dxa"/>
            </w:tcMar>
            <w:vAlign w:val="center"/>
          </w:tcPr>
          <w:p>
            <w:pPr>
              <w:pStyle w:val="TableContents"/>
              <w:spacing w:before="0" w:after="283"/>
              <w:jc w:val="right"/>
              <w:rPr/>
            </w:pPr>
            <w:r>
              <w:rPr/>
              <w:t>0</w:t>
            </w:r>
          </w:p>
        </w:tc>
        <w:tc>
          <w:tcPr>
            <w:tcW w:w="16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0" w:type="dxa"/>
            <w:tcBorders/>
            <w:shd w:fill="auto" w:val="clear"/>
            <w:tcMar>
              <w:bottom w:w="0" w:type="dxa"/>
            </w:tcMar>
            <w:vAlign w:val="center"/>
          </w:tcPr>
          <w:p>
            <w:pPr>
              <w:pStyle w:val="TableContents"/>
              <w:spacing w:before="0" w:after="283"/>
              <w:rPr/>
            </w:pPr>
            <w:r>
              <w:rPr/>
              <w:t>​</w:t>
            </w:r>
          </w:p>
        </w:tc>
        <w:tc>
          <w:tcPr>
            <w:tcW w:w="120" w:type="dxa"/>
            <w:tcBorders/>
            <w:shd w:fill="auto" w:val="clear"/>
            <w:tcMar>
              <w:bottom w:w="0" w:type="dxa"/>
            </w:tcMar>
            <w:vAlign w:val="center"/>
          </w:tcPr>
          <w:p>
            <w:pPr>
              <w:pStyle w:val="TableContents"/>
              <w:spacing w:before="0" w:after="283"/>
              <w:jc w:val="right"/>
              <w:rPr/>
            </w:pPr>
            <w:r>
              <w:rPr/>
              <w:t>​</w:t>
            </w:r>
          </w:p>
        </w:tc>
        <w:tc>
          <w:tcPr>
            <w:tcW w:w="251" w:type="dxa"/>
            <w:tcBorders/>
            <w:shd w:fill="auto" w:val="clear"/>
            <w:tcMar>
              <w:bottom w:w="0" w:type="dxa"/>
            </w:tcMar>
            <w:vAlign w:val="center"/>
          </w:tcPr>
          <w:p>
            <w:pPr>
              <w:pStyle w:val="TableContents"/>
              <w:spacing w:before="0" w:after="283"/>
              <w:jc w:val="right"/>
              <w:rPr/>
            </w:pPr>
            <w:r>
              <w:rPr/>
              <w:t>0</w:t>
            </w:r>
          </w:p>
        </w:tc>
        <w:tc>
          <w:tcPr>
            <w:tcW w:w="12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47" w:type="dxa"/>
            <w:tcBorders/>
            <w:shd w:fill="auto" w:val="clear"/>
            <w:tcMar>
              <w:bottom w:w="0" w:type="dxa"/>
            </w:tcMar>
            <w:vAlign w:val="center"/>
          </w:tcPr>
          <w:p>
            <w:pPr>
              <w:pStyle w:val="TableContents"/>
              <w:spacing w:before="0" w:after="283"/>
              <w:rPr/>
            </w:pPr>
            <w:r>
              <w:rPr/>
              <w:t>​</w:t>
            </w:r>
          </w:p>
        </w:tc>
        <w:tc>
          <w:tcPr>
            <w:tcW w:w="247" w:type="dxa"/>
            <w:tcBorders/>
            <w:shd w:fill="auto" w:val="clear"/>
            <w:tcMar>
              <w:bottom w:w="0" w:type="dxa"/>
            </w:tcMar>
            <w:vAlign w:val="center"/>
          </w:tcPr>
          <w:p>
            <w:pPr>
              <w:pStyle w:val="TableContents"/>
              <w:spacing w:before="0" w:after="283"/>
              <w:jc w:val="right"/>
              <w:rPr/>
            </w:pPr>
            <w:r>
              <w:rPr/>
              <w:t>​</w:t>
            </w:r>
          </w:p>
        </w:tc>
        <w:tc>
          <w:tcPr>
            <w:tcW w:w="514" w:type="dxa"/>
            <w:tcBorders/>
            <w:shd w:fill="auto" w:val="clear"/>
            <w:tcMar>
              <w:bottom w:w="0" w:type="dxa"/>
            </w:tcMar>
            <w:vAlign w:val="center"/>
          </w:tcPr>
          <w:p>
            <w:pPr>
              <w:pStyle w:val="TableContents"/>
              <w:spacing w:before="0" w:after="283"/>
              <w:jc w:val="right"/>
              <w:rPr/>
            </w:pPr>
            <w:r>
              <w:rPr/>
              <w:t>0</w:t>
            </w:r>
          </w:p>
        </w:tc>
        <w:tc>
          <w:tcPr>
            <w:tcW w:w="24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98" w:type="dxa"/>
            <w:tcBorders/>
            <w:shd w:fill="auto" w:val="clear"/>
            <w:tcMar>
              <w:bottom w:w="0" w:type="dxa"/>
            </w:tcMar>
            <w:vAlign w:val="center"/>
          </w:tcPr>
          <w:p>
            <w:pPr>
              <w:pStyle w:val="TableContents"/>
              <w:spacing w:before="0" w:after="283"/>
              <w:rPr/>
            </w:pPr>
            <w:r>
              <w:rPr/>
              <w:t>​</w:t>
            </w:r>
          </w:p>
        </w:tc>
        <w:tc>
          <w:tcPr>
            <w:tcW w:w="298" w:type="dxa"/>
            <w:tcBorders/>
            <w:shd w:fill="auto" w:val="clear"/>
            <w:tcMar>
              <w:bottom w:w="0" w:type="dxa"/>
            </w:tcMar>
            <w:vAlign w:val="center"/>
          </w:tcPr>
          <w:p>
            <w:pPr>
              <w:pStyle w:val="TableContents"/>
              <w:spacing w:before="0" w:after="283"/>
              <w:jc w:val="right"/>
              <w:rPr/>
            </w:pPr>
            <w:r>
              <w:rPr/>
              <w:t>​</w:t>
            </w:r>
          </w:p>
        </w:tc>
        <w:tc>
          <w:tcPr>
            <w:tcW w:w="619" w:type="dxa"/>
            <w:tcBorders/>
            <w:shd w:fill="auto" w:val="clear"/>
            <w:tcMar>
              <w:bottom w:w="0" w:type="dxa"/>
            </w:tcMar>
            <w:vAlign w:val="center"/>
          </w:tcPr>
          <w:p>
            <w:pPr>
              <w:pStyle w:val="TableContents"/>
              <w:spacing w:before="0" w:after="283"/>
              <w:jc w:val="right"/>
              <w:rPr/>
            </w:pPr>
            <w:r>
              <w:rPr/>
              <w:t>0</w:t>
            </w:r>
          </w:p>
        </w:tc>
        <w:tc>
          <w:tcPr>
            <w:tcW w:w="301" w:type="dxa"/>
            <w:tcBorders/>
            <w:shd w:fill="auto" w:val="clear"/>
            <w:tcMar>
              <w:bottom w:w="0" w:type="dxa"/>
            </w:tcMar>
            <w:vAlign w:val="center"/>
          </w:tcPr>
          <w:p>
            <w:pPr>
              <w:pStyle w:val="TableContents"/>
              <w:spacing w:before="0" w:after="283"/>
              <w:rPr/>
            </w:pPr>
            <w:r>
              <w:rPr/>
              <w:t>​</w:t>
            </w:r>
          </w:p>
        </w:tc>
        <w:tc>
          <w:tcPr>
            <w:tcW w:w="164" w:type="dxa"/>
            <w:tcBorders/>
            <w:shd w:fill="auto" w:val="clear"/>
            <w:tcMar>
              <w:bottom w:w="0" w:type="dxa"/>
            </w:tcMar>
            <w:vAlign w:val="center"/>
          </w:tcPr>
          <w:p>
            <w:pPr>
              <w:pStyle w:val="TableContents"/>
              <w:spacing w:before="0" w:after="283"/>
              <w:rPr/>
            </w:pPr>
            <w:r>
              <w:rPr/>
              <w:t>​</w:t>
            </w:r>
          </w:p>
        </w:tc>
      </w:tr>
      <w:tr>
        <w:trPr/>
        <w:tc>
          <w:tcPr>
            <w:tcW w:w="3571" w:type="dxa"/>
            <w:tcBorders/>
            <w:shd w:fill="CCEEFF" w:val="clear"/>
            <w:tcMar>
              <w:bottom w:w="0" w:type="dxa"/>
            </w:tcMar>
            <w:vAlign w:val="center"/>
          </w:tcPr>
          <w:p>
            <w:pPr>
              <w:pStyle w:val="TableContents"/>
              <w:spacing w:before="0" w:after="283"/>
              <w:jc w:val="left"/>
              <w:rPr/>
            </w:pPr>
            <w:r>
              <w:rPr>
                <w:spacing w:val="4"/>
              </w:rPr>
              <w:t>White</w:t>
            </w:r>
            <w:r>
              <w:rPr>
                <w:spacing w:val="3"/>
                <w:sz w:val="13"/>
              </w:rPr>
              <w:t>(1)(2)</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jc w:val="right"/>
              <w:rPr/>
            </w:pPr>
            <w:r>
              <w:rPr/>
              <w:t>​</w:t>
            </w:r>
          </w:p>
        </w:tc>
        <w:tc>
          <w:tcPr>
            <w:tcW w:w="335" w:type="dxa"/>
            <w:tcBorders/>
            <w:shd w:fill="CCEEFF" w:val="clear"/>
            <w:tcMar>
              <w:bottom w:w="0" w:type="dxa"/>
            </w:tcMar>
            <w:vAlign w:val="center"/>
          </w:tcPr>
          <w:p>
            <w:pPr>
              <w:pStyle w:val="TableContents"/>
              <w:spacing w:before="0" w:after="283"/>
              <w:jc w:val="right"/>
              <w:rPr/>
            </w:pPr>
            <w:r>
              <w:rPr/>
              <w:t>1</w:t>
            </w:r>
          </w:p>
        </w:tc>
        <w:tc>
          <w:tcPr>
            <w:tcW w:w="16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jc w:val="right"/>
              <w:rPr/>
            </w:pPr>
            <w:r>
              <w:rPr/>
              <w:t>​</w:t>
            </w:r>
          </w:p>
        </w:tc>
        <w:tc>
          <w:tcPr>
            <w:tcW w:w="251" w:type="dxa"/>
            <w:tcBorders/>
            <w:shd w:fill="CCEEFF" w:val="clear"/>
            <w:tcMar>
              <w:bottom w:w="0" w:type="dxa"/>
            </w:tcMar>
            <w:vAlign w:val="center"/>
          </w:tcPr>
          <w:p>
            <w:pPr>
              <w:pStyle w:val="TableContents"/>
              <w:spacing w:before="0" w:after="283"/>
              <w:jc w:val="right"/>
              <w:rPr/>
            </w:pPr>
            <w:r>
              <w:rPr/>
              <w:t>4</w:t>
            </w:r>
          </w:p>
        </w:tc>
        <w:tc>
          <w:tcPr>
            <w:tcW w:w="12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47" w:type="dxa"/>
            <w:tcBorders/>
            <w:shd w:fill="CCEEFF" w:val="clear"/>
            <w:tcMar>
              <w:bottom w:w="0" w:type="dxa"/>
            </w:tcMar>
            <w:vAlign w:val="center"/>
          </w:tcPr>
          <w:p>
            <w:pPr>
              <w:pStyle w:val="TableContents"/>
              <w:spacing w:before="0" w:after="283"/>
              <w:rPr/>
            </w:pPr>
            <w:r>
              <w:rPr/>
              <w:t>​</w:t>
            </w:r>
          </w:p>
        </w:tc>
        <w:tc>
          <w:tcPr>
            <w:tcW w:w="247" w:type="dxa"/>
            <w:tcBorders/>
            <w:shd w:fill="CCEEFF" w:val="clear"/>
            <w:tcMar>
              <w:bottom w:w="0" w:type="dxa"/>
            </w:tcMar>
            <w:vAlign w:val="center"/>
          </w:tcPr>
          <w:p>
            <w:pPr>
              <w:pStyle w:val="TableContents"/>
              <w:spacing w:before="0" w:after="283"/>
              <w:jc w:val="right"/>
              <w:rPr/>
            </w:pPr>
            <w:r>
              <w:rPr/>
              <w:t>​</w:t>
            </w:r>
          </w:p>
        </w:tc>
        <w:tc>
          <w:tcPr>
            <w:tcW w:w="514" w:type="dxa"/>
            <w:tcBorders/>
            <w:shd w:fill="CCEEFF" w:val="clear"/>
            <w:tcMar>
              <w:bottom w:w="0" w:type="dxa"/>
            </w:tcMar>
            <w:vAlign w:val="center"/>
          </w:tcPr>
          <w:p>
            <w:pPr>
              <w:pStyle w:val="TableContents"/>
              <w:spacing w:before="0" w:after="283"/>
              <w:jc w:val="right"/>
              <w:rPr/>
            </w:pPr>
            <w:r>
              <w:rPr/>
              <w:t>0</w:t>
            </w:r>
          </w:p>
        </w:tc>
        <w:tc>
          <w:tcPr>
            <w:tcW w:w="24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98" w:type="dxa"/>
            <w:tcBorders/>
            <w:shd w:fill="CCEEFF" w:val="clear"/>
            <w:tcMar>
              <w:bottom w:w="0" w:type="dxa"/>
            </w:tcMar>
            <w:vAlign w:val="center"/>
          </w:tcPr>
          <w:p>
            <w:pPr>
              <w:pStyle w:val="TableContents"/>
              <w:spacing w:before="0" w:after="283"/>
              <w:rPr/>
            </w:pPr>
            <w:r>
              <w:rPr/>
              <w:t>​</w:t>
            </w:r>
          </w:p>
        </w:tc>
        <w:tc>
          <w:tcPr>
            <w:tcW w:w="298" w:type="dxa"/>
            <w:tcBorders/>
            <w:shd w:fill="CCEEFF" w:val="clear"/>
            <w:tcMar>
              <w:bottom w:w="0" w:type="dxa"/>
            </w:tcMar>
            <w:vAlign w:val="center"/>
          </w:tcPr>
          <w:p>
            <w:pPr>
              <w:pStyle w:val="TableContents"/>
              <w:spacing w:before="0" w:after="283"/>
              <w:jc w:val="right"/>
              <w:rPr/>
            </w:pPr>
            <w:r>
              <w:rPr/>
              <w:t>​</w:t>
            </w:r>
          </w:p>
        </w:tc>
        <w:tc>
          <w:tcPr>
            <w:tcW w:w="619" w:type="dxa"/>
            <w:tcBorders/>
            <w:shd w:fill="CCEEFF" w:val="clear"/>
            <w:tcMar>
              <w:bottom w:w="0" w:type="dxa"/>
            </w:tcMar>
            <w:vAlign w:val="center"/>
          </w:tcPr>
          <w:p>
            <w:pPr>
              <w:pStyle w:val="TableContents"/>
              <w:spacing w:before="0" w:after="283"/>
              <w:jc w:val="right"/>
              <w:rPr/>
            </w:pPr>
            <w:r>
              <w:rPr/>
              <w:t>0</w:t>
            </w:r>
          </w:p>
        </w:tc>
        <w:tc>
          <w:tcPr>
            <w:tcW w:w="301" w:type="dxa"/>
            <w:tcBorders/>
            <w:shd w:fill="CCEEFF" w:val="clear"/>
            <w:tcMar>
              <w:bottom w:w="0" w:type="dxa"/>
            </w:tcMar>
            <w:vAlign w:val="center"/>
          </w:tcPr>
          <w:p>
            <w:pPr>
              <w:pStyle w:val="TableContents"/>
              <w:spacing w:before="0" w:after="283"/>
              <w:rPr/>
            </w:pPr>
            <w:r>
              <w:rPr/>
              <w:t>​</w:t>
            </w:r>
          </w:p>
        </w:tc>
        <w:tc>
          <w:tcPr>
            <w:tcW w:w="164" w:type="dxa"/>
            <w:tcBorders/>
            <w:shd w:fill="CCEEFF" w:val="clear"/>
            <w:tcMar>
              <w:bottom w:w="0" w:type="dxa"/>
            </w:tcMar>
            <w:vAlign w:val="center"/>
          </w:tcPr>
          <w:p>
            <w:pPr>
              <w:pStyle w:val="TableContents"/>
              <w:spacing w:before="0" w:after="283"/>
              <w:rPr/>
            </w:pPr>
            <w:r>
              <w:rPr/>
              <w:t>​</w:t>
            </w:r>
          </w:p>
        </w:tc>
      </w:tr>
      <w:tr>
        <w:trPr/>
        <w:tc>
          <w:tcPr>
            <w:tcW w:w="3571" w:type="dxa"/>
            <w:tcBorders/>
            <w:shd w:fill="auto" w:val="clear"/>
            <w:tcMar>
              <w:bottom w:w="0" w:type="dxa"/>
            </w:tcMar>
            <w:vAlign w:val="center"/>
          </w:tcPr>
          <w:p>
            <w:pPr>
              <w:pStyle w:val="TableContents"/>
              <w:spacing w:before="0" w:after="0"/>
              <w:jc w:val="left"/>
              <w:rPr>
                <w:spacing w:val="4"/>
              </w:rPr>
            </w:pPr>
            <w:r>
              <w:rPr>
                <w:spacing w:val="4"/>
              </w:rPr>
              <w:t xml:space="preserve">LGBTQ+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jc w:val="right"/>
              <w:rPr/>
            </w:pPr>
            <w:r>
              <w:rPr/>
              <w:t>​</w:t>
            </w:r>
          </w:p>
        </w:tc>
        <w:tc>
          <w:tcPr>
            <w:tcW w:w="335" w:type="dxa"/>
            <w:tcBorders/>
            <w:shd w:fill="auto" w:val="clear"/>
            <w:tcMar>
              <w:bottom w:w="0" w:type="dxa"/>
            </w:tcMar>
            <w:vAlign w:val="center"/>
          </w:tcPr>
          <w:p>
            <w:pPr>
              <w:pStyle w:val="TableContents"/>
              <w:spacing w:before="0" w:after="283"/>
              <w:jc w:val="right"/>
              <w:rPr/>
            </w:pPr>
            <w:r>
              <w:rPr/>
              <w:t>0</w:t>
            </w:r>
          </w:p>
        </w:tc>
        <w:tc>
          <w:tcPr>
            <w:tcW w:w="16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0" w:type="dxa"/>
            <w:tcBorders/>
            <w:shd w:fill="auto" w:val="clear"/>
            <w:tcMar>
              <w:bottom w:w="0" w:type="dxa"/>
            </w:tcMar>
            <w:vAlign w:val="center"/>
          </w:tcPr>
          <w:p>
            <w:pPr>
              <w:pStyle w:val="TableContents"/>
              <w:spacing w:before="0" w:after="283"/>
              <w:rPr/>
            </w:pPr>
            <w:r>
              <w:rPr/>
              <w:t>​</w:t>
            </w:r>
          </w:p>
        </w:tc>
        <w:tc>
          <w:tcPr>
            <w:tcW w:w="120" w:type="dxa"/>
            <w:tcBorders/>
            <w:shd w:fill="auto" w:val="clear"/>
            <w:tcMar>
              <w:bottom w:w="0" w:type="dxa"/>
            </w:tcMar>
            <w:vAlign w:val="center"/>
          </w:tcPr>
          <w:p>
            <w:pPr>
              <w:pStyle w:val="TableContents"/>
              <w:spacing w:before="0" w:after="283"/>
              <w:jc w:val="right"/>
              <w:rPr/>
            </w:pPr>
            <w:r>
              <w:rPr/>
              <w:t>​</w:t>
            </w:r>
          </w:p>
        </w:tc>
        <w:tc>
          <w:tcPr>
            <w:tcW w:w="251" w:type="dxa"/>
            <w:tcBorders/>
            <w:shd w:fill="auto" w:val="clear"/>
            <w:tcMar>
              <w:bottom w:w="0" w:type="dxa"/>
            </w:tcMar>
            <w:vAlign w:val="center"/>
          </w:tcPr>
          <w:p>
            <w:pPr>
              <w:pStyle w:val="TableContents"/>
              <w:spacing w:before="0" w:after="283"/>
              <w:jc w:val="right"/>
              <w:rPr/>
            </w:pPr>
            <w:r>
              <w:rPr/>
              <w:t>0</w:t>
            </w:r>
          </w:p>
        </w:tc>
        <w:tc>
          <w:tcPr>
            <w:tcW w:w="12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47" w:type="dxa"/>
            <w:tcBorders/>
            <w:shd w:fill="auto" w:val="clear"/>
            <w:tcMar>
              <w:bottom w:w="0" w:type="dxa"/>
            </w:tcMar>
            <w:vAlign w:val="center"/>
          </w:tcPr>
          <w:p>
            <w:pPr>
              <w:pStyle w:val="TableContents"/>
              <w:spacing w:before="0" w:after="283"/>
              <w:rPr/>
            </w:pPr>
            <w:r>
              <w:rPr/>
              <w:t>​</w:t>
            </w:r>
          </w:p>
        </w:tc>
        <w:tc>
          <w:tcPr>
            <w:tcW w:w="247" w:type="dxa"/>
            <w:tcBorders/>
            <w:shd w:fill="auto" w:val="clear"/>
            <w:tcMar>
              <w:bottom w:w="0" w:type="dxa"/>
            </w:tcMar>
            <w:vAlign w:val="center"/>
          </w:tcPr>
          <w:p>
            <w:pPr>
              <w:pStyle w:val="TableContents"/>
              <w:spacing w:before="0" w:after="283"/>
              <w:jc w:val="right"/>
              <w:rPr/>
            </w:pPr>
            <w:r>
              <w:rPr/>
              <w:t>​</w:t>
            </w:r>
          </w:p>
        </w:tc>
        <w:tc>
          <w:tcPr>
            <w:tcW w:w="514" w:type="dxa"/>
            <w:tcBorders/>
            <w:shd w:fill="auto" w:val="clear"/>
            <w:tcMar>
              <w:bottom w:w="0" w:type="dxa"/>
            </w:tcMar>
            <w:vAlign w:val="center"/>
          </w:tcPr>
          <w:p>
            <w:pPr>
              <w:pStyle w:val="TableContents"/>
              <w:spacing w:before="0" w:after="283"/>
              <w:jc w:val="right"/>
              <w:rPr/>
            </w:pPr>
            <w:r>
              <w:rPr/>
              <w:t>0</w:t>
            </w:r>
          </w:p>
        </w:tc>
        <w:tc>
          <w:tcPr>
            <w:tcW w:w="24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98" w:type="dxa"/>
            <w:tcBorders/>
            <w:shd w:fill="auto" w:val="clear"/>
            <w:tcMar>
              <w:bottom w:w="0" w:type="dxa"/>
            </w:tcMar>
            <w:vAlign w:val="center"/>
          </w:tcPr>
          <w:p>
            <w:pPr>
              <w:pStyle w:val="TableContents"/>
              <w:spacing w:before="0" w:after="283"/>
              <w:rPr/>
            </w:pPr>
            <w:r>
              <w:rPr/>
              <w:t>​</w:t>
            </w:r>
          </w:p>
        </w:tc>
        <w:tc>
          <w:tcPr>
            <w:tcW w:w="298" w:type="dxa"/>
            <w:tcBorders/>
            <w:shd w:fill="auto" w:val="clear"/>
            <w:tcMar>
              <w:bottom w:w="0" w:type="dxa"/>
            </w:tcMar>
            <w:vAlign w:val="center"/>
          </w:tcPr>
          <w:p>
            <w:pPr>
              <w:pStyle w:val="TableContents"/>
              <w:spacing w:before="0" w:after="283"/>
              <w:jc w:val="right"/>
              <w:rPr/>
            </w:pPr>
            <w:r>
              <w:rPr/>
              <w:t>​</w:t>
            </w:r>
          </w:p>
        </w:tc>
        <w:tc>
          <w:tcPr>
            <w:tcW w:w="619" w:type="dxa"/>
            <w:tcBorders/>
            <w:shd w:fill="auto" w:val="clear"/>
            <w:tcMar>
              <w:bottom w:w="0" w:type="dxa"/>
            </w:tcMar>
            <w:vAlign w:val="center"/>
          </w:tcPr>
          <w:p>
            <w:pPr>
              <w:pStyle w:val="TableContents"/>
              <w:spacing w:before="0" w:after="283"/>
              <w:jc w:val="right"/>
              <w:rPr/>
            </w:pPr>
            <w:r>
              <w:rPr/>
              <w:t>0</w:t>
            </w:r>
          </w:p>
        </w:tc>
        <w:tc>
          <w:tcPr>
            <w:tcW w:w="301" w:type="dxa"/>
            <w:tcBorders/>
            <w:shd w:fill="auto" w:val="clear"/>
            <w:tcMar>
              <w:bottom w:w="0" w:type="dxa"/>
            </w:tcMar>
            <w:vAlign w:val="center"/>
          </w:tcPr>
          <w:p>
            <w:pPr>
              <w:pStyle w:val="TableContents"/>
              <w:spacing w:before="0" w:after="283"/>
              <w:rPr/>
            </w:pPr>
            <w:r>
              <w:rPr/>
              <w:t>​</w:t>
            </w:r>
          </w:p>
        </w:tc>
        <w:tc>
          <w:tcPr>
            <w:tcW w:w="164" w:type="dxa"/>
            <w:tcBorders/>
            <w:shd w:fill="auto" w:val="clear"/>
            <w:tcMar>
              <w:bottom w:w="0" w:type="dxa"/>
            </w:tcMar>
            <w:vAlign w:val="center"/>
          </w:tcPr>
          <w:p>
            <w:pPr>
              <w:pStyle w:val="TableContents"/>
              <w:spacing w:before="0" w:after="283"/>
              <w:rPr/>
            </w:pPr>
            <w:r>
              <w:rPr/>
              <w:t>​</w:t>
            </w:r>
          </w:p>
        </w:tc>
      </w:tr>
      <w:tr>
        <w:trPr/>
        <w:tc>
          <w:tcPr>
            <w:tcW w:w="3571" w:type="dxa"/>
            <w:tcBorders/>
            <w:shd w:fill="CCEEFF" w:val="clear"/>
            <w:tcMar>
              <w:bottom w:w="0" w:type="dxa"/>
            </w:tcMar>
            <w:vAlign w:val="center"/>
          </w:tcPr>
          <w:p>
            <w:pPr>
              <w:pStyle w:val="TableContents"/>
              <w:spacing w:before="0" w:after="0"/>
              <w:jc w:val="left"/>
              <w:rPr>
                <w:spacing w:val="4"/>
              </w:rPr>
            </w:pPr>
            <w:r>
              <w:rPr>
                <w:spacing w:val="4"/>
              </w:rPr>
              <w:t xml:space="preserve">Did not Disclose Demographic Background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jc w:val="right"/>
              <w:rPr/>
            </w:pPr>
            <w:r>
              <w:rPr/>
              <w:t>​</w:t>
            </w:r>
          </w:p>
        </w:tc>
        <w:tc>
          <w:tcPr>
            <w:tcW w:w="335" w:type="dxa"/>
            <w:tcBorders/>
            <w:shd w:fill="CCEEFF" w:val="clear"/>
            <w:tcMar>
              <w:bottom w:w="0" w:type="dxa"/>
            </w:tcMar>
            <w:vAlign w:val="center"/>
          </w:tcPr>
          <w:p>
            <w:pPr>
              <w:pStyle w:val="TableContents"/>
              <w:spacing w:before="0" w:after="283"/>
              <w:jc w:val="right"/>
              <w:rPr/>
            </w:pPr>
            <w:r>
              <w:rPr/>
              <w:t>0</w:t>
            </w:r>
          </w:p>
        </w:tc>
        <w:tc>
          <w:tcPr>
            <w:tcW w:w="16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jc w:val="right"/>
              <w:rPr/>
            </w:pPr>
            <w:r>
              <w:rPr/>
              <w:t>​</w:t>
            </w:r>
          </w:p>
        </w:tc>
        <w:tc>
          <w:tcPr>
            <w:tcW w:w="251" w:type="dxa"/>
            <w:tcBorders/>
            <w:shd w:fill="CCEEFF" w:val="clear"/>
            <w:tcMar>
              <w:bottom w:w="0" w:type="dxa"/>
            </w:tcMar>
            <w:vAlign w:val="center"/>
          </w:tcPr>
          <w:p>
            <w:pPr>
              <w:pStyle w:val="TableContents"/>
              <w:spacing w:before="0" w:after="283"/>
              <w:jc w:val="right"/>
              <w:rPr/>
            </w:pPr>
            <w:r>
              <w:rPr/>
              <w:t>0</w:t>
            </w:r>
          </w:p>
        </w:tc>
        <w:tc>
          <w:tcPr>
            <w:tcW w:w="12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47" w:type="dxa"/>
            <w:tcBorders/>
            <w:shd w:fill="CCEEFF" w:val="clear"/>
            <w:tcMar>
              <w:bottom w:w="0" w:type="dxa"/>
            </w:tcMar>
            <w:vAlign w:val="center"/>
          </w:tcPr>
          <w:p>
            <w:pPr>
              <w:pStyle w:val="TableContents"/>
              <w:spacing w:before="0" w:after="283"/>
              <w:rPr/>
            </w:pPr>
            <w:r>
              <w:rPr/>
              <w:t>​</w:t>
            </w:r>
          </w:p>
        </w:tc>
        <w:tc>
          <w:tcPr>
            <w:tcW w:w="247" w:type="dxa"/>
            <w:tcBorders/>
            <w:shd w:fill="CCEEFF" w:val="clear"/>
            <w:tcMar>
              <w:bottom w:w="0" w:type="dxa"/>
            </w:tcMar>
            <w:vAlign w:val="center"/>
          </w:tcPr>
          <w:p>
            <w:pPr>
              <w:pStyle w:val="TableContents"/>
              <w:spacing w:before="0" w:after="283"/>
              <w:jc w:val="right"/>
              <w:rPr/>
            </w:pPr>
            <w:r>
              <w:rPr/>
              <w:t>​</w:t>
            </w:r>
          </w:p>
        </w:tc>
        <w:tc>
          <w:tcPr>
            <w:tcW w:w="514" w:type="dxa"/>
            <w:tcBorders/>
            <w:shd w:fill="CCEEFF" w:val="clear"/>
            <w:tcMar>
              <w:bottom w:w="0" w:type="dxa"/>
            </w:tcMar>
            <w:vAlign w:val="center"/>
          </w:tcPr>
          <w:p>
            <w:pPr>
              <w:pStyle w:val="TableContents"/>
              <w:spacing w:before="0" w:after="283"/>
              <w:jc w:val="right"/>
              <w:rPr/>
            </w:pPr>
            <w:r>
              <w:rPr/>
              <w:t>0</w:t>
            </w:r>
          </w:p>
        </w:tc>
        <w:tc>
          <w:tcPr>
            <w:tcW w:w="24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98" w:type="dxa"/>
            <w:tcBorders/>
            <w:shd w:fill="CCEEFF" w:val="clear"/>
            <w:tcMar>
              <w:bottom w:w="0" w:type="dxa"/>
            </w:tcMar>
            <w:vAlign w:val="center"/>
          </w:tcPr>
          <w:p>
            <w:pPr>
              <w:pStyle w:val="TableContents"/>
              <w:spacing w:before="0" w:after="283"/>
              <w:rPr/>
            </w:pPr>
            <w:r>
              <w:rPr/>
              <w:t>​</w:t>
            </w:r>
          </w:p>
        </w:tc>
        <w:tc>
          <w:tcPr>
            <w:tcW w:w="298" w:type="dxa"/>
            <w:tcBorders/>
            <w:shd w:fill="CCEEFF" w:val="clear"/>
            <w:tcMar>
              <w:bottom w:w="0" w:type="dxa"/>
            </w:tcMar>
            <w:vAlign w:val="center"/>
          </w:tcPr>
          <w:p>
            <w:pPr>
              <w:pStyle w:val="TableContents"/>
              <w:spacing w:before="0" w:after="283"/>
              <w:jc w:val="right"/>
              <w:rPr/>
            </w:pPr>
            <w:r>
              <w:rPr/>
              <w:t>​</w:t>
            </w:r>
          </w:p>
        </w:tc>
        <w:tc>
          <w:tcPr>
            <w:tcW w:w="619" w:type="dxa"/>
            <w:tcBorders/>
            <w:shd w:fill="CCEEFF" w:val="clear"/>
            <w:tcMar>
              <w:bottom w:w="0" w:type="dxa"/>
            </w:tcMar>
            <w:vAlign w:val="center"/>
          </w:tcPr>
          <w:p>
            <w:pPr>
              <w:pStyle w:val="TableContents"/>
              <w:spacing w:before="0" w:after="283"/>
              <w:jc w:val="right"/>
              <w:rPr/>
            </w:pPr>
            <w:r>
              <w:rPr/>
              <w:t>1</w:t>
            </w:r>
          </w:p>
        </w:tc>
        <w:tc>
          <w:tcPr>
            <w:tcW w:w="301" w:type="dxa"/>
            <w:tcBorders/>
            <w:shd w:fill="CCEEFF" w:val="clear"/>
            <w:tcMar>
              <w:bottom w:w="0" w:type="dxa"/>
            </w:tcMar>
            <w:vAlign w:val="center"/>
          </w:tcPr>
          <w:p>
            <w:pPr>
              <w:pStyle w:val="TableContents"/>
              <w:spacing w:before="0" w:after="283"/>
              <w:rPr/>
            </w:pPr>
            <w:r>
              <w:rPr/>
              <w:t>​</w:t>
            </w:r>
          </w:p>
        </w:tc>
        <w:tc>
          <w:tcPr>
            <w:tcW w:w="16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Directors who are Military Veterans: 1 </w:t>
      </w:r>
      <w:r>
        <mc:AlternateContent>
          <mc:Choice Requires="wps">
            <w:drawing>
              <wp:anchor behindDoc="0" distT="101600" distB="0" distL="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largest"/>
                <wp:docPr id="34" name="Frame3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Directors who identify as Middle Eastern: 2 </w:t>
      </w:r>
      <w:r>
        <mc:AlternateContent>
          <mc:Choice Requires="wps">
            <w:drawing>
              <wp:anchor behindDoc="0" distT="50800" distB="0" distL="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largest"/>
                <wp:docPr id="35" name="Frame3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Director Qualifications, Nominating Process and Stockholder Nominations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Members of our Board of Directors should meet certain minimum qualifications including being at least 21 years old and possessing (1) the ability to read and understand corporate financial statements, (2) relevant business experience and professional skills, (3) high moral character and personal and professional integrity, and (4) the willingness to commit sufficient time to attend to his or her duties and responsibilities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director of a public corporation. In addition, the Board of Directors may consider a variety of other qualities and skills, including (i) expertise in the businesses in which Supernus may engage, (ii) the ability to exercise independent decision-making, (iii) the absence of conflicts of interest, (iv) diversity of gender, race, ethnic background and experience, and (v) the ability to work effectively with other directors in collectively serving the long-term interests of all stockholders. Nominees must also meet any applicable requirements of SEC regulations, NASDAQ rules, state law and Supernus’ charter and bylaws.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Governance and Nominating Committee of the Board of Directors will annually assess the qualifications, expertise, performance and willingness to serve of our existing directors. Such assessments may occur more frequently as circumstances warrant and often involve the entire Board of Directors rather than only the members of the Governance and Nominating Committee. If at any time during the year, the Governance and Nominating Committee, or the full Board of Directors, determines a need to add a new director with specific qualifications or to fill a vacancy on the Board of Directors, the Governance and Nominating Committee will then initiate the search, work with staff support and seek input from directors and senior management, consider nominees previously submitted by stockholders, and, if deemed necessary or appropriate, hire a search firm. An initial slate of candidates satisfying the specific qualifications, if any, and otherwise qualifying for membership on the Board of Directors, will then be identified, preliminarily assessed by the Governance and Nominating Committee and remaining candidates will be presented to the Board of Directors which will then prioritize the candidates. If any of the members of the Board of Directors or senior management have relationships with the preferred candidates, they may initiate contact with a candidate. Alternatively, contact may be initiated by a search firm. The Governance and Nominating Committee will interview remaining candidate(s). Evaluations and recommendations of the interviewers will be submitted to the Board of Directors for final evaluation. The Board of Directors will meet to consider such recommendations and to approve the final candidate, and will evaluate all nominees for director, including nominees recommended by a stockholder, on the same basis.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will consider director candidates recommended by our stockholders in accordance with the following procedures. Stockholders may make recommendations with regard to nominees for election to the Board of Directors at future Annual Meetings of stockholders by submitting in writing a notice, received by the Secretary of Supernus, no earlier than 120 days and no later than 90 days prior to the anniversary date of the prior year’s Annual Meeting of Stockholders, or, if we did not have an Annual Meeting of Stockholders in the prior year or if the date of the current year’s Annual Meeting of Stockholders is more than 30 days before or after the anniversary date of the prior year’s Annual Meeting of Stockholders, on or before 15 days after the day on which the date of the current year’s Annual Meeting of Stockholders is first disclosed in a public announcement. Such recommendations or notices of nomination must set forth all information relating to each nominee that is required to be disclosed in solicitations of proxies for election of directors in an election contest, or is otherwise required, in each case pursuant to and in accordance with Section 14(a) of the Securities Exchange Act of 1934, as amended (the “Exchange Act”), and the rules and regulations promulgated thereunder. With respect to nominations, notices of nominations must include the written consent of each nominee to be named in the proxy statement as a nominee and to serve as a director if elected. In addition, stockholders submitting nominations must provide certain information pertinent to them as set forth in our Amended and Restated Bylaws, a copy of which has been filed with the SEC. In making recommendations or nominations, stockholders must adhere to all of the required procedures set forth in our Amended and Restated Bylaws. Stockholders should also consider the minimum qualifications determined by our Board of Directors for Board members as noted elsewhere in this Proxy Statement. All nominees for director, including nominees recommended by a stockholder, shall be evaluated on the same basis.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Resignation Policy</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has adopted a policy to require any incumbent director nominee who does not receive the affirmative vote of the majority of shares voted in connection with his or her uncontested election to tender his or her resignation from the Board of Directors promptly following certification of the stockholder vote. The Governance and Nominating Committee will consider the resignation and recommend to the Board of Directors whether to accept or reject it. The Governance and Nominating Committee, in making its recommendation, and the Board of Directors, in making its decision, may consider any factors or other information that it considers appropriate, including the reasons (if any) given by shareholders as to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why they withheld their votes, the qualifications of the tendering director, the composition of and number of independent directors remaining on the Board of Directors if the Board of Directors accepted the resignation of the tendering director, and his or her contributions to the Board of Directors and the Company. The Board of Directors, taking into account the Governance and Nominating Committee’s recommendation, will act on each tendered resignation within 90 days following the certification of the stockholder vote. If a director’s tendered resignation is accepted by the Board of Directors, then the Board of Directors may fill any resulting vacancy or may decrease the number of directors comprising the Board of Directors. If a director’s tendered resignation is rejected by the Board of Directors, the director will continue to serve for the remainder of his or her term and until his or her successor is duly elected, or his or her earlier death, resignation or removal.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Independence</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Global Market. Under Rules 5605 and 5615 of the NASDAQ Marketplace Rules (Marketplace Rules), a majority of a listed company’s Board of Directors must be comprised of independent directors. In addition, the Marketplace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Under the Marketplace Rules, an affirmative determination must be made that members of a compensation committee are independent from management in connection with the duties of a compensation committee member. Under Rule 5605(a)(2) of the Marketplace Rules, a director will only qualify as an “independent director” if, in the opinion of that company’s Board of Directors, that person does not have a relationship that would interfere with the exercise of independent judgment in carrying out the responsibilities of a director. The composition and functioning of our Board of Directors and each of our Board committees complies with all applicable rules and regulations of the SEC and The NASDAQ Global Market. Our Board of Directors has determined that each of the current directors meets the independence requirement of the Marketplace Rules, with the exception of Mr. Khattar, who serves as our CEO. There are no family relationships among any of our directors or executive officers.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identified any agreements or arrangements relating to compensation provided by a third party to the Company’s directors or director nominees in connection with their candidacy or board service as required to be disclosed by NASDAQ Rule 5250(b)(3).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Leadership Structure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Khattar serves as President and CEO of the Company and Mr. Newhall serves as Chairman of our Board of Directors. While our bylaws and corporate governance guidelines do not require that the CEO and Chairman roles be held by separate individuals, our Board of Directors has elected to separate these roles. This separation was established when the Company was formed in late 2005. The CEO and Chairman of the Board work closely together to execute the strategic plan of the Company. Presently, the CEO is responsible for setting the Company’s strategic direction and the day-to-day leadership and performance of the Company, while the Chairman of the Board of Directors provides guidance to the CEO and presides over meetings of the full Board of Directors. This current separation of duties has worked effectively for the Company and is the appropriate leadership structure for the Company at this time.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of Directors’ Role in the Oversight of Risk Management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is responsible for the day-to-day management of risks that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 Our Board of Directors is actively involved in oversight of risks that could affect us, including cybersecurity risks. This oversight is conducted primarily through the full Board of Directors, which has generally retained responsibility for general oversight of risks. Our Board of Directors satisfies this responsibility by receiving written and oral reports at regularly scheduled board and committee meetings from officers responsible for oversight of particular risks within our Company as our Board of Directors believes that full and open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communication between management and the Board of Directors is essential for effective risk management and oversight. As a critical part of this risk management oversight role, the Board of Directors encourages full and open communication between management and the Board of Directors. Our Chairman meets periodically with the President and CEO to discuss strategy and risks facing the Company. Senior management attends Board of Directors meetings and is available to address any questions or concerns raised by the Board concerning risk management-related and other matters. The Board of Directors periodically receives presentations from senior management concerning strategic matters involving the Company’s operations to enable it to understand the Company’s risk identification, risk management and risk mitigation strategies. The Audit Committee assists the Board of Directors in fulfilling its oversight responsibilities with respect to risk management in areas of financial risk, internal controls and compliance with legal and regulatory requirements; the Compensation Committee assists the Board of Directors with oversight of risk management in the areas of compensation policies and programs; and the Governance and Nominating Committee assists the Board of Directors concerning the organization, membership and structure of the Board of Directors and facilitating the annual Board of Directors assessment process.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Committees of the Board of Directors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has established an Audit Committee, Compensation Committee and Governance and Nominating Committee. Our Board of Directors approved our Audit Committee, Compensation Committee and Governance and Nominating Committee charters, under which the respective committees operate.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Committee</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members of our Audit Committee are Mr. Hudson, who is the Chair of the committee, Dr. Siebert and Dr. Gemayel. All members of our Audit Committee meet the requirements for financial literacy under the applicable rules and regulations of the SEC and The NASDAQ Global Market. Our Board of Directors has determined that Mr. Hudson is an audit committee financial expert as defined under the applicable rules of the SEC and has the requisite financial sophistication as defined under the applicable rules and regulations of The NASDAQ Global Market as a result of his experience as a partner in the accounting firm of KPMG LLP and his service as chair of the audit committee of other companies. Mr. Hudson, Dr. Siebert and Dr. Gemayel are independent directors as defined under the applicable rules and regulations of the SEC and The NASDAQ Global Market. The Audit Committee held twelve (12) meetings during the last fiscal year. The Audit Committee operates under a written charter that satisfies the applicable standards of the SEC and The NASDAQ Global Market and is currently available at ir.supernus.com/corporate-governance.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 Committee’s responsibilities include: </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discussing with management and the independent auditors the audited financial statements, the results of the annual audit and the review of our quarterly financial statements; </w:t>
      </w:r>
      <w:r>
        <mc:AlternateContent>
          <mc:Choice Requires="wps">
            <w:drawing>
              <wp:anchor behindDoc="0" distT="7493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largest"/>
                <wp:docPr id="36" name="Frame3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discussing with management, internal auditors, if any, and independent auditors the quality and adequacy of our internal controls and internal auditing procedures; </w:t>
      </w:r>
      <w:r>
        <mc:AlternateContent>
          <mc:Choice Requires="wps">
            <w:drawing>
              <wp:anchor behindDoc="0" distT="7493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largest"/>
                <wp:docPr id="37" name="Frame3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discussing with management and the independent auditors the significant risks and exposures facing the Company and related risk mitigation plans; </w:t>
      </w:r>
      <w:r>
        <mc:AlternateContent>
          <mc:Choice Requires="wps">
            <w:drawing>
              <wp:anchor behindDoc="0" distT="7493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largest"/>
                <wp:docPr id="38" name="Frame3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with management and the independent auditors our accounting policies, including discussing with the independent auditors any changes in our critical accounting principles; </w:t>
      </w:r>
      <w:r>
        <mc:AlternateContent>
          <mc:Choice Requires="wps">
            <w:drawing>
              <wp:anchor behindDoc="0" distT="749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largest"/>
                <wp:docPr id="39" name="Frame3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discussing with management its processes for complying with certification requirements under the Sarbanes-Oxley Act;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largest"/>
                <wp:docPr id="40" name="Frame3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discussing with the independent auditors any material correcting adjustments identified by the independent auditors;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largest"/>
                <wp:docPr id="41" name="Frame4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determining the engagement of the independent auditors, and approving the retention of the independent auditors to perform any proposed permissible non-audit services;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largest"/>
                <wp:docPr id="42" name="Frame4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the scope of the annual audit with the independent auditors and approving the audit fee; </w:t>
      </w:r>
      <w:r>
        <mc:AlternateContent>
          <mc:Choice Requires="wps">
            <w:drawing>
              <wp:anchor behindDoc="0" distT="7493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largest"/>
                <wp:docPr id="43" name="Frame4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evaluating the independent auditors’ qualifications, independence and performance; </w:t>
      </w:r>
      <w:r>
        <mc:AlternateContent>
          <mc:Choice Requires="wps">
            <w:drawing>
              <wp:anchor behindDoc="0" distT="0" distB="0" distL="254000" distR="0" simplePos="0" locked="0" layoutInCell="1" allowOverlap="1" relativeHeight="51">
                <wp:simplePos x="0" y="0"/>
                <wp:positionH relativeFrom="column">
                  <wp:align>left</wp:align>
                </wp:positionH>
                <wp:positionV relativeFrom="line">
                  <wp:posOffset>635</wp:posOffset>
                </wp:positionV>
                <wp:extent cx="127000" cy="350520"/>
                <wp:effectExtent l="0" t="0" r="0" b="0"/>
                <wp:wrapSquare wrapText="largest"/>
                <wp:docPr id="44" name="Frame4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 hiring policies for employees or former employees of the independent auditors that meet SEC regulations and applicable NASDAQ listing standards; </w:t>
      </w:r>
      <w:r>
        <mc:AlternateContent>
          <mc:Choice Requires="wps">
            <w:drawing>
              <wp:anchor behindDoc="0" distT="6985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largest"/>
                <wp:docPr id="45" name="Frame4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 and approve all related-party transactions required to be disclosed pursuant to Item 404 of Regulation S-K; </w:t>
      </w:r>
      <w:r>
        <mc:AlternateContent>
          <mc:Choice Requires="wps">
            <w:drawing>
              <wp:anchor behindDoc="0" distT="6985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largest"/>
                <wp:docPr id="46" name="Frame4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recommending to the Board of Directors whether the Company’s audited financial statements should be included in the Company’s Annual Report on Form 10-K; </w:t>
      </w:r>
      <w:r>
        <mc:AlternateContent>
          <mc:Choice Requires="wps">
            <w:drawing>
              <wp:anchor behindDoc="0" distT="6985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largest"/>
                <wp:docPr id="47" name="Frame4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preparing a written report to be included in the Company’s annual proxy statement for each Annual Meeting of Stockholders; </w:t>
      </w:r>
      <w:r>
        <mc:AlternateContent>
          <mc:Choice Requires="wps">
            <w:drawing>
              <wp:anchor behindDoc="0" distT="6985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largest"/>
                <wp:docPr id="48" name="Frame4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with the independent auditors any material communication between the independent auditor and management; </w:t>
      </w:r>
      <w:r>
        <mc:AlternateContent>
          <mc:Choice Requires="wps">
            <w:drawing>
              <wp:anchor behindDoc="0" distT="6985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largest"/>
                <wp:docPr id="49" name="Frame4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updating and approving a code of conduct and ethics for senior financial officers and certain other employees and agents of the Company; </w:t>
      </w:r>
      <w:r>
        <mc:AlternateContent>
          <mc:Choice Requires="wps">
            <w:drawing>
              <wp:anchor behindDoc="0" distT="6985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largest"/>
                <wp:docPr id="50" name="Frame4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establishing procedures for the review and treatment of complaints received regarding accounting, internal accounting control or auditing matters; </w:t>
      </w:r>
      <w:r>
        <mc:AlternateContent>
          <mc:Choice Requires="wps">
            <w:drawing>
              <wp:anchor behindDoc="0" distT="6985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largest"/>
                <wp:docPr id="51" name="Frame5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annually reviewing the Audit Committee’s performance; and </w:t>
      </w:r>
      <w:r>
        <mc:AlternateContent>
          <mc:Choice Requires="wps">
            <w:drawing>
              <wp:anchor behindDoc="0" distT="6985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largest"/>
                <wp:docPr id="52" name="Frame5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periodically reviewing the Audit Committee charter. </w:t>
      </w:r>
      <w:r>
        <mc:AlternateContent>
          <mc:Choice Requires="wps">
            <w:drawing>
              <wp:anchor behindDoc="0" distT="6985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largest"/>
                <wp:docPr id="53" name="Frame5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Committee</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members of our Compensation Committee are Dr. Siebert, who is the Chair of the committee, Mr. Newhall and Mr. Hudson. Each of the members of our Compensation Committee are independent under the applicable rules and regulations of the SEC, The NASDAQ Global Market and the Internal Revenue Service. Our Compensation Committee reviews and recommends policies relating to compensation and benefits of our officers and employees. The Compensation Committee held five (5) meetings during the last fiscal year. The Compensation Committee operates under a written charter that satisfies the applicable standards of the SEC and The NASDAQ Global Market and is currently available at ir.supernus.com/corporate-governance. The Compensation Committee’s responsibilities include: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corporate goals and objectives and performance goals relevant to the compensation of our CEO and other executive officers; </w:t>
      </w:r>
      <w:r>
        <mc:AlternateContent>
          <mc:Choice Requires="wps">
            <w:drawing>
              <wp:anchor behindDoc="0" distT="7366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largest"/>
                <wp:docPr id="54" name="Frame5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evaluating the performance of our executive officers in light of those goals and objectives; </w:t>
      </w:r>
      <w:r>
        <mc:AlternateContent>
          <mc:Choice Requires="wps">
            <w:drawing>
              <wp:anchor behindDoc="0" distT="6985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largest"/>
                <wp:docPr id="55" name="Frame5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setting the compensation of our executive officers, other than the CEO, based on such evaluations and the assessment of our compensation program in conjunction with our compensation consultant; </w:t>
      </w:r>
      <w:r>
        <mc:AlternateContent>
          <mc:Choice Requires="wps">
            <w:drawing>
              <wp:anchor behindDoc="0" distT="6985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largest"/>
                <wp:docPr id="56" name="Frame5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recommending for approval by the independent directors on the Board of Directors, the compensation of our CEO based on the Compensation Committee’s review of the CEO’s performance; </w:t>
      </w:r>
      <w:r>
        <mc:AlternateContent>
          <mc:Choice Requires="wps">
            <w:drawing>
              <wp:anchor behindDoc="0" distT="6985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largest"/>
                <wp:docPr id="57" name="Frame5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recommendations to the Board of Directors regarding the adoption of incentive compensation plans and equity-based plans, as well as the Company’s 401(k) plan, and administering the Company’s existing incentive compensation plans and equity-based plans; </w:t>
      </w:r>
      <w:r>
        <mc:AlternateContent>
          <mc:Choice Requires="wps">
            <w:drawing>
              <wp:anchor behindDoc="0" distT="6985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largest"/>
                <wp:docPr id="58" name="Frame5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recommendations to the Board of Directors regarding the compensation of directors; </w:t>
      </w:r>
      <w:r>
        <mc:AlternateContent>
          <mc:Choice Requires="wps">
            <w:drawing>
              <wp:anchor behindDoc="0" distT="6985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largest"/>
                <wp:docPr id="59" name="Frame5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discussing with management the Compensation Discussion and Analysis to be included in the Company’s filings with the SEC, and recommending to the Board of Directors whether such Compensation Discussion and Analysis should be included in the Company’s annual proxy statement or annual report; </w:t>
      </w:r>
      <w:r>
        <mc:AlternateContent>
          <mc:Choice Requires="wps">
            <w:drawing>
              <wp:anchor behindDoc="0" distT="6858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largest"/>
                <wp:docPr id="60" name="Frame5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preparing a written report to be included in the Company’s annual proxy statement for each Annual Meeting of Stockholders; </w:t>
      </w:r>
      <w:r>
        <mc:AlternateContent>
          <mc:Choice Requires="wps">
            <w:drawing>
              <wp:anchor behindDoc="0" distT="6858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largest"/>
                <wp:docPr id="61" name="Frame6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overseeing management’s succession planning for succession of senior management positions including the position of CEO; </w:t>
      </w:r>
      <w:r>
        <mc:AlternateContent>
          <mc:Choice Requires="wps">
            <w:drawing>
              <wp:anchor behindDoc="0" distT="6858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largest"/>
                <wp:docPr id="62" name="Frame6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annually reviewing and evaluating the performance of the Compensation Committee and its members, including compliance of the Compensation Committee with its charter; </w:t>
      </w:r>
      <w:r>
        <mc:AlternateContent>
          <mc:Choice Requires="wps">
            <w:drawing>
              <wp:anchor behindDoc="0" distT="0" distB="0" distL="254000" distR="0" simplePos="0" locked="0" layoutInCell="1" allowOverlap="1" relativeHeight="70">
                <wp:simplePos x="0" y="0"/>
                <wp:positionH relativeFrom="column">
                  <wp:align>left</wp:align>
                </wp:positionH>
                <wp:positionV relativeFrom="line">
                  <wp:posOffset>635</wp:posOffset>
                </wp:positionV>
                <wp:extent cx="127000" cy="350520"/>
                <wp:effectExtent l="0" t="0" r="0" b="0"/>
                <wp:wrapSquare wrapText="largest"/>
                <wp:docPr id="63" name="Frame6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periodically reviewing the Compensation Committee charter; and </w:t>
      </w:r>
      <w:r>
        <mc:AlternateContent>
          <mc:Choice Requires="wps">
            <w:drawing>
              <wp:anchor behindDoc="0" distT="7366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largest"/>
                <wp:docPr id="64" name="Frame6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engaging and collaborating with an independent compensation consultant to establish a peer group and assess the Company’s compensation policies and practices in relation to such peer group. </w:t>
      </w:r>
      <w:r>
        <mc:AlternateContent>
          <mc:Choice Requires="wps">
            <w:drawing>
              <wp:anchor behindDoc="0" distT="7366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largest"/>
                <wp:docPr id="65" name="Frame6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Governance and Nominating Committee</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members of our Governance and Nominating Committee are Mr. Newhall, who is the chair of the committee and Dr. Gemayel. Each of the members of our Governance and Nominating Committee are independent under the applicable rules and regulations of the SEC and The NASDAQ Global Market. The Governance and Nominating Committee held one (1) meeting during the last fiscal year. The Governance and Nominating Committee operates under a written charter that satisfies the applicable standards of the SEC and The NASDAQ Global Market and is currently available at ir.supernus.com/corporate-governance.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Governance and Nominating Committee’s responsibilities include: </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recommendations to our Board of Directors regarding candidates for directorships and assisting the Board of Directors in identifying and recruiting such individuals; </w:t>
      </w:r>
      <w:r>
        <mc:AlternateContent>
          <mc:Choice Requires="wps">
            <w:drawing>
              <wp:anchor behindDoc="0" distT="7493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largest"/>
                <wp:docPr id="66" name="Frame6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making recommendations to our Board of Directors regarding qualified individuals to serve as committee members on the various Board committees; </w:t>
      </w:r>
      <w:r>
        <mc:AlternateContent>
          <mc:Choice Requires="wps">
            <w:drawing>
              <wp:anchor behindDoc="0" distT="7493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largest"/>
                <wp:docPr id="67" name="Frame6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the performance, operations and composition of the Board of Directors; </w:t>
      </w:r>
      <w:r>
        <mc:AlternateContent>
          <mc:Choice Requires="wps">
            <w:drawing>
              <wp:anchor behindDoc="0" distT="7493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largest"/>
                <wp:docPr id="68" name="Frame6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evaluating the need for continuing education of directors as specifically related to service on the Board of Directors and board committees; </w:t>
      </w:r>
      <w:r>
        <mc:AlternateContent>
          <mc:Choice Requires="wps">
            <w:drawing>
              <wp:anchor behindDoc="0" distT="7493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largest"/>
                <wp:docPr id="69" name="Frame6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assessing and reviewing our corporate governance guidelines and recommending any changes to the Board of Directors; </w:t>
      </w:r>
      <w:r>
        <mc:AlternateContent>
          <mc:Choice Requires="wps">
            <w:drawing>
              <wp:anchor behindDoc="0" distT="7493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largest"/>
                <wp:docPr id="70" name="Frame6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monitoring and safeguarding the independence of the Board of Directors and reviewing potential conflicts of interest between a director and the Company or a member of senior management; </w:t>
      </w:r>
      <w:r>
        <mc:AlternateContent>
          <mc:Choice Requires="wps">
            <w:drawing>
              <wp:anchor behindDoc="0" distT="7493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largest"/>
                <wp:docPr id="71" name="Frame7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reporting and making recommendations to our Board concerning governance matters; </w:t>
      </w:r>
      <w:r>
        <mc:AlternateContent>
          <mc:Choice Requires="wps">
            <w:drawing>
              <wp:anchor behindDoc="0" distT="7493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largest"/>
                <wp:docPr id="72" name="Frame7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annually reviewing the Governance and Nominating Committee’s performance; and </w:t>
      </w:r>
      <w:r>
        <mc:AlternateContent>
          <mc:Choice Requires="wps">
            <w:drawing>
              <wp:anchor behindDoc="0" distT="7493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largest"/>
                <wp:docPr id="73" name="Frame7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periodically reviewing the Governance and Nominating Committee charter. </w:t>
      </w:r>
      <w:r>
        <mc:AlternateContent>
          <mc:Choice Requires="wps">
            <w:drawing>
              <wp:anchor behindDoc="0" distT="7493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largest"/>
                <wp:docPr id="74" name="Frame7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Science Committee</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23, 2023, the Board formalized the existing practice of certain board members and members of management meeting for focused discussions on the Company’s research and development programs by forming a Board science committee (the “Science Committee”). The members of the Science Committee are: Dr. Barlow, who is the chair of the committee, Dr. Gemayel, and Dr. Siebert. The Science Committee is responsible for engaging in discussions with management on the Company’s research and development programs and reporting on those discussions to the Board.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Committees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may establish other committees as it deems necessary or appropriate from time to time.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Transactions with Related Persons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Procedures for Related Person Transactions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 Committee is responsible for reviewing and approving all material transactions with any related person on a continuing basis. Related persons can include any of our directors or officers, holders of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2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or more of our voting securities and their immediate family members. This obligation is set forth in writing in our Audit Committee charter. We may not enter into a related person transaction unless our Audit Committee has reviewed and approved such transaction.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Transactions with Related Persons and Certain Control Persons</w:t>
      </w:r>
      <w:r>
        <w:rPr>
          <w:rFonts w:ascii="Times New Roman;Times;serif" w:hAnsi="Times New Roman;Times;serif"/>
          <w:b/>
          <w:i/>
          <w:caps w:val="false"/>
          <w:smallCaps w:val="false"/>
          <w:color w:val="000000"/>
          <w:spacing w:val="4"/>
          <w:sz w:val="20"/>
        </w:rPr>
        <w:t xml:space="preserve"> </w:t>
      </w:r>
    </w:p>
    <w:p>
      <w:pPr>
        <w:pStyle w:val="TextBody"/>
        <w:spacing w:lineRule="atLeast" w:line="22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the transactions set forth below, since January 1, 2022, there has not been any transaction or series of transactions to which we were or are a party in which the amount involved exceeded or exceeds $120,000 and in which any director, executive officer, holder of more than 5% of any class of our voting securities or any member of the immediate family of any of the foregoing persons had or will have a direct or indirect material interest. We believe the arrangement set forth below is on terms no less favorable to us than we could have obtained from unaffiliated third parties. The arrangement described below was approved by the Audit Committee under the Audit Committee charter. </w:t>
      </w:r>
    </w:p>
    <w:p>
      <w:pPr>
        <w:pStyle w:val="TextBody"/>
        <w:spacing w:lineRule="atLeast" w:line="22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employ an adult daughter of Mr. Khattar in a non-executive, non-managerial capacity as a Senior Product Manager. This individual, who does not reside with and is not supported financially by Mr. Khattar, earned total cash compensation for fiscal year 2022 of $169,756 and total cash compensation for fiscal year 2021 of $138,863, which is commensurate with her peers. Mr. Khattar’s daughter is employed on an “at will” basis and compensated on the same basis as our other employees of similar function, seniority and responsibility without regard to her relationship with Mr. Khattar. In addition, the criteria used to complete the hiring decision regarding Mr. Khattar’s daughter were the same criteria used to hire other Senior Product Managers.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Meetings</w:t>
      </w:r>
      <w:r>
        <w:rPr>
          <w:rFonts w:ascii="Times New Roman;Times;serif" w:hAnsi="Times New Roman;Times;serif"/>
          <w:b/>
          <w:i w:val="false"/>
          <w:caps w:val="false"/>
          <w:smallCaps w:val="false"/>
          <w:color w:val="000000"/>
          <w:spacing w:val="4"/>
          <w:sz w:val="20"/>
        </w:rPr>
        <w:t xml:space="preserve"> </w:t>
      </w:r>
    </w:p>
    <w:p>
      <w:pPr>
        <w:pStyle w:val="TextBody"/>
        <w:spacing w:lineRule="atLeast" w:line="22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year ended December 31, 2022, the Board of Directors held a total of four (4) meetings. Each of our directors attended at least 75% of the aggregate number of meetings of the Board of Directors and meetings of any committee of which he or she was a member, which were held during the time in which he or she was a director or a committee member. </w:t>
      </w:r>
    </w:p>
    <w:p>
      <w:pPr>
        <w:pStyle w:val="TextBody"/>
        <w:spacing w:lineRule="atLeast" w:line="22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member of the Board of Directors who is up for election at an Annual Meeting of Stockholders or who has a term that continues after such meeting is expected to attend the Annual Meeting of Stockholders. Messrs. Gemayel, Hudson, Khattar and Siebert attended the 2022 Annual Meeting of Stockholders, which was held on June 17, 2022.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Communications with the Board of Directors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2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established procedures for stockholders to communicate directly with our Board of Directors on a confidential basis. Stockholders who wish to communicate with the Board of Directors or with a particular director may send a letter to the Secretary of Supernus Pharmaceuticals, Inc. at 9715 Key West Avenue, Rockville, Maryland 20850. The mailing envelope must contain a clear notation indicating that the enclosed letter is a “Stockholder — Board Communication” or “Stockholder — Director Communication.” All such letters must identify the author as a stockholder and clearly state whether the intended recipients are all members of the Board of Directors or just certain specified individual directors. The Secretary will make copies of any such letter and circulate it to the director(s) to whom it is addressed. To the extent that a stockholder wishes the communication to be confidential, such stockholder must clearly indicate on the envelope that the communication is “confidential.” The Secretary will then forward such communication, unopened, to the Chairman of the Board of Directors.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 Interlocks and Insider Participation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members of our Compensation Committee has at any time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 Ownership and Retention Guidelines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of the Board of Directors recommended, and the Board of Directors has adopted, Share Ownership and Retention Guidelines for the Board of Directors and the CEO. Under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Guidelines, each director is required to hold $150,000 of Company stock, and the CEO is required to hold Company stock equal to three times his base salary. The Guidelines were implemented in 2020 and the directors and CEO have five years to attain the required ownership of Common Stock.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Hedging Transactions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prohibits hedging and monetization transactions that transfer, with respect to equity compensation received by a director, officer or employee, all or a portion of the risk of a decline in the market price of shares of Company Common Stock.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Margin Accounts and Pledges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prohibits directors, officers and employees from pledging Company securities or holding Company securities in margin accounts.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 of Liability and Indemnification Arrangements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permitted by the Delaware General Corporation Law, we adopted provisions in our amended and restated certificate of incorporation that limit or eliminate the personal liability of our directors. Consequently, a director will not be personally liable to us or our stockholders for monetary damages for breach of fiduciary duty as a director, except for liability for: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breach of the director’s duty of loyalty to us or our stockholders; </w:t>
      </w:r>
      <w:r>
        <mc:AlternateContent>
          <mc:Choice Requires="wps">
            <w:drawing>
              <wp:anchor behindDoc="0" distT="7620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largest"/>
                <wp:docPr id="75" name="Frame7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 or omission not in good faith or that involves intentional misconduct or a knowing violation of law; </w:t>
      </w:r>
      <w:r>
        <mc:AlternateContent>
          <mc:Choice Requires="wps">
            <w:drawing>
              <wp:anchor behindDoc="0" distT="7620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largest"/>
                <wp:docPr id="76" name="Frame7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unlawful payments related to dividends or unlawful stock repurchases, redemptions or other distributions; or </w:t>
      </w:r>
      <w:r>
        <mc:AlternateContent>
          <mc:Choice Requires="wps">
            <w:drawing>
              <wp:anchor behindDoc="0" distT="7620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largest"/>
                <wp:docPr id="77" name="Frame7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transaction from which the director derived an improper personal benefit. </w:t>
      </w:r>
      <w:r>
        <mc:AlternateContent>
          <mc:Choice Requires="wps">
            <w:drawing>
              <wp:anchor behindDoc="0" distT="7620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largest"/>
                <wp:docPr id="78" name="Frame7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limitations of liability do not alter director liability under the federal securities laws and do not affect the availability of equitable remedies such as an injunction or rescission.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amended and restated certificate of incorporation provides that: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indemnify our directors and officers to the fullest extent permitted by the Delaware General Corporation Law; and </w:t>
      </w:r>
      <w:r>
        <mc:AlternateContent>
          <mc:Choice Requires="wps">
            <w:drawing>
              <wp:anchor behindDoc="0" distT="7620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largest"/>
                <wp:docPr id="79" name="Frame7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advance expenses, including attorneys’ fees, to our directors and officers in connection with legal proceedings, subject to limited exceptions. </w:t>
      </w:r>
      <w:r>
        <mc:AlternateContent>
          <mc:Choice Requires="wps">
            <w:drawing>
              <wp:anchor behindDoc="0" distT="7620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largest"/>
                <wp:docPr id="80" name="Frame7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indemnification agreements with each of our executive officers and directors. These agreements provide that we will indemnify each of our executive officers and directors to the fullest extent permitted by the Delaware General Corporation Law and advance expenses to each indemnitee in connection with any proceeding in which indemnification is available.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maintain management liability insurance to provide insurance coverage to our directors and officers for losses arising out of claims based on acts or omissions in their capacities as directors or officers, including liabilities under the Securities Act of 1933, as amended (the “Securities Act”). Insofar as indemnification for liabilities arising under the Securities Act may be permitted to directors, officers or persons controlling the registrant pursuant to the foregoing provisions, we have been informed that in the opinion of the SEC such indemnification is against public policy as expressed in the Securities Act and is therefore unenforceable.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may discourage stockholders from bringing a lawsuit against our directors in the future for any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096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these indemnification provisions. We believe that these provisions, the indemnification agreements and the insurance are necessary to attract and retain talented and experienced directors and officers.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present, there is no pending litigation or proceeding involving any of our directors, officers or employees in which indemnification will be required or permitted. We are not aware of any threatened litigation or proceeding that might result in a claim for such indemnification.</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OFFICERS OF SUPERNUS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names and ages of our executive officers as of the date of this Proxy Statement. </w:t>
      </w:r>
    </w:p>
    <w:tbl>
      <w:tblPr>
        <w:tblW w:w="8812" w:type="dxa"/>
        <w:jc w:val="left"/>
        <w:tblInd w:w="1393" w:type="dxa"/>
        <w:tblCellMar>
          <w:top w:w="0" w:type="dxa"/>
          <w:left w:w="0" w:type="dxa"/>
          <w:bottom w:w="50" w:type="dxa"/>
          <w:right w:w="0" w:type="dxa"/>
        </w:tblCellMar>
      </w:tblPr>
      <w:tblGrid>
        <w:gridCol w:w="2240"/>
        <w:gridCol w:w="109"/>
        <w:gridCol w:w="109"/>
        <w:gridCol w:w="109"/>
        <w:gridCol w:w="109"/>
        <w:gridCol w:w="346"/>
        <w:gridCol w:w="109"/>
        <w:gridCol w:w="109"/>
        <w:gridCol w:w="109"/>
        <w:gridCol w:w="5308"/>
        <w:gridCol w:w="155"/>
      </w:tblGrid>
      <w:tr>
        <w:trPr/>
        <w:tc>
          <w:tcPr>
            <w:tcW w:w="2240"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67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Age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5308" w:type="dxa"/>
            <w:tcBorders>
              <w:bottom w:val="single" w:sz="2" w:space="0" w:color="000000"/>
            </w:tcBorders>
            <w:shd w:fill="auto" w:val="clear"/>
            <w:vAlign w:val="center"/>
          </w:tcPr>
          <w:p>
            <w:pPr>
              <w:pStyle w:val="TableContents"/>
              <w:spacing w:before="0" w:after="0"/>
              <w:jc w:val="center"/>
              <w:rPr>
                <w:spacing w:val="-3"/>
              </w:rPr>
            </w:pPr>
            <w:r>
              <w:rPr>
                <w:spacing w:val="-3"/>
              </w:rPr>
              <w:t xml:space="preserve">Position(s)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240" w:type="dxa"/>
            <w:tcBorders/>
            <w:shd w:fill="CCEEFF" w:val="clear"/>
            <w:tcMar>
              <w:bottom w:w="0" w:type="dxa"/>
            </w:tcMar>
            <w:vAlign w:val="center"/>
          </w:tcPr>
          <w:p>
            <w:pPr>
              <w:pStyle w:val="TableContents"/>
              <w:spacing w:before="0" w:after="0"/>
              <w:rPr>
                <w:spacing w:val="4"/>
              </w:rPr>
            </w:pPr>
            <w:r>
              <w:rPr>
                <w:spacing w:val="4"/>
              </w:rPr>
              <w:t xml:space="preserve">Jack A. Khattar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center"/>
              <w:rPr/>
            </w:pPr>
            <w:r>
              <w:rPr/>
              <w:t>​</w:t>
            </w:r>
          </w:p>
        </w:tc>
        <w:tc>
          <w:tcPr>
            <w:tcW w:w="346" w:type="dxa"/>
            <w:tcBorders/>
            <w:shd w:fill="CCEEFF" w:val="clear"/>
            <w:tcMar>
              <w:bottom w:w="0" w:type="dxa"/>
            </w:tcMar>
            <w:vAlign w:val="center"/>
          </w:tcPr>
          <w:p>
            <w:pPr>
              <w:pStyle w:val="TableContents"/>
              <w:spacing w:before="0" w:after="283"/>
              <w:jc w:val="center"/>
              <w:rPr/>
            </w:pPr>
            <w:r>
              <w:rPr/>
              <w:t>61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308" w:type="dxa"/>
            <w:tcBorders/>
            <w:shd w:fill="CCEEFF" w:val="clear"/>
            <w:tcMar>
              <w:bottom w:w="0" w:type="dxa"/>
            </w:tcMar>
            <w:vAlign w:val="center"/>
          </w:tcPr>
          <w:p>
            <w:pPr>
              <w:pStyle w:val="TableContents"/>
              <w:spacing w:before="0" w:after="0"/>
              <w:rPr>
                <w:spacing w:val="4"/>
              </w:rPr>
            </w:pPr>
            <w:r>
              <w:rPr>
                <w:spacing w:val="4"/>
              </w:rPr>
              <w:t xml:space="preserve">President, Chief Executive Officer &amp; Secretary, Director </w:t>
            </w:r>
          </w:p>
        </w:tc>
        <w:tc>
          <w:tcPr>
            <w:tcW w:w="155" w:type="dxa"/>
            <w:tcBorders/>
            <w:shd w:fill="CCEEFF" w:val="clear"/>
            <w:tcMar>
              <w:bottom w:w="0" w:type="dxa"/>
            </w:tcMar>
            <w:vAlign w:val="center"/>
          </w:tcPr>
          <w:p>
            <w:pPr>
              <w:pStyle w:val="TableContents"/>
              <w:spacing w:before="0" w:after="283"/>
              <w:rPr/>
            </w:pPr>
            <w:r>
              <w:rPr/>
              <w:t>​</w:t>
            </w:r>
          </w:p>
        </w:tc>
      </w:tr>
      <w:tr>
        <w:trPr/>
        <w:tc>
          <w:tcPr>
            <w:tcW w:w="2240" w:type="dxa"/>
            <w:tcBorders/>
            <w:shd w:fill="auto" w:val="clear"/>
            <w:tcMar>
              <w:bottom w:w="0" w:type="dxa"/>
            </w:tcMar>
            <w:vAlign w:val="center"/>
          </w:tcPr>
          <w:p>
            <w:pPr>
              <w:pStyle w:val="TableContents"/>
              <w:spacing w:before="0" w:after="0"/>
              <w:rPr>
                <w:spacing w:val="4"/>
              </w:rPr>
            </w:pPr>
            <w:r>
              <w:rPr>
                <w:spacing w:val="4"/>
              </w:rPr>
              <w:t xml:space="preserve">Timothy C. Dec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center"/>
              <w:rPr/>
            </w:pPr>
            <w:r>
              <w:rPr/>
              <w:t>​</w:t>
            </w:r>
          </w:p>
        </w:tc>
        <w:tc>
          <w:tcPr>
            <w:tcW w:w="346" w:type="dxa"/>
            <w:tcBorders/>
            <w:shd w:fill="auto" w:val="clear"/>
            <w:tcMar>
              <w:bottom w:w="0" w:type="dxa"/>
            </w:tcMar>
            <w:vAlign w:val="center"/>
          </w:tcPr>
          <w:p>
            <w:pPr>
              <w:pStyle w:val="TableContents"/>
              <w:spacing w:before="0" w:after="283"/>
              <w:jc w:val="center"/>
              <w:rPr/>
            </w:pPr>
            <w:r>
              <w:rPr/>
              <w:t>65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308" w:type="dxa"/>
            <w:tcBorders/>
            <w:shd w:fill="auto" w:val="clear"/>
            <w:tcMar>
              <w:bottom w:w="0" w:type="dxa"/>
            </w:tcMar>
            <w:vAlign w:val="center"/>
          </w:tcPr>
          <w:p>
            <w:pPr>
              <w:pStyle w:val="TableContents"/>
              <w:spacing w:before="0" w:after="283"/>
              <w:rPr>
                <w:spacing w:val="4"/>
              </w:rPr>
            </w:pPr>
            <w:r>
              <w:rPr>
                <w:spacing w:val="4"/>
              </w:rPr>
              <w:t xml:space="preserve">Senior Vice President, Chief Financial Officer </w:t>
            </w:r>
          </w:p>
        </w:tc>
        <w:tc>
          <w:tcPr>
            <w:tcW w:w="155" w:type="dxa"/>
            <w:tcBorders/>
            <w:shd w:fill="auto" w:val="clear"/>
            <w:tcMar>
              <w:bottom w:w="0" w:type="dxa"/>
            </w:tcMar>
            <w:vAlign w:val="center"/>
          </w:tcPr>
          <w:p>
            <w:pPr>
              <w:pStyle w:val="TableContents"/>
              <w:spacing w:before="0" w:after="283"/>
              <w:rPr/>
            </w:pPr>
            <w:r>
              <w:rPr/>
              <w:t>​</w:t>
            </w:r>
          </w:p>
        </w:tc>
      </w:tr>
      <w:tr>
        <w:trPr/>
        <w:tc>
          <w:tcPr>
            <w:tcW w:w="2240" w:type="dxa"/>
            <w:tcBorders/>
            <w:shd w:fill="CCEEFF" w:val="clear"/>
            <w:tcMar>
              <w:bottom w:w="0" w:type="dxa"/>
            </w:tcMar>
            <w:vAlign w:val="center"/>
          </w:tcPr>
          <w:p>
            <w:pPr>
              <w:pStyle w:val="TableContents"/>
              <w:spacing w:before="0" w:after="0"/>
              <w:rPr>
                <w:spacing w:val="4"/>
              </w:rPr>
            </w:pPr>
            <w:r>
              <w:rPr>
                <w:spacing w:val="4"/>
              </w:rPr>
              <w:t xml:space="preserve">Padmanabh P. Bhatt, Ph.D.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center"/>
              <w:rPr/>
            </w:pPr>
            <w:r>
              <w:rPr/>
              <w:t>​</w:t>
            </w:r>
          </w:p>
        </w:tc>
        <w:tc>
          <w:tcPr>
            <w:tcW w:w="346" w:type="dxa"/>
            <w:tcBorders/>
            <w:shd w:fill="CCEEFF" w:val="clear"/>
            <w:tcMar>
              <w:bottom w:w="0" w:type="dxa"/>
            </w:tcMar>
            <w:vAlign w:val="center"/>
          </w:tcPr>
          <w:p>
            <w:pPr>
              <w:pStyle w:val="TableContents"/>
              <w:spacing w:before="0" w:after="283"/>
              <w:jc w:val="center"/>
              <w:rPr/>
            </w:pPr>
            <w:r>
              <w:rPr/>
              <w:t>65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308" w:type="dxa"/>
            <w:tcBorders/>
            <w:shd w:fill="CCEEFF" w:val="clear"/>
            <w:tcMar>
              <w:bottom w:w="0" w:type="dxa"/>
            </w:tcMar>
            <w:vAlign w:val="center"/>
          </w:tcPr>
          <w:p>
            <w:pPr>
              <w:pStyle w:val="TableContents"/>
              <w:spacing w:before="0" w:after="283"/>
              <w:rPr>
                <w:spacing w:val="4"/>
              </w:rPr>
            </w:pPr>
            <w:r>
              <w:rPr>
                <w:spacing w:val="4"/>
              </w:rPr>
              <w:t xml:space="preserve">Senior Vice President Intellectual Property, Chief Scientific Officer </w:t>
            </w:r>
          </w:p>
        </w:tc>
        <w:tc>
          <w:tcPr>
            <w:tcW w:w="155" w:type="dxa"/>
            <w:tcBorders/>
            <w:shd w:fill="CCEEFF" w:val="clear"/>
            <w:tcMar>
              <w:bottom w:w="0" w:type="dxa"/>
            </w:tcMar>
            <w:vAlign w:val="center"/>
          </w:tcPr>
          <w:p>
            <w:pPr>
              <w:pStyle w:val="TableContents"/>
              <w:spacing w:before="0" w:after="283"/>
              <w:rPr/>
            </w:pPr>
            <w:r>
              <w:rPr/>
              <w:t>​</w:t>
            </w:r>
          </w:p>
        </w:tc>
      </w:tr>
      <w:tr>
        <w:trPr/>
        <w:tc>
          <w:tcPr>
            <w:tcW w:w="2240" w:type="dxa"/>
            <w:tcBorders/>
            <w:shd w:fill="auto" w:val="clear"/>
            <w:tcMar>
              <w:bottom w:w="0" w:type="dxa"/>
            </w:tcMar>
            <w:vAlign w:val="center"/>
          </w:tcPr>
          <w:p>
            <w:pPr>
              <w:pStyle w:val="TableContents"/>
              <w:spacing w:before="0" w:after="0"/>
              <w:rPr>
                <w:spacing w:val="4"/>
              </w:rPr>
            </w:pPr>
            <w:r>
              <w:rPr>
                <w:spacing w:val="4"/>
              </w:rPr>
              <w:t xml:space="preserve">Tami T. Martin, R.N., Esq.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center"/>
              <w:rPr/>
            </w:pPr>
            <w:r>
              <w:rPr/>
              <w:t>​</w:t>
            </w:r>
          </w:p>
        </w:tc>
        <w:tc>
          <w:tcPr>
            <w:tcW w:w="346" w:type="dxa"/>
            <w:tcBorders/>
            <w:shd w:fill="auto" w:val="clear"/>
            <w:tcMar>
              <w:bottom w:w="0" w:type="dxa"/>
            </w:tcMar>
            <w:vAlign w:val="center"/>
          </w:tcPr>
          <w:p>
            <w:pPr>
              <w:pStyle w:val="TableContents"/>
              <w:spacing w:before="0" w:after="283"/>
              <w:jc w:val="center"/>
              <w:rPr/>
            </w:pPr>
            <w:r>
              <w:rPr/>
              <w:t>67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308" w:type="dxa"/>
            <w:tcBorders/>
            <w:shd w:fill="auto" w:val="clear"/>
            <w:tcMar>
              <w:bottom w:w="0" w:type="dxa"/>
            </w:tcMar>
            <w:vAlign w:val="center"/>
          </w:tcPr>
          <w:p>
            <w:pPr>
              <w:pStyle w:val="TableContents"/>
              <w:spacing w:before="0" w:after="283"/>
              <w:rPr>
                <w:spacing w:val="4"/>
              </w:rPr>
            </w:pPr>
            <w:r>
              <w:rPr>
                <w:spacing w:val="4"/>
              </w:rPr>
              <w:t xml:space="preserve">Senior Vice President, Regulatory Affairs </w:t>
            </w:r>
          </w:p>
        </w:tc>
        <w:tc>
          <w:tcPr>
            <w:tcW w:w="155" w:type="dxa"/>
            <w:tcBorders/>
            <w:shd w:fill="auto" w:val="clear"/>
            <w:tcMar>
              <w:bottom w:w="0" w:type="dxa"/>
            </w:tcMar>
            <w:vAlign w:val="center"/>
          </w:tcPr>
          <w:p>
            <w:pPr>
              <w:pStyle w:val="TableContents"/>
              <w:spacing w:before="0" w:after="283"/>
              <w:rPr/>
            </w:pPr>
            <w:r>
              <w:rPr/>
              <w:t>​</w:t>
            </w:r>
          </w:p>
        </w:tc>
      </w:tr>
      <w:tr>
        <w:trPr/>
        <w:tc>
          <w:tcPr>
            <w:tcW w:w="2240" w:type="dxa"/>
            <w:tcBorders/>
            <w:shd w:fill="CCEEFF" w:val="clear"/>
            <w:tcMar>
              <w:bottom w:w="0" w:type="dxa"/>
            </w:tcMar>
            <w:vAlign w:val="center"/>
          </w:tcPr>
          <w:p>
            <w:pPr>
              <w:pStyle w:val="TableContents"/>
              <w:spacing w:before="0" w:after="0"/>
              <w:rPr>
                <w:spacing w:val="4"/>
              </w:rPr>
            </w:pPr>
            <w:r>
              <w:rPr>
                <w:spacing w:val="4"/>
              </w:rPr>
              <w:t xml:space="preserve">Frank Mottola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center"/>
              <w:rPr/>
            </w:pPr>
            <w:r>
              <w:rPr/>
              <w:t>​</w:t>
            </w:r>
          </w:p>
        </w:tc>
        <w:tc>
          <w:tcPr>
            <w:tcW w:w="346" w:type="dxa"/>
            <w:tcBorders/>
            <w:shd w:fill="CCEEFF" w:val="clear"/>
            <w:tcMar>
              <w:bottom w:w="0" w:type="dxa"/>
            </w:tcMar>
            <w:vAlign w:val="center"/>
          </w:tcPr>
          <w:p>
            <w:pPr>
              <w:pStyle w:val="TableContents"/>
              <w:spacing w:before="0" w:after="283"/>
              <w:jc w:val="center"/>
              <w:rPr/>
            </w:pPr>
            <w:r>
              <w:rPr/>
              <w:t>51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308" w:type="dxa"/>
            <w:tcBorders/>
            <w:shd w:fill="CCEEFF" w:val="clear"/>
            <w:tcMar>
              <w:bottom w:w="0" w:type="dxa"/>
            </w:tcMar>
            <w:vAlign w:val="center"/>
          </w:tcPr>
          <w:p>
            <w:pPr>
              <w:pStyle w:val="TableContents"/>
              <w:spacing w:before="0" w:after="283"/>
              <w:rPr>
                <w:spacing w:val="4"/>
              </w:rPr>
            </w:pPr>
            <w:r>
              <w:rPr>
                <w:spacing w:val="4"/>
              </w:rPr>
              <w:t xml:space="preserve">Senior Vice President, Quality, GMP Operations and Information Technology </w:t>
            </w:r>
          </w:p>
        </w:tc>
        <w:tc>
          <w:tcPr>
            <w:tcW w:w="155" w:type="dxa"/>
            <w:tcBorders/>
            <w:shd w:fill="CCEEFF" w:val="clear"/>
            <w:tcMar>
              <w:bottom w:w="0" w:type="dxa"/>
            </w:tcMar>
            <w:vAlign w:val="center"/>
          </w:tcPr>
          <w:p>
            <w:pPr>
              <w:pStyle w:val="TableContents"/>
              <w:spacing w:before="0" w:after="283"/>
              <w:rPr/>
            </w:pPr>
            <w:r>
              <w:rPr/>
              <w:t>​</w:t>
            </w:r>
          </w:p>
        </w:tc>
      </w:tr>
      <w:tr>
        <w:trPr/>
        <w:tc>
          <w:tcPr>
            <w:tcW w:w="2240" w:type="dxa"/>
            <w:tcBorders/>
            <w:shd w:fill="auto" w:val="clear"/>
            <w:tcMar>
              <w:bottom w:w="0" w:type="dxa"/>
            </w:tcMar>
            <w:vAlign w:val="center"/>
          </w:tcPr>
          <w:p>
            <w:pPr>
              <w:pStyle w:val="TableContents"/>
              <w:spacing w:before="0" w:after="0"/>
              <w:rPr>
                <w:spacing w:val="4"/>
              </w:rPr>
            </w:pPr>
            <w:r>
              <w:rPr>
                <w:spacing w:val="4"/>
              </w:rPr>
              <w:t xml:space="preserve">Jonathan Rubin, M.D.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center"/>
              <w:rPr/>
            </w:pPr>
            <w:r>
              <w:rPr/>
              <w:t>​</w:t>
            </w:r>
          </w:p>
        </w:tc>
        <w:tc>
          <w:tcPr>
            <w:tcW w:w="346" w:type="dxa"/>
            <w:tcBorders/>
            <w:shd w:fill="auto" w:val="clear"/>
            <w:tcMar>
              <w:bottom w:w="0" w:type="dxa"/>
            </w:tcMar>
            <w:vAlign w:val="center"/>
          </w:tcPr>
          <w:p>
            <w:pPr>
              <w:pStyle w:val="TableContents"/>
              <w:spacing w:before="0" w:after="283"/>
              <w:jc w:val="center"/>
              <w:rPr/>
            </w:pPr>
            <w:r>
              <w:rPr/>
              <w:t>61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308" w:type="dxa"/>
            <w:tcBorders/>
            <w:shd w:fill="auto" w:val="clear"/>
            <w:tcMar>
              <w:bottom w:w="0" w:type="dxa"/>
            </w:tcMar>
            <w:vAlign w:val="center"/>
          </w:tcPr>
          <w:p>
            <w:pPr>
              <w:pStyle w:val="TableContents"/>
              <w:spacing w:before="0" w:after="283"/>
              <w:rPr/>
            </w:pPr>
            <w:r>
              <w:rPr>
                <w:spacing w:val="4"/>
              </w:rPr>
              <w:t>Senior Vice President, Chief Medical Officer, Research and Development</w:t>
            </w:r>
            <w:r>
              <w:rPr/>
              <w:t xml:space="preserve"> </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158"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Jack A. Khattar</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See “Election of Directors.”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Timothy C. Dec</w:t>
      </w:r>
      <w:r>
        <w:rPr>
          <w:rFonts w:ascii="Times New Roman;Times;serif" w:hAnsi="Times New Roman;Times;serif"/>
          <w:b w:val="false"/>
          <w:i w:val="false"/>
          <w:caps w:val="false"/>
          <w:smallCaps w:val="false"/>
          <w:color w:val="000000"/>
          <w:spacing w:val="4"/>
          <w:sz w:val="20"/>
        </w:rPr>
        <w:t xml:space="preserve"> has more than 35 years of experience in accounting and finance across many industries, including healthcare. His experience includes serving in chief financial officer or other senior financial executive roles at three publicly traded companies listed on Nasdaq, and with private equity-backed companies. Most recently, from April 2015 to July 2021, Mr. Dec was Chief Financial Officer of OpGen, Inc., a Nasdaq listed company engaged in the development and commercialization of molecular microbiology solutions to help combat infectious diseases. Prior to joining OpGen, Mr. Dec served as Senior Vice President and Chief Financial Officer for Clubwidesports, LLC, a start-up sports management software company, from January 2014 to April 2015. From August 2007 to December 2012, Mr. Dec served as Senior Vice President and Chief Financial Officer of Fortress International Group, Inc., a publicly traded company. From June 2006 to August 2007, Mr. Dec was Senior Vice President, Chief Financial Officer of Presidio Networked Solutions, a private company, and from June 1999 to June 2006, was Senior Vice President, Chief Accounting Officer and Treasurer of Broadwing Corporation (formerly Corvis Corporation), a publicly traded company. Mr. Dec also has public accounting firm experience and served as an Adjunct Professor teaching M.B.A courses in finance at Mount St. Mary’s University from January 2013 to August 2017. Mr. Dec received his B.S. in accounting from Mount St. Mary’s University and an M.B.A. in finance from American University.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Padmanabh P. Bhatt, Ph.D.</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has served as our Senior Vice President Intellectual Property and Chief Scientific Officer since March 2012. Prior to that, he served as our Vice President of Pharmaceutical Sciences since 2005. From 2003 to 2005, Dr. Bhatt was Vice President of Advanced Drug Delivery at Shire Laboratories Inc. From 2001 to 2003, Dr. Bhatt served as Vice President of Research and Development and Chief Technology Officer at Point Biomedical Corporation. From 1996 to 2001, he served at ALZA Corporation (now a Johnson &amp; Johnson company) in various positions from Product Development Manager to Director of Technical Development. Prior to that time, Dr. Bhatt held positions as Research Specialist and Group Leader of Novel Drug Delivery at Dow Corning Corporation (from 1992 to 1996) and Senior Scientist at Hercon Laboratories (from 1989 to 1992). Dr. Bhatt earned his B.Pharm. and M.Pharm. degrees from the University of Bombay, India. He also holds M.S. and Ph.D. degrees in Pharmaceutical Chemistry from the University of Kansas.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Tami T. Martin, R.N., Esq.</w:t>
      </w:r>
      <w:r>
        <w:rPr>
          <w:rFonts w:ascii="Times New Roman;Times;serif" w:hAnsi="Times New Roman;Times;serif"/>
          <w:b w:val="false"/>
          <w:i w:val="false"/>
          <w:caps w:val="false"/>
          <w:smallCaps w:val="false"/>
          <w:color w:val="000000"/>
          <w:spacing w:val="4"/>
          <w:sz w:val="20"/>
        </w:rPr>
        <w:t xml:space="preserve">, has served as our Senior Vice President of Regulatory Affairs since 2016. From 2008 to 2015, she served as our Vice President of Regulatory Affairs. Ms. Martin has previously held positions as Vice President of Regulatory Affairs at Shire Pharmaceuticals from 2002 to 2007, and Manager to Sr. Director of Regulatory Affairs at Otsuka America Pharmaceuticals from 1995 to 2001. Ms. Martin has also consulted privately for domestic and international clients as President and CEO of Pyramid Regulatory Consulting. Earlier in her career, Ms. Martin held legal positions at Hogan &amp; Hartson as a member of the Food and Drug Practice Group, and with the Department of Health and Human Services as a staff attorney. Ms. Martin previously served as an instructor for the Johns Hopkins University Masters of Biotechnology and Regulatory Affairs Graduate Degree program, and previously taught a portion of the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432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States Regulatory Module for TOPRA (The Organization for Professionals in Regulatory Affairs) leading to an MSc in Regulatory Affairs through the University of Wales. Ms. Martin earned her Bachelor of Science in Nursing from Albright College and a Juris Doctorate degree from Suffolk University. Ms. Martin is a member of the Pennsylvania Bar.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Frank Mottola</w:t>
      </w:r>
      <w:r>
        <w:rPr>
          <w:rFonts w:ascii="Times New Roman;Times;serif" w:hAnsi="Times New Roman;Times;serif"/>
          <w:b w:val="false"/>
          <w:i w:val="false"/>
          <w:caps w:val="false"/>
          <w:smallCaps w:val="false"/>
          <w:color w:val="000000"/>
          <w:spacing w:val="4"/>
          <w:sz w:val="20"/>
        </w:rPr>
        <w:t xml:space="preserve"> has served as our Senior Vice President of Quality, GMP Operations and Information Technology since January 2020. Prior to that, Mr. Mottola was Vice President of Quality, GMP Operations and Information Technology from 2017 to 2020. From 2014 to 2017, he served as Vice President of Quality and GMP Operations. Mr. Mottola served as Director of Quality from 2005 to 2013. Prior to 2005, Mr. Mottola was the Director of Quality at Able Laboratories and previously held various positions at Ortho Clinical Diagnostics (a Johnson &amp; Johnson company). He has over 25 years of experience in the pharmaceutical industry and holds Bachelor of Science degrees in Biology and Business Administration from Rutgers University and Walden University, respectively.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Jonathan Rubin, M.D.</w:t>
      </w:r>
      <w:r>
        <w:rPr>
          <w:rFonts w:ascii="Times New Roman;Times;serif" w:hAnsi="Times New Roman;Times;serif"/>
          <w:b w:val="false"/>
          <w:i w:val="false"/>
          <w:caps w:val="false"/>
          <w:smallCaps w:val="false"/>
          <w:color w:val="000000"/>
          <w:spacing w:val="4"/>
          <w:sz w:val="20"/>
        </w:rPr>
        <w:t xml:space="preserve"> has served as our Senior Vice President, Chief Medical Officer, Research and Development since January 2021. Before joining the Company in February 2020 as Senior Vice President, Clinical Research and Medical Affairs, Dr. Rubin was Chief Medical Officer of Atentiv, Inc. from May 2018 to February 2020 where he was responsible for clinical strategy and the design of clinical trials. From October 2017 to July 2018, Dr. Rubin was a clinical consultant to Chondrial Therapeutics, Inc. responsible for developing clinical strategy and trials for frataxin replacement therapy. From August 2013 to September 2017, Dr. Rubin was Chief Medical Officer of Alcobra, Inc. where he was responsible for oversight of the company’s clinical development, medical affairs, biometrics and pharmacovigilance, participated in the completion of two Phase III studies in ADHD and assisted with orphan drug and fast track designations for product candidates. From February 2007 to July 2013, Dr. Rubin was Medical Director of Clinical Development and Medical Affairs for Shire Pharmaceuticals where he supported the company’s ADHD portfolio and assisted with the design, execution and interpretation of Phase II, Phase IIIB and Phase IV studies, and from March 2011 to December 2011, he also served as Director, Scientific Licensing Assessment, identifying and evaluating business development opportunities in the neuropsychiatric therapeutic area including autism and ADHD. Prior to entering the biopharmaceutical industry, Dr. Rubin was in private practice as a developmental-behavioral pediatrician for 16 years. Before entering private practice, Dr. Rubin was a pediatric resident at Albert Einstein/Montefiore Hospital in the Bronx, New York and a fellow in ambulatory pediatrics at Boston’s Children Hospital. Dr. Rubin received his M.D. from the University of Connecticut School of Medicine, his Master of Business Administration from the Columbia School of Business and his Bachelor of Science in molecular biophysics and biochemistry from Yale University.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DISCUSSION AND ANALYSIS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Introduction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Discussion and Analysis that follows provides a description of our compensation program for each of the individuals listed below. We refer to these individuals throughout the Compensation Discussion and Analysis and the tables and narratives that follow as our named executive officers, or NEOs. For 2022, our named executive officers were as follows: </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Jack A. Khattar, Chief Executive Officer, President &amp; Secretary </w:t>
      </w:r>
      <w:r>
        <mc:AlternateContent>
          <mc:Choice Requires="wps">
            <w:drawing>
              <wp:anchor behindDoc="0" distT="7493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largest"/>
                <wp:docPr id="81" name="Frame8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Timothy C. Dec, Senior Vice President, Chief Financial Officer </w:t>
      </w:r>
      <w:r>
        <mc:AlternateContent>
          <mc:Choice Requires="wps">
            <w:drawing>
              <wp:anchor behindDoc="0" distT="7493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largest"/>
                <wp:docPr id="82" name="Frame8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Jonathan Rubin, MD, Senior Vice President, Chief Medical Officer, Research and Development </w:t>
      </w:r>
      <w:r>
        <mc:AlternateContent>
          <mc:Choice Requires="wps">
            <w:drawing>
              <wp:anchor behindDoc="0" distT="7493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largest"/>
                <wp:docPr id="83" name="Frame8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Padmanabh P. Bhatt, Ph.D., Senior Vice President, Intellectual Property, Chief Scientific Officer </w:t>
      </w:r>
      <w:r>
        <mc:AlternateContent>
          <mc:Choice Requires="wps">
            <w:drawing>
              <wp:anchor behindDoc="0" distT="7493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largest"/>
                <wp:docPr id="84" name="Frame8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Frank Mottola, Senior Vice President of Quality, GMP Operations and Information Technology </w:t>
      </w:r>
      <w:r>
        <mc:AlternateContent>
          <mc:Choice Requires="wps">
            <w:drawing>
              <wp:anchor behindDoc="0" distT="7493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largest"/>
                <wp:docPr id="85" name="Frame8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 Philosophy; Say on Pay Support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compensation program is designed to align the interests of our NEOs and all other executive officers with those of our stockholders by rewarding executives with incentives that are closely linked to the Company’s achievement of short-term and long-term business objectives. The program is focused on successfully attracting and retaining highly qualified and motivated executives and providing compensation levels and programs that are competitive with comparably sized pharmaceutical and biotechnology companies in the United States. The Compensation Committee seeks to deliver a competitive compensation program to retain and motivate our executives by rewarding their contributions and the value they create for all of our stockholders. As described below, an independent compensation consultant assists our Compensation Committee in this process.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our 2022 Annual Meeting of Stockholders, stockholders voted overwhelmingly in favor of our compensation program for our NEOs through our annual “Say-on-Pay vote” with more than 97% of votes cast approving the program. The Compensation Committee believes this approval by our stockholders shows strong support for our executive compensation philosophy.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Pay for Performance; Alignment of Interests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structure our compensation program to align the interests of our NEOs and all other executive officers with the interests of our stockholders. We believe that each executive officer’s compensation should be tied directly to helping the Company achieve its mission and, in so doing, delivering value to our stockholders. Therefore, a significant part of each executive officer’s compensation, other than the CEO, depends on the overall performance of the Company, the executive’s individual performance and their achievement of individual performance objectives, which are established by the Compensation Committee and support the achievement of the Company’s Corporate Objectives (defined below).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CEO’s performance is measured by reference to the overall performance of the Company, specifically the achievement of Corporate Objectives. As a result, a significant part of the CEO’s compensation is dependent on the short and long-term performance of the Company and the achievement of Corporate Objectives as well as longer term, comprehensive personal performance goals. These goals include, but are not limited to, the attainment of specific key financial metrics, the development of commercial products and the successful execution on projects that are designed to support the performance of the Company.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CEO and Compensation Committee (and the full Board of Directors in the case of our CEO) regularly review each executive’s total compensation to ensure that it is aligned with overall company performance. The CEO and Compensation Committee also assess the individual performance of each executive (other than our CEO) in making compensation decisions related to base salary, cash bonuses and equity awards. This assessment involves consideration of objective measures, including Corporate Objectives, overall Company performance, Personal Performance Goals and an assessment of the executive’s ability to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execute and contribute to the Company’s overall long-term strategy. The executive’s overall operational excellence and leadership ability are also important components of their individual performance. In assessing each executive’s individual performance, the CEO and Compensation Committee evaluate how well each executive fulfilled their obligations in the past year, including consideration of how well the operations or functions for which the executive is responsible performed during the year.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 case of the CEO, the full Board of Directors evaluates the performance of our CEO against the overall annual performance of the Company. The evaluation also includes reviewing the achievement of specific Corporate Objectives that are designed to support the Company’s strategy and drive both short and long term Company performance to create value for stockholders. These Corporate Objectives may include, among others, the acquisition of corporate entities or assets, the organic development of strategic assets that are fundamental to the future growth of the Company and the development of new chemical entities that could drive long term performance. Certain of the Corporate Objectives approved by the Board of Directors for 2022 are set forth below under the heading “Elements of Executive Compensation —</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Corporate Performance Goals.” In addition, the Board of Directors assesses the CEO on his ability to identify and evaluate strategic opportunities for and risks to the Company.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Program Design</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our executive compensation program is reasonable and appropriate because it is aligned with our business goals, research and development programs for future product development and our goal of delivering value to our stockholders. We rely on the expertise of our executive management team to drive overall company performance. The Compensation Committee believes that the design and operation of our CEO compensation program is appropriate given the impact the CEO has on the development of strategic programs, internal assets, and the achievement of Corporate Objectives. These components provide important future benefits for the Company and its stockholders.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overall compensation program is designed to attract, retain and motivate key employees by providing competitive, equitable compensation, based on their performance, in the form of base salary plus short-term and long-term incentives including cash bonuses and equity awards.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the design of our executive compensation program, with its emphasis on reward for achievement of the key goals that comprise our annual and long-term business plan, does not create incentives for our executives to take excessive or unnecessary risks that could threaten the value of the Company or are reasonably likely to cause a material adverse effect on the Company. Aon’s review includes a risk assessment of our executive compensation programs.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Role of Compensation Committee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is responsible for providing oversight of our executive compensation program for the CEO, CFO, all other NEOs and members of our executive management team. With the assistance of its independent compensation consultant, the Human Capital Solutions practice of Aon plc (“Aon”), the Compensation Committee reviews and evaluates the executive compensation program on an annual basis to ensure that the program is aligned with stockholder interests. This includes evaluating various factors, such as peer group information, in light of our compensation philosophy.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is also responsible for reviewing the annual performance evaluations of each NEO prepared by the CEO and the recommendations the CEO makes to the Compensation Committee regarding base salary, cash bonuses and equity awards for the NEOs other than the CEO. Taking into consideration the peer group data, the achievement of corporate and individual objectives and the executive’s overall performance, the Compensation Committee reviews the recommendations of the CEO and modifies or approves such recommendations regarding base salary, cash bonuses and equity awards for each NEO other than the CEO. The Compensation Committee and the full Board of Directors review the Compensation Committee’s decisions regarding the base salary, cash bonuses and equity awards for the CEO.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the CEO, the Compensation Committee conducts an annual assessment of the CEO’s performance measured by reference to the overall performance of the Company, specifically reviewing the achievement of Corporate Objectives, the long-term strategic programs of the Company and the Company’s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performance relative to its competition and peer group, among other factors. Following its assessment, the Compensation Committee makes recommendations to the full Board of Directors regarding the CEO’s compensation. The full Board of Directors then reviews the Compensation Committee’s assessment and recommendation, and with input from the Compensation Committee, makes a final decision concerning the CEO’s base salary, cash bonus and equity awards. The CEO is not in attendance during discussions regarding his compensation held by the Compensation Committee or the full Board of Directors.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Role of Compensation Consultant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retains an independent compensation consulting firm to provide advisory services concerning our executive compensation programs. In 2022, Aon assisted the Compensation Committee by providing the following services: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Assisting in establishing a peer group of publicly-traded companies to help assess our executive compensation program; </w:t>
      </w:r>
      <w:r>
        <mc:AlternateContent>
          <mc:Choice Requires="wps">
            <w:drawing>
              <wp:anchor behindDoc="0" distT="7366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largest"/>
                <wp:docPr id="86" name="Frame8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Competitive comparison of peer groups and market data analysis, including data used for reviewing the compensation of our CEO, CFO, the other NEOs and other members of our executive management team; </w:t>
      </w:r>
      <w:r>
        <mc:AlternateContent>
          <mc:Choice Requires="wps">
            <w:drawing>
              <wp:anchor behindDoc="0" distT="7366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largest"/>
                <wp:docPr id="87" name="Frame8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advising on certain materials provided to the Compensation Committee for discussion and approval; </w:t>
      </w:r>
      <w:r>
        <mc:AlternateContent>
          <mc:Choice Requires="wps">
            <w:drawing>
              <wp:anchor behindDoc="0" distT="7366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largest"/>
                <wp:docPr id="88" name="Frame8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Participating in certain of the Compensation Committee’s meetings in 2022; </w:t>
      </w:r>
      <w:r>
        <mc:AlternateContent>
          <mc:Choice Requires="wps">
            <w:drawing>
              <wp:anchor behindDoc="0" distT="7366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largest"/>
                <wp:docPr id="89" name="Frame8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Assisting in the pay for performance assessment of the CEO’s performance relative to the CEO’s entire compensation package; </w:t>
      </w:r>
      <w:r>
        <mc:AlternateContent>
          <mc:Choice Requires="wps">
            <w:drawing>
              <wp:anchor behindDoc="0" distT="7366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largest"/>
                <wp:docPr id="90" name="Frame8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Assisting in the assessment of the Board of Directors compensation; and </w:t>
      </w:r>
      <w:r>
        <mc:AlternateContent>
          <mc:Choice Requires="wps">
            <w:drawing>
              <wp:anchor behindDoc="0" distT="7366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largest"/>
                <wp:docPr id="91" name="Frame9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Reporting on certain governance and regulatory trends. </w:t>
      </w:r>
      <w:r>
        <mc:AlternateContent>
          <mc:Choice Requires="wps">
            <w:drawing>
              <wp:anchor behindDoc="0" distT="7366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largest"/>
                <wp:docPr id="92" name="Frame9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members of the Aon team provide data and advice to the Compensation Committee, including with respect to the development of the pay for performance assessment of the CEO. Other than providing the information identified above, the Aon team does not provide any other services unless specifically requested by the Compensation Committee. Aon follows its internal guidelines and practices to guard against any conflict of interest and to ensure the objectivity of its advice. The Compensation Committee analyzed whether Aon was independent pursuant to SEC and Nasdaq listing rules and whether the work of Aon as a compensation consultant raised any conflict of interest. Based on its analysis, the Compensation Committee determined that Aon was independent and that the work of Aon and the individual compensation advisors employed by Aon does not create any conflict of interest.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Role of Company Management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CEO makes recommendations to the Compensation Committee concerning each NEO’s contribution to the achievement of Corporate Objectives, which is the primary basis for each executive’s cash bonus. The NEO’s individual performance is the primary basis for the equity award and is a factor in each executive’s cash bonus (other than the CEO). The CEO’s cash bonus is solely based on the achievement of Corporate Objectives. The recommendations take into account the peer group data provided by Aon. In addition, the CEO annually leads management in setting the research and development and business goals that are used to recommend the Corporate Objectives. The CEO works closely with the Compensation Committee to ensure that the Compensation Committee is provided with the appropriate information to make its decisions and to propose recommendations for the Compensation Committee’s consideration. The Compensation Committee develops the compensation plans by evaluating compensation data from Aon, overall Company performance and the recommendations of the CEO. Once approved by the Compensation Committee, the CEO communicates those decisions to management for implementation.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Peer Group Data</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compensation program seeks to provide total compensation at pay levels of executives with similar roles at comparable companies when targeted levels of performance are achieved. Use of peer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group survey data provided by Aon plays a significant role in the structure of the compensation program. It is an important input in setting base salaries and target levels for cash bonuses and equity awards and to establish target compensation levels that are market competitive in order to attract and retain talent.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participates in compensation surveys conducted by Aon each year. The Company has access to the resulting Aon reports, which are specific to the pharmaceutical and biotechnology industries and provide data on salaries, cash bonuses and equity awards for specific job functions. Aon’s input is one of the inputs for assessing our executive compensation program.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the guidance of Aon, the Compensation Committee determined the Peer Group for use and reference in 2022. The Compensation Committee used the peer data and the assistance of Aon to identify a reasonable reference point for base salaries, cash bonuses and equity awards. The Committee then analyzed overall company and individual executive performance to make final compensation decisions, which were recommended to the Board of Directors for approval.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criteria we used for selecting peers included: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 commercial biopharmaceutical companies with a product on the market; </w:t>
      </w:r>
      <w:r>
        <mc:AlternateContent>
          <mc:Choice Requires="wps">
            <w:drawing>
              <wp:anchor behindDoc="0" distT="7366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largest"/>
                <wp:docPr id="93" name="Frame9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capitalization values generally between $500 million and $5.5 billion; </w:t>
      </w:r>
      <w:r>
        <mc:AlternateContent>
          <mc:Choice Requires="wps">
            <w:drawing>
              <wp:anchor behindDoc="0" distT="7366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largest"/>
                <wp:docPr id="94" name="Frame9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Companies with annual revenue generally between $300 million and $1.5 billion; and </w:t>
      </w:r>
      <w:r>
        <mc:AlternateContent>
          <mc:Choice Requires="wps">
            <w:drawing>
              <wp:anchor behindDoc="0" distT="7366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largest"/>
                <wp:docPr id="95" name="Frame9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Companies with 200-2,000 employees reflecting other organizations of similar scale and complexity. </w:t>
      </w:r>
      <w:r>
        <mc:AlternateContent>
          <mc:Choice Requires="wps">
            <w:drawing>
              <wp:anchor behindDoc="0" distT="7366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largest"/>
                <wp:docPr id="96" name="Frame9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Using these criteria, the following companies were determined to comprise the Company’s peer group (the “Peer Group”): ACADIA Pharmaceuticals, Agios Pharmaceuticals, Alkermes, Amarin, Amicus Therapeutics, Amphastar Pharmaceuticals, Biohaven Pharmaceuticals, Coherus BioSciences, Collegium Pharmaceutical, Corcept Therapeutics, Eagle Pharmaceuticals, Emergent BioSolutions, Halozyme Therapeutics, Insmed, Intercept Pharmaceuticals, Ironwood Pharmaceuticals, Ligand Pharmaceuticals, Pacira BioSciences, PTC Therapeutics, Sarepta Therapeutics, and Vanda Pharmaceuticals. Compared to the Peer Group, for 2021, the Company was at the 77</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percentile of revenues, 32</w:t>
      </w:r>
      <w:r>
        <w:rPr>
          <w:rFonts w:ascii="Times New Roman;Times;serif" w:hAnsi="Times New Roman;Times;serif"/>
          <w:b w:val="false"/>
          <w:i w:val="false"/>
          <w:caps w:val="false"/>
          <w:smallCaps w:val="false"/>
          <w:color w:val="000000"/>
          <w:spacing w:val="3"/>
          <w:sz w:val="15"/>
        </w:rPr>
        <w:t>nd</w:t>
      </w:r>
      <w:r>
        <w:rPr>
          <w:rFonts w:ascii="Times New Roman;Times;serif" w:hAnsi="Times New Roman;Times;serif"/>
          <w:b w:val="false"/>
          <w:i w:val="false"/>
          <w:caps w:val="false"/>
          <w:smallCaps w:val="false"/>
          <w:color w:val="000000"/>
          <w:spacing w:val="4"/>
          <w:sz w:val="20"/>
        </w:rPr>
        <w:t xml:space="preserve"> percentile of market capitalization, and the 63</w:t>
      </w:r>
      <w:r>
        <w:rPr>
          <w:rFonts w:ascii="Times New Roman;Times;serif" w:hAnsi="Times New Roman;Times;serif"/>
          <w:b w:val="false"/>
          <w:i w:val="false"/>
          <w:caps w:val="false"/>
          <w:smallCaps w:val="false"/>
          <w:color w:val="000000"/>
          <w:spacing w:val="3"/>
          <w:sz w:val="15"/>
        </w:rPr>
        <w:t>rd</w:t>
      </w:r>
      <w:r>
        <w:rPr>
          <w:rFonts w:ascii="Times New Roman;Times;serif" w:hAnsi="Times New Roman;Times;serif"/>
          <w:b w:val="false"/>
          <w:i w:val="false"/>
          <w:caps w:val="false"/>
          <w:smallCaps w:val="false"/>
          <w:color w:val="000000"/>
          <w:spacing w:val="4"/>
          <w:sz w:val="20"/>
        </w:rPr>
        <w:t xml:space="preserve"> percentile of Peer Group headcount.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Elements of Executive Compensation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main components of our executive compensation program are: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 salary; </w:t>
      </w:r>
      <w:r>
        <mc:AlternateContent>
          <mc:Choice Requires="wps">
            <w:drawing>
              <wp:anchor behindDoc="0" distT="7366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largest"/>
                <wp:docPr id="97" name="Frame9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cash bonus; and </w:t>
      </w:r>
      <w:r>
        <mc:AlternateContent>
          <mc:Choice Requires="wps">
            <w:drawing>
              <wp:anchor behindDoc="0" distT="7366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largest"/>
                <wp:docPr id="98" name="Frame9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Long-term incentives — equity awards. </w:t>
      </w:r>
      <w:r>
        <mc:AlternateContent>
          <mc:Choice Requires="wps">
            <w:drawing>
              <wp:anchor behindDoc="0" distT="7366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largest"/>
                <wp:docPr id="99" name="Frame9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describes how each of these elements of compensation fit into our overall compensation objectives and describes how and why compensation decisions were made with respect to each element based on our year-end analysis of competitive market data and our annual review of Corporate Objectives and individual performance.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Base Salaries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 salaries are paid in order to provide a fixed component of compensation for the CEO, CFO, other NEOs and other members of executive management. For 2022, on February 22, 2022, the Compensation Committee, based its assessment of performance, the CEO’s recommendation and comparison with data from the Aon report, reviewed the base salaries of the CEO and the CFO, other NEOs and the other executive officers. Each executive officer’s individual performance and tenure were also evaluated. For each of these executive officers, based on the CEO’s recommendation (other than with respect to the CEO) and the executive officer’s individual performance and contribution to the achievement of Corporate Objectives, the Compensation Committee approved an increase in the respective base salary from the 2021 level (other than with respect to the CEO) to be within a range that is competitive with salaries paid to comparable officers at companies in the Peer Group. With respect to the CEO, based on the foregoing, the Compensation Committee recommended the Board of Directors approve an increase of the CEO’s base salary from the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2021 level to be within a range that is competitive with salaries paid to comparable CEOs at companies in the Peer Group. The full Board of Directors reviewed the approved increase and approved an increase in the CEO’s base salary based on its review and the Compensation Committee’s recommendation. None of our executives received more than a 10% change in base salary from 2021 levels. For 2022 and 2023, our NEOs base salaries were as follows: </w:t>
      </w:r>
    </w:p>
    <w:tbl>
      <w:tblPr>
        <w:tblW w:w="6113" w:type="dxa"/>
        <w:jc w:val="left"/>
        <w:tblInd w:w="1393" w:type="dxa"/>
        <w:tblCellMar>
          <w:top w:w="0" w:type="dxa"/>
          <w:left w:w="0" w:type="dxa"/>
          <w:bottom w:w="28" w:type="dxa"/>
          <w:right w:w="0" w:type="dxa"/>
        </w:tblCellMar>
      </w:tblPr>
      <w:tblGrid>
        <w:gridCol w:w="2863"/>
        <w:gridCol w:w="109"/>
        <w:gridCol w:w="109"/>
        <w:gridCol w:w="109"/>
        <w:gridCol w:w="226"/>
        <w:gridCol w:w="886"/>
        <w:gridCol w:w="109"/>
        <w:gridCol w:w="109"/>
        <w:gridCol w:w="109"/>
        <w:gridCol w:w="109"/>
        <w:gridCol w:w="226"/>
        <w:gridCol w:w="886"/>
        <w:gridCol w:w="109"/>
        <w:gridCol w:w="154"/>
      </w:tblGrid>
      <w:tr>
        <w:trPr/>
        <w:tc>
          <w:tcPr>
            <w:tcW w:w="2863"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878" w:type="dxa"/>
            <w:gridSpan w:val="1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Base Salary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2863" w:type="dxa"/>
            <w:tcBorders>
              <w:bottom w:val="single" w:sz="2" w:space="0" w:color="000000"/>
            </w:tcBorders>
            <w:shd w:fill="auto" w:val="clear"/>
            <w:tcMar>
              <w:bottom w:w="50" w:type="dxa"/>
            </w:tcM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30" w:type="dxa"/>
            <w:gridSpan w:val="4"/>
            <w:tcBorders>
              <w:bottom w:val="single" w:sz="2" w:space="0" w:color="000000"/>
            </w:tcBorders>
            <w:shd w:fill="auto" w:val="clear"/>
            <w:tcMar>
              <w:bottom w:w="50" w:type="dxa"/>
            </w:tcMar>
            <w:vAlign w:val="center"/>
          </w:tcPr>
          <w:p>
            <w:pPr>
              <w:pStyle w:val="TableContents"/>
              <w:spacing w:before="0" w:after="0"/>
              <w:jc w:val="center"/>
              <w:rPr/>
            </w:pPr>
            <w:r>
              <w:rPr>
                <w:spacing w:val="-3"/>
              </w:rPr>
              <w:t>2022</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30" w:type="dxa"/>
            <w:gridSpan w:val="4"/>
            <w:tcBorders>
              <w:bottom w:val="single" w:sz="2" w:space="0" w:color="000000"/>
            </w:tcBorders>
            <w:shd w:fill="auto" w:val="clear"/>
            <w:tcMar>
              <w:bottom w:w="50" w:type="dxa"/>
            </w:tcMar>
            <w:vAlign w:val="center"/>
          </w:tcPr>
          <w:p>
            <w:pPr>
              <w:pStyle w:val="TableContents"/>
              <w:spacing w:before="0" w:after="0"/>
              <w:jc w:val="center"/>
              <w:rPr/>
            </w:pPr>
            <w:r>
              <w:rPr>
                <w:spacing w:val="-3"/>
              </w:rPr>
              <w:t>2023</w:t>
            </w:r>
            <w:r>
              <w:rPr/>
              <w:t xml:space="preserve">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2863" w:type="dxa"/>
            <w:tcBorders/>
            <w:shd w:fill="CCEEFF" w:val="clear"/>
            <w:tcMar>
              <w:bottom w:w="0" w:type="dxa"/>
            </w:tcMar>
            <w:vAlign w:val="center"/>
          </w:tcPr>
          <w:p>
            <w:pPr>
              <w:pStyle w:val="TableContents"/>
              <w:spacing w:before="0" w:after="0"/>
              <w:jc w:val="left"/>
              <w:rPr>
                <w:spacing w:val="4"/>
              </w:rPr>
            </w:pPr>
            <w:r>
              <w:rPr>
                <w:spacing w:val="4"/>
              </w:rPr>
              <w:t xml:space="preserve">Jack A. Khattar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913,500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963,000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863" w:type="dxa"/>
            <w:tcBorders/>
            <w:shd w:fill="auto" w:val="clear"/>
            <w:tcMar>
              <w:bottom w:w="0" w:type="dxa"/>
            </w:tcMar>
            <w:vAlign w:val="center"/>
          </w:tcPr>
          <w:p>
            <w:pPr>
              <w:pStyle w:val="TableContents"/>
              <w:spacing w:before="0" w:after="0"/>
              <w:jc w:val="left"/>
              <w:rPr>
                <w:spacing w:val="4"/>
              </w:rPr>
            </w:pPr>
            <w:r>
              <w:rPr>
                <w:spacing w:val="4"/>
              </w:rPr>
              <w:t xml:space="preserve">Timothy C. Dec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412,500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453,800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863" w:type="dxa"/>
            <w:tcBorders/>
            <w:shd w:fill="CCEEFF" w:val="clear"/>
            <w:tcMar>
              <w:bottom w:w="0" w:type="dxa"/>
            </w:tcMar>
            <w:vAlign w:val="center"/>
          </w:tcPr>
          <w:p>
            <w:pPr>
              <w:pStyle w:val="TableContents"/>
              <w:spacing w:before="0" w:after="0"/>
              <w:jc w:val="left"/>
              <w:rPr>
                <w:spacing w:val="4"/>
              </w:rPr>
            </w:pPr>
            <w:r>
              <w:rPr>
                <w:spacing w:val="4"/>
              </w:rPr>
              <w:t xml:space="preserve">Padmanabh P. Bhatt, Ph.D.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415,200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427,700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863" w:type="dxa"/>
            <w:tcBorders/>
            <w:shd w:fill="auto" w:val="clear"/>
            <w:tcMar>
              <w:bottom w:w="0" w:type="dxa"/>
            </w:tcMar>
            <w:vAlign w:val="center"/>
          </w:tcPr>
          <w:p>
            <w:pPr>
              <w:pStyle w:val="TableContents"/>
              <w:spacing w:before="0" w:after="0"/>
              <w:jc w:val="left"/>
              <w:rPr>
                <w:spacing w:val="4"/>
              </w:rPr>
            </w:pPr>
            <w:r>
              <w:rPr>
                <w:spacing w:val="4"/>
              </w:rPr>
              <w:t xml:space="preserve">Jonathan Rubin, M.D.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412,000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440,000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863" w:type="dxa"/>
            <w:tcBorders/>
            <w:shd w:fill="CCEEFF" w:val="clear"/>
            <w:tcMar>
              <w:bottom w:w="0" w:type="dxa"/>
            </w:tcMar>
            <w:vAlign w:val="center"/>
          </w:tcPr>
          <w:p>
            <w:pPr>
              <w:pStyle w:val="TableContents"/>
              <w:spacing w:before="0" w:after="0"/>
              <w:jc w:val="left"/>
              <w:rPr>
                <w:spacing w:val="4"/>
              </w:rPr>
            </w:pPr>
            <w:r>
              <w:rPr>
                <w:spacing w:val="4"/>
              </w:rPr>
              <w:t xml:space="preserve">Frank Mottola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342,400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352,700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230" w:after="283"/>
        <w:ind w:left="13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Annual Cash Bonuses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cash bonuses are intended to reward individual performance by providing executive officers with an opportunity to receive additional cash compensation based primarily on the Company’s performance. As described in greater detail below, that performance is measured by the achievement of Corporate Objectives approved by the Board of Directors, and the assessment of the Compensation Committee, based on recommendations from the CEO, of how well the executive officer performed his or her role in contributing to stockholder value during the applicable year.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Target Setting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bonus targets, expressed as a percentage of base salary, for the CEO, CFO, the other NEOs and all other members of executive management, were set within a range that is competitive with cash bonuses paid to comparable officers at the companies in our Peer Group. While the CEO recommends each officer’s cash bonus target (other than for the CEO) to the Compensation Committee, the Compensation Committee has the discretion to adjust each officer’s target as it deems appropriate. Potential reasons for adjusting cash bonus targets include the impact of the officer’s position on the Company’s results and how the officer’s base salary, upon which the bonus is based, has increased historically. The length of time an officer has been in his or her current role and how the officer’s role fits within the hierarchy of the Company are also considered. None of the NEOs cash bonus targets as a percentage of their respective base salaries increased in 2022 as compared to 2021, other than with respect to (1) Mr. Dec whose cash bonus target was increased to 45% of his base salary in 2022 from 40% in 2021 and (2) Dr. Rubin whose cash bonus target was increased to 40% of his base salary in 2022 from 35% in 2021.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Elements of Cash Bonus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cash bonus target opportunity consists of two elements: (i) a Company performance element and (ii) an individual performance element (other than for the CEO whose cash bonus is based solely on Company performance elements). The targets and the relative weighting of objectives for the NEOs in 2022 were as follows: </w:t>
      </w:r>
    </w:p>
    <w:tbl>
      <w:tblPr>
        <w:tblW w:w="7280" w:type="dxa"/>
        <w:jc w:val="left"/>
        <w:tblInd w:w="1393" w:type="dxa"/>
        <w:tblCellMar>
          <w:top w:w="0" w:type="dxa"/>
          <w:left w:w="0" w:type="dxa"/>
          <w:bottom w:w="28" w:type="dxa"/>
          <w:right w:w="0" w:type="dxa"/>
        </w:tblCellMar>
      </w:tblPr>
      <w:tblGrid>
        <w:gridCol w:w="2863"/>
        <w:gridCol w:w="109"/>
        <w:gridCol w:w="109"/>
        <w:gridCol w:w="179"/>
        <w:gridCol w:w="179"/>
        <w:gridCol w:w="890"/>
        <w:gridCol w:w="179"/>
        <w:gridCol w:w="109"/>
        <w:gridCol w:w="109"/>
        <w:gridCol w:w="139"/>
        <w:gridCol w:w="139"/>
        <w:gridCol w:w="661"/>
        <w:gridCol w:w="142"/>
        <w:gridCol w:w="109"/>
        <w:gridCol w:w="109"/>
        <w:gridCol w:w="151"/>
        <w:gridCol w:w="151"/>
        <w:gridCol w:w="646"/>
        <w:gridCol w:w="153"/>
        <w:gridCol w:w="154"/>
      </w:tblGrid>
      <w:tr>
        <w:trPr/>
        <w:tc>
          <w:tcPr>
            <w:tcW w:w="2863"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427" w:type="dxa"/>
            <w:gridSpan w:val="4"/>
            <w:vMerge w:val="restart"/>
            <w:tcBorders>
              <w:bottom w:val="single" w:sz="2" w:space="0" w:color="000000"/>
            </w:tcBorders>
            <w:shd w:fill="auto" w:val="clear"/>
            <w:tcMar>
              <w:bottom w:w="43" w:type="dxa"/>
            </w:tcMar>
            <w:vAlign w:val="center"/>
          </w:tcPr>
          <w:p>
            <w:pPr>
              <w:pStyle w:val="TableContents"/>
              <w:spacing w:lineRule="atLeast" w:line="180" w:before="0" w:after="0"/>
              <w:jc w:val="center"/>
              <w:rPr>
                <w:spacing w:val="-3"/>
              </w:rPr>
            </w:pPr>
            <w:r>
              <w:rPr>
                <w:spacing w:val="-3"/>
              </w:rPr>
              <w:t xml:space="preserve">Target Bonus </w:t>
              <w:br/>
              <w:t xml:space="preserve">as a % of </w:t>
              <w:br/>
              <w:t xml:space="preserve">Base Salary)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400" w:type="dxa"/>
            <w:gridSpan w:val="10"/>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Weighting of </w:t>
              <w:br/>
              <w:t xml:space="preserve">Objectives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2863" w:type="dxa"/>
            <w:tcBorders>
              <w:bottom w:val="single" w:sz="2" w:space="0" w:color="000000"/>
            </w:tcBorders>
            <w:shd w:fill="auto" w:val="clear"/>
            <w:tcMar>
              <w:bottom w:w="50" w:type="dxa"/>
            </w:tcM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continue"/>
            <w:tcBorders>
              <w:bottom w:val="single" w:sz="2" w:space="0" w:color="FFFFFF"/>
            </w:tcBorders>
            <w:shd w:fill="auto" w:val="clear"/>
            <w:vAlign w:val="center"/>
          </w:tcPr>
          <w:p>
            <w:pPr>
              <w:pStyle w:val="Normal"/>
              <w:rPr/>
            </w:pPr>
            <w:r>
              <w:rPr/>
            </w:r>
          </w:p>
        </w:tc>
        <w:tc>
          <w:tcPr>
            <w:tcW w:w="1427" w:type="dxa"/>
            <w:gridSpan w:val="4"/>
            <w:vMerge w:val="continue"/>
            <w:tcBorders>
              <w:bottom w:val="single" w:sz="2" w:space="0" w:color="000000"/>
            </w:tcBorders>
            <w:shd w:fill="auto" w:val="clear"/>
            <w:tcMar>
              <w:bottom w:w="43" w:type="dxa"/>
            </w:tcM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tcBorders>
              <w:bottom w:val="single" w:sz="2" w:space="0" w:color="FFFFFF"/>
            </w:tcBorders>
            <w:shd w:fill="auto" w:val="clear"/>
            <w:vAlign w:val="center"/>
          </w:tcPr>
          <w:p>
            <w:pPr>
              <w:pStyle w:val="TableContents"/>
              <w:spacing w:before="0" w:after="283"/>
              <w:rPr/>
            </w:pPr>
            <w:r>
              <w:rPr/>
              <w:t>​</w:t>
            </w:r>
          </w:p>
        </w:tc>
        <w:tc>
          <w:tcPr>
            <w:tcW w:w="1081"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Company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01"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Individual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2863" w:type="dxa"/>
            <w:tcBorders/>
            <w:shd w:fill="CCEEFF" w:val="clear"/>
            <w:tcMar>
              <w:bottom w:w="0" w:type="dxa"/>
            </w:tcMar>
            <w:vAlign w:val="center"/>
          </w:tcPr>
          <w:p>
            <w:pPr>
              <w:pStyle w:val="TableContents"/>
              <w:spacing w:before="0" w:after="0"/>
              <w:jc w:val="left"/>
              <w:rPr>
                <w:spacing w:val="4"/>
              </w:rPr>
            </w:pPr>
            <w:r>
              <w:rPr>
                <w:spacing w:val="4"/>
              </w:rPr>
              <w:t xml:space="preserve">Jack A. Khattar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9" w:type="dxa"/>
            <w:tcBorders/>
            <w:shd w:fill="CCEEFF" w:val="clear"/>
            <w:tcMar>
              <w:bottom w:w="0" w:type="dxa"/>
            </w:tcMar>
            <w:vAlign w:val="center"/>
          </w:tcPr>
          <w:p>
            <w:pPr>
              <w:pStyle w:val="TableContents"/>
              <w:spacing w:before="0" w:after="283"/>
              <w:rPr/>
            </w:pPr>
            <w:r>
              <w:rPr/>
              <w:t>​</w:t>
            </w:r>
          </w:p>
        </w:tc>
        <w:tc>
          <w:tcPr>
            <w:tcW w:w="179" w:type="dxa"/>
            <w:tcBorders/>
            <w:shd w:fill="CCEEFF" w:val="clear"/>
            <w:tcMar>
              <w:bottom w:w="0" w:type="dxa"/>
            </w:tcMar>
            <w:vAlign w:val="center"/>
          </w:tcPr>
          <w:p>
            <w:pPr>
              <w:pStyle w:val="TableContents"/>
              <w:spacing w:before="0" w:after="283"/>
              <w:jc w:val="right"/>
              <w:rPr/>
            </w:pPr>
            <w:r>
              <w:rPr/>
              <w:t>​</w:t>
            </w:r>
          </w:p>
        </w:tc>
        <w:tc>
          <w:tcPr>
            <w:tcW w:w="890" w:type="dxa"/>
            <w:tcBorders/>
            <w:shd w:fill="CCEEFF" w:val="clear"/>
            <w:tcMar>
              <w:bottom w:w="0" w:type="dxa"/>
            </w:tcMar>
            <w:vAlign w:val="center"/>
          </w:tcPr>
          <w:p>
            <w:pPr>
              <w:pStyle w:val="TableContents"/>
              <w:spacing w:before="0" w:after="283"/>
              <w:jc w:val="right"/>
              <w:rPr/>
            </w:pPr>
            <w:r>
              <w:rPr/>
              <w:t>75%</w:t>
            </w:r>
          </w:p>
        </w:tc>
        <w:tc>
          <w:tcPr>
            <w:tcW w:w="17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9" w:type="dxa"/>
            <w:tcBorders/>
            <w:shd w:fill="CCEEFF" w:val="clear"/>
            <w:tcMar>
              <w:bottom w:w="0" w:type="dxa"/>
            </w:tcMar>
            <w:vAlign w:val="center"/>
          </w:tcPr>
          <w:p>
            <w:pPr>
              <w:pStyle w:val="TableContents"/>
              <w:spacing w:before="0" w:after="283"/>
              <w:rPr/>
            </w:pPr>
            <w:r>
              <w:rPr/>
              <w:t>​</w:t>
            </w:r>
          </w:p>
        </w:tc>
        <w:tc>
          <w:tcPr>
            <w:tcW w:w="139" w:type="dxa"/>
            <w:tcBorders/>
            <w:shd w:fill="CCEEFF" w:val="clear"/>
            <w:tcMar>
              <w:bottom w:w="0" w:type="dxa"/>
            </w:tcMar>
            <w:vAlign w:val="center"/>
          </w:tcPr>
          <w:p>
            <w:pPr>
              <w:pStyle w:val="TableContents"/>
              <w:spacing w:before="0" w:after="283"/>
              <w:jc w:val="right"/>
              <w:rPr/>
            </w:pPr>
            <w:r>
              <w:rPr/>
              <w:t>​</w:t>
            </w:r>
          </w:p>
        </w:tc>
        <w:tc>
          <w:tcPr>
            <w:tcW w:w="661" w:type="dxa"/>
            <w:tcBorders/>
            <w:shd w:fill="CCEEFF" w:val="clear"/>
            <w:tcMar>
              <w:bottom w:w="0" w:type="dxa"/>
            </w:tcMar>
            <w:vAlign w:val="center"/>
          </w:tcPr>
          <w:p>
            <w:pPr>
              <w:pStyle w:val="TableContents"/>
              <w:spacing w:before="0" w:after="283"/>
              <w:jc w:val="right"/>
              <w:rPr/>
            </w:pPr>
            <w:r>
              <w:rPr/>
              <w:t>100%</w:t>
            </w:r>
          </w:p>
        </w:tc>
        <w:tc>
          <w:tcPr>
            <w:tcW w:w="14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1" w:type="dxa"/>
            <w:tcBorders/>
            <w:shd w:fill="CCEEFF" w:val="clear"/>
            <w:tcMar>
              <w:bottom w:w="0" w:type="dxa"/>
            </w:tcMar>
            <w:vAlign w:val="center"/>
          </w:tcPr>
          <w:p>
            <w:pPr>
              <w:pStyle w:val="TableContents"/>
              <w:spacing w:before="0" w:after="283"/>
              <w:rPr/>
            </w:pPr>
            <w:r>
              <w:rPr/>
              <w:t>​</w:t>
            </w:r>
          </w:p>
        </w:tc>
        <w:tc>
          <w:tcPr>
            <w:tcW w:w="151"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w:t>
            </w:r>
            <w:r>
              <w:rPr>
                <w:sz w:val="15"/>
              </w:rPr>
              <w:t>(1)</w:t>
            </w:r>
            <w:r>
              <w:rPr/>
              <w:t xml:space="preserve"> </w:t>
            </w:r>
          </w:p>
        </w:tc>
        <w:tc>
          <w:tcPr>
            <w:tcW w:w="153"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863" w:type="dxa"/>
            <w:tcBorders/>
            <w:shd w:fill="auto" w:val="clear"/>
            <w:tcMar>
              <w:bottom w:w="0" w:type="dxa"/>
            </w:tcMar>
            <w:vAlign w:val="center"/>
          </w:tcPr>
          <w:p>
            <w:pPr>
              <w:pStyle w:val="TableContents"/>
              <w:spacing w:before="0" w:after="0"/>
              <w:jc w:val="left"/>
              <w:rPr>
                <w:spacing w:val="4"/>
              </w:rPr>
            </w:pPr>
            <w:r>
              <w:rPr>
                <w:spacing w:val="4"/>
              </w:rPr>
              <w:t xml:space="preserve">Timothy C. Dec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9" w:type="dxa"/>
            <w:tcBorders/>
            <w:shd w:fill="auto" w:val="clear"/>
            <w:tcMar>
              <w:bottom w:w="0" w:type="dxa"/>
            </w:tcMar>
            <w:vAlign w:val="center"/>
          </w:tcPr>
          <w:p>
            <w:pPr>
              <w:pStyle w:val="TableContents"/>
              <w:spacing w:before="0" w:after="283"/>
              <w:rPr/>
            </w:pPr>
            <w:r>
              <w:rPr/>
              <w:t>​</w:t>
            </w:r>
          </w:p>
        </w:tc>
        <w:tc>
          <w:tcPr>
            <w:tcW w:w="179" w:type="dxa"/>
            <w:tcBorders/>
            <w:shd w:fill="auto" w:val="clear"/>
            <w:tcMar>
              <w:bottom w:w="0" w:type="dxa"/>
            </w:tcMar>
            <w:vAlign w:val="center"/>
          </w:tcPr>
          <w:p>
            <w:pPr>
              <w:pStyle w:val="TableContents"/>
              <w:spacing w:before="0" w:after="283"/>
              <w:jc w:val="right"/>
              <w:rPr/>
            </w:pPr>
            <w:r>
              <w:rPr/>
              <w:t>​</w:t>
            </w:r>
          </w:p>
        </w:tc>
        <w:tc>
          <w:tcPr>
            <w:tcW w:w="890" w:type="dxa"/>
            <w:tcBorders/>
            <w:shd w:fill="auto" w:val="clear"/>
            <w:tcMar>
              <w:bottom w:w="0" w:type="dxa"/>
            </w:tcMar>
            <w:vAlign w:val="center"/>
          </w:tcPr>
          <w:p>
            <w:pPr>
              <w:pStyle w:val="TableContents"/>
              <w:spacing w:before="0" w:after="283"/>
              <w:jc w:val="right"/>
              <w:rPr/>
            </w:pPr>
            <w:r>
              <w:rPr/>
              <w:t>45%</w:t>
            </w:r>
          </w:p>
        </w:tc>
        <w:tc>
          <w:tcPr>
            <w:tcW w:w="17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9" w:type="dxa"/>
            <w:tcBorders/>
            <w:shd w:fill="auto" w:val="clear"/>
            <w:tcMar>
              <w:bottom w:w="0" w:type="dxa"/>
            </w:tcMar>
            <w:vAlign w:val="center"/>
          </w:tcPr>
          <w:p>
            <w:pPr>
              <w:pStyle w:val="TableContents"/>
              <w:spacing w:before="0" w:after="283"/>
              <w:rPr/>
            </w:pPr>
            <w:r>
              <w:rPr/>
              <w:t>​</w:t>
            </w:r>
          </w:p>
        </w:tc>
        <w:tc>
          <w:tcPr>
            <w:tcW w:w="139" w:type="dxa"/>
            <w:tcBorders/>
            <w:shd w:fill="auto" w:val="clear"/>
            <w:tcMar>
              <w:bottom w:w="0" w:type="dxa"/>
            </w:tcMar>
            <w:vAlign w:val="center"/>
          </w:tcPr>
          <w:p>
            <w:pPr>
              <w:pStyle w:val="TableContents"/>
              <w:spacing w:before="0" w:after="283"/>
              <w:jc w:val="right"/>
              <w:rPr/>
            </w:pPr>
            <w:r>
              <w:rPr/>
              <w:t>​</w:t>
            </w:r>
          </w:p>
        </w:tc>
        <w:tc>
          <w:tcPr>
            <w:tcW w:w="661" w:type="dxa"/>
            <w:tcBorders/>
            <w:shd w:fill="auto" w:val="clear"/>
            <w:tcMar>
              <w:bottom w:w="0" w:type="dxa"/>
            </w:tcMar>
            <w:vAlign w:val="center"/>
          </w:tcPr>
          <w:p>
            <w:pPr>
              <w:pStyle w:val="TableContents"/>
              <w:spacing w:before="0" w:after="283"/>
              <w:jc w:val="right"/>
              <w:rPr/>
            </w:pPr>
            <w:r>
              <w:rPr/>
              <w:t>60%</w:t>
            </w:r>
          </w:p>
        </w:tc>
        <w:tc>
          <w:tcPr>
            <w:tcW w:w="14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1" w:type="dxa"/>
            <w:tcBorders/>
            <w:shd w:fill="auto" w:val="clear"/>
            <w:tcMar>
              <w:bottom w:w="0" w:type="dxa"/>
            </w:tcMar>
            <w:vAlign w:val="center"/>
          </w:tcPr>
          <w:p>
            <w:pPr>
              <w:pStyle w:val="TableContents"/>
              <w:spacing w:before="0" w:after="283"/>
              <w:rPr/>
            </w:pPr>
            <w:r>
              <w:rPr/>
              <w:t>​</w:t>
            </w:r>
          </w:p>
        </w:tc>
        <w:tc>
          <w:tcPr>
            <w:tcW w:w="151"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40%</w:t>
            </w:r>
          </w:p>
        </w:tc>
        <w:tc>
          <w:tcPr>
            <w:tcW w:w="153"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863" w:type="dxa"/>
            <w:tcBorders/>
            <w:shd w:fill="CCEEFF" w:val="clear"/>
            <w:tcMar>
              <w:bottom w:w="0" w:type="dxa"/>
            </w:tcMar>
            <w:vAlign w:val="center"/>
          </w:tcPr>
          <w:p>
            <w:pPr>
              <w:pStyle w:val="TableContents"/>
              <w:spacing w:before="0" w:after="0"/>
              <w:jc w:val="left"/>
              <w:rPr>
                <w:spacing w:val="4"/>
              </w:rPr>
            </w:pPr>
            <w:r>
              <w:rPr>
                <w:spacing w:val="4"/>
              </w:rPr>
              <w:t xml:space="preserve">Padmanabh P. Bhatt, Ph.D.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9" w:type="dxa"/>
            <w:tcBorders/>
            <w:shd w:fill="CCEEFF" w:val="clear"/>
            <w:tcMar>
              <w:bottom w:w="0" w:type="dxa"/>
            </w:tcMar>
            <w:vAlign w:val="center"/>
          </w:tcPr>
          <w:p>
            <w:pPr>
              <w:pStyle w:val="TableContents"/>
              <w:spacing w:before="0" w:after="283"/>
              <w:rPr/>
            </w:pPr>
            <w:r>
              <w:rPr/>
              <w:t>​</w:t>
            </w:r>
          </w:p>
        </w:tc>
        <w:tc>
          <w:tcPr>
            <w:tcW w:w="179" w:type="dxa"/>
            <w:tcBorders/>
            <w:shd w:fill="CCEEFF" w:val="clear"/>
            <w:tcMar>
              <w:bottom w:w="0" w:type="dxa"/>
            </w:tcMar>
            <w:vAlign w:val="center"/>
          </w:tcPr>
          <w:p>
            <w:pPr>
              <w:pStyle w:val="TableContents"/>
              <w:spacing w:before="0" w:after="283"/>
              <w:jc w:val="right"/>
              <w:rPr/>
            </w:pPr>
            <w:r>
              <w:rPr/>
              <w:t>​</w:t>
            </w:r>
          </w:p>
        </w:tc>
        <w:tc>
          <w:tcPr>
            <w:tcW w:w="890" w:type="dxa"/>
            <w:tcBorders/>
            <w:shd w:fill="CCEEFF" w:val="clear"/>
            <w:tcMar>
              <w:bottom w:w="0" w:type="dxa"/>
            </w:tcMar>
            <w:vAlign w:val="center"/>
          </w:tcPr>
          <w:p>
            <w:pPr>
              <w:pStyle w:val="TableContents"/>
              <w:spacing w:before="0" w:after="283"/>
              <w:jc w:val="right"/>
              <w:rPr/>
            </w:pPr>
            <w:r>
              <w:rPr/>
              <w:t>35%</w:t>
            </w:r>
          </w:p>
        </w:tc>
        <w:tc>
          <w:tcPr>
            <w:tcW w:w="17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9" w:type="dxa"/>
            <w:tcBorders/>
            <w:shd w:fill="CCEEFF" w:val="clear"/>
            <w:tcMar>
              <w:bottom w:w="0" w:type="dxa"/>
            </w:tcMar>
            <w:vAlign w:val="center"/>
          </w:tcPr>
          <w:p>
            <w:pPr>
              <w:pStyle w:val="TableContents"/>
              <w:spacing w:before="0" w:after="283"/>
              <w:rPr/>
            </w:pPr>
            <w:r>
              <w:rPr/>
              <w:t>​</w:t>
            </w:r>
          </w:p>
        </w:tc>
        <w:tc>
          <w:tcPr>
            <w:tcW w:w="139" w:type="dxa"/>
            <w:tcBorders/>
            <w:shd w:fill="CCEEFF" w:val="clear"/>
            <w:tcMar>
              <w:bottom w:w="0" w:type="dxa"/>
            </w:tcMar>
            <w:vAlign w:val="center"/>
          </w:tcPr>
          <w:p>
            <w:pPr>
              <w:pStyle w:val="TableContents"/>
              <w:spacing w:before="0" w:after="283"/>
              <w:jc w:val="right"/>
              <w:rPr/>
            </w:pPr>
            <w:r>
              <w:rPr/>
              <w:t>​</w:t>
            </w:r>
          </w:p>
        </w:tc>
        <w:tc>
          <w:tcPr>
            <w:tcW w:w="661" w:type="dxa"/>
            <w:tcBorders/>
            <w:shd w:fill="CCEEFF" w:val="clear"/>
            <w:tcMar>
              <w:bottom w:w="0" w:type="dxa"/>
            </w:tcMar>
            <w:vAlign w:val="center"/>
          </w:tcPr>
          <w:p>
            <w:pPr>
              <w:pStyle w:val="TableContents"/>
              <w:spacing w:before="0" w:after="283"/>
              <w:jc w:val="right"/>
              <w:rPr/>
            </w:pPr>
            <w:r>
              <w:rPr/>
              <w:t>60%</w:t>
            </w:r>
          </w:p>
        </w:tc>
        <w:tc>
          <w:tcPr>
            <w:tcW w:w="14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1" w:type="dxa"/>
            <w:tcBorders/>
            <w:shd w:fill="CCEEFF" w:val="clear"/>
            <w:tcMar>
              <w:bottom w:w="0" w:type="dxa"/>
            </w:tcMar>
            <w:vAlign w:val="center"/>
          </w:tcPr>
          <w:p>
            <w:pPr>
              <w:pStyle w:val="TableContents"/>
              <w:spacing w:before="0" w:after="283"/>
              <w:rPr/>
            </w:pPr>
            <w:r>
              <w:rPr/>
              <w:t>​</w:t>
            </w:r>
          </w:p>
        </w:tc>
        <w:tc>
          <w:tcPr>
            <w:tcW w:w="151"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40%</w:t>
            </w:r>
          </w:p>
        </w:tc>
        <w:tc>
          <w:tcPr>
            <w:tcW w:w="153"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863" w:type="dxa"/>
            <w:tcBorders/>
            <w:shd w:fill="auto" w:val="clear"/>
            <w:tcMar>
              <w:bottom w:w="0" w:type="dxa"/>
            </w:tcMar>
            <w:vAlign w:val="center"/>
          </w:tcPr>
          <w:p>
            <w:pPr>
              <w:pStyle w:val="TableContents"/>
              <w:spacing w:before="0" w:after="0"/>
              <w:jc w:val="left"/>
              <w:rPr>
                <w:spacing w:val="4"/>
              </w:rPr>
            </w:pPr>
            <w:r>
              <w:rPr>
                <w:spacing w:val="4"/>
              </w:rPr>
              <w:t xml:space="preserve">Jonathan Rubin, M.D.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9" w:type="dxa"/>
            <w:tcBorders/>
            <w:shd w:fill="auto" w:val="clear"/>
            <w:tcMar>
              <w:bottom w:w="0" w:type="dxa"/>
            </w:tcMar>
            <w:vAlign w:val="center"/>
          </w:tcPr>
          <w:p>
            <w:pPr>
              <w:pStyle w:val="TableContents"/>
              <w:spacing w:before="0" w:after="283"/>
              <w:rPr/>
            </w:pPr>
            <w:r>
              <w:rPr/>
              <w:t>​</w:t>
            </w:r>
          </w:p>
        </w:tc>
        <w:tc>
          <w:tcPr>
            <w:tcW w:w="179" w:type="dxa"/>
            <w:tcBorders/>
            <w:shd w:fill="auto" w:val="clear"/>
            <w:tcMar>
              <w:bottom w:w="0" w:type="dxa"/>
            </w:tcMar>
            <w:vAlign w:val="center"/>
          </w:tcPr>
          <w:p>
            <w:pPr>
              <w:pStyle w:val="TableContents"/>
              <w:spacing w:before="0" w:after="283"/>
              <w:jc w:val="right"/>
              <w:rPr/>
            </w:pPr>
            <w:r>
              <w:rPr/>
              <w:t>​</w:t>
            </w:r>
          </w:p>
        </w:tc>
        <w:tc>
          <w:tcPr>
            <w:tcW w:w="890" w:type="dxa"/>
            <w:tcBorders/>
            <w:shd w:fill="auto" w:val="clear"/>
            <w:tcMar>
              <w:bottom w:w="0" w:type="dxa"/>
            </w:tcMar>
            <w:vAlign w:val="center"/>
          </w:tcPr>
          <w:p>
            <w:pPr>
              <w:pStyle w:val="TableContents"/>
              <w:spacing w:before="0" w:after="283"/>
              <w:jc w:val="right"/>
              <w:rPr/>
            </w:pPr>
            <w:r>
              <w:rPr/>
              <w:t>40%</w:t>
            </w:r>
          </w:p>
        </w:tc>
        <w:tc>
          <w:tcPr>
            <w:tcW w:w="17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9" w:type="dxa"/>
            <w:tcBorders/>
            <w:shd w:fill="auto" w:val="clear"/>
            <w:tcMar>
              <w:bottom w:w="0" w:type="dxa"/>
            </w:tcMar>
            <w:vAlign w:val="center"/>
          </w:tcPr>
          <w:p>
            <w:pPr>
              <w:pStyle w:val="TableContents"/>
              <w:spacing w:before="0" w:after="283"/>
              <w:rPr/>
            </w:pPr>
            <w:r>
              <w:rPr/>
              <w:t>​</w:t>
            </w:r>
          </w:p>
        </w:tc>
        <w:tc>
          <w:tcPr>
            <w:tcW w:w="139" w:type="dxa"/>
            <w:tcBorders/>
            <w:shd w:fill="auto" w:val="clear"/>
            <w:tcMar>
              <w:bottom w:w="0" w:type="dxa"/>
            </w:tcMar>
            <w:vAlign w:val="center"/>
          </w:tcPr>
          <w:p>
            <w:pPr>
              <w:pStyle w:val="TableContents"/>
              <w:spacing w:before="0" w:after="283"/>
              <w:jc w:val="right"/>
              <w:rPr/>
            </w:pPr>
            <w:r>
              <w:rPr/>
              <w:t>​</w:t>
            </w:r>
          </w:p>
        </w:tc>
        <w:tc>
          <w:tcPr>
            <w:tcW w:w="661" w:type="dxa"/>
            <w:tcBorders/>
            <w:shd w:fill="auto" w:val="clear"/>
            <w:tcMar>
              <w:bottom w:w="0" w:type="dxa"/>
            </w:tcMar>
            <w:vAlign w:val="center"/>
          </w:tcPr>
          <w:p>
            <w:pPr>
              <w:pStyle w:val="TableContents"/>
              <w:spacing w:before="0" w:after="283"/>
              <w:jc w:val="right"/>
              <w:rPr/>
            </w:pPr>
            <w:r>
              <w:rPr/>
              <w:t>60%</w:t>
            </w:r>
          </w:p>
        </w:tc>
        <w:tc>
          <w:tcPr>
            <w:tcW w:w="14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1" w:type="dxa"/>
            <w:tcBorders/>
            <w:shd w:fill="auto" w:val="clear"/>
            <w:tcMar>
              <w:bottom w:w="0" w:type="dxa"/>
            </w:tcMar>
            <w:vAlign w:val="center"/>
          </w:tcPr>
          <w:p>
            <w:pPr>
              <w:pStyle w:val="TableContents"/>
              <w:spacing w:before="0" w:after="283"/>
              <w:rPr/>
            </w:pPr>
            <w:r>
              <w:rPr/>
              <w:t>​</w:t>
            </w:r>
          </w:p>
        </w:tc>
        <w:tc>
          <w:tcPr>
            <w:tcW w:w="151"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40%</w:t>
            </w:r>
          </w:p>
        </w:tc>
        <w:tc>
          <w:tcPr>
            <w:tcW w:w="153"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863" w:type="dxa"/>
            <w:tcBorders/>
            <w:shd w:fill="CCEEFF" w:val="clear"/>
            <w:tcMar>
              <w:bottom w:w="0" w:type="dxa"/>
            </w:tcMar>
            <w:vAlign w:val="center"/>
          </w:tcPr>
          <w:p>
            <w:pPr>
              <w:pStyle w:val="TableContents"/>
              <w:spacing w:before="0" w:after="0"/>
              <w:jc w:val="left"/>
              <w:rPr>
                <w:spacing w:val="4"/>
              </w:rPr>
            </w:pPr>
            <w:r>
              <w:rPr>
                <w:spacing w:val="4"/>
              </w:rPr>
              <w:t xml:space="preserve">Frank Mottola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9" w:type="dxa"/>
            <w:tcBorders/>
            <w:shd w:fill="CCEEFF" w:val="clear"/>
            <w:tcMar>
              <w:bottom w:w="0" w:type="dxa"/>
            </w:tcMar>
            <w:vAlign w:val="center"/>
          </w:tcPr>
          <w:p>
            <w:pPr>
              <w:pStyle w:val="TableContents"/>
              <w:spacing w:before="0" w:after="283"/>
              <w:rPr/>
            </w:pPr>
            <w:r>
              <w:rPr/>
              <w:t>​</w:t>
            </w:r>
          </w:p>
        </w:tc>
        <w:tc>
          <w:tcPr>
            <w:tcW w:w="179" w:type="dxa"/>
            <w:tcBorders/>
            <w:shd w:fill="CCEEFF" w:val="clear"/>
            <w:tcMar>
              <w:bottom w:w="0" w:type="dxa"/>
            </w:tcMar>
            <w:vAlign w:val="center"/>
          </w:tcPr>
          <w:p>
            <w:pPr>
              <w:pStyle w:val="TableContents"/>
              <w:spacing w:before="0" w:after="283"/>
              <w:jc w:val="right"/>
              <w:rPr/>
            </w:pPr>
            <w:r>
              <w:rPr/>
              <w:t>​</w:t>
            </w:r>
          </w:p>
        </w:tc>
        <w:tc>
          <w:tcPr>
            <w:tcW w:w="890" w:type="dxa"/>
            <w:tcBorders/>
            <w:shd w:fill="CCEEFF" w:val="clear"/>
            <w:tcMar>
              <w:bottom w:w="0" w:type="dxa"/>
            </w:tcMar>
            <w:vAlign w:val="center"/>
          </w:tcPr>
          <w:p>
            <w:pPr>
              <w:pStyle w:val="TableContents"/>
              <w:spacing w:before="0" w:after="283"/>
              <w:jc w:val="right"/>
              <w:rPr/>
            </w:pPr>
            <w:r>
              <w:rPr/>
              <w:t>35%</w:t>
            </w:r>
          </w:p>
        </w:tc>
        <w:tc>
          <w:tcPr>
            <w:tcW w:w="17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9" w:type="dxa"/>
            <w:tcBorders/>
            <w:shd w:fill="CCEEFF" w:val="clear"/>
            <w:tcMar>
              <w:bottom w:w="0" w:type="dxa"/>
            </w:tcMar>
            <w:vAlign w:val="center"/>
          </w:tcPr>
          <w:p>
            <w:pPr>
              <w:pStyle w:val="TableContents"/>
              <w:spacing w:before="0" w:after="283"/>
              <w:rPr/>
            </w:pPr>
            <w:r>
              <w:rPr/>
              <w:t>​</w:t>
            </w:r>
          </w:p>
        </w:tc>
        <w:tc>
          <w:tcPr>
            <w:tcW w:w="139" w:type="dxa"/>
            <w:tcBorders/>
            <w:shd w:fill="CCEEFF" w:val="clear"/>
            <w:tcMar>
              <w:bottom w:w="0" w:type="dxa"/>
            </w:tcMar>
            <w:vAlign w:val="center"/>
          </w:tcPr>
          <w:p>
            <w:pPr>
              <w:pStyle w:val="TableContents"/>
              <w:spacing w:before="0" w:after="283"/>
              <w:jc w:val="right"/>
              <w:rPr/>
            </w:pPr>
            <w:r>
              <w:rPr/>
              <w:t>​</w:t>
            </w:r>
          </w:p>
        </w:tc>
        <w:tc>
          <w:tcPr>
            <w:tcW w:w="661" w:type="dxa"/>
            <w:tcBorders/>
            <w:shd w:fill="CCEEFF" w:val="clear"/>
            <w:tcMar>
              <w:bottom w:w="0" w:type="dxa"/>
            </w:tcMar>
            <w:vAlign w:val="center"/>
          </w:tcPr>
          <w:p>
            <w:pPr>
              <w:pStyle w:val="TableContents"/>
              <w:spacing w:before="0" w:after="283"/>
              <w:jc w:val="right"/>
              <w:rPr/>
            </w:pPr>
            <w:r>
              <w:rPr/>
              <w:t>60%</w:t>
            </w:r>
          </w:p>
        </w:tc>
        <w:tc>
          <w:tcPr>
            <w:tcW w:w="14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1" w:type="dxa"/>
            <w:tcBorders/>
            <w:shd w:fill="CCEEFF" w:val="clear"/>
            <w:tcMar>
              <w:bottom w:w="0" w:type="dxa"/>
            </w:tcMar>
            <w:vAlign w:val="center"/>
          </w:tcPr>
          <w:p>
            <w:pPr>
              <w:pStyle w:val="TableContents"/>
              <w:spacing w:before="0" w:after="283"/>
              <w:rPr/>
            </w:pPr>
            <w:r>
              <w:rPr/>
              <w:t>​</w:t>
            </w:r>
          </w:p>
        </w:tc>
        <w:tc>
          <w:tcPr>
            <w:tcW w:w="151"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40%</w:t>
            </w:r>
          </w:p>
        </w:tc>
        <w:tc>
          <w:tcPr>
            <w:tcW w:w="153"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5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CEO’s performance is measured by reference to the overall performance of the Company, specifically the achievement of Corporate Objectives. </w:t>
      </w:r>
      <w:r>
        <mc:AlternateContent>
          <mc:Choice Requires="wps">
            <w:drawing>
              <wp:anchor behindDoc="0" distT="95250" distB="0" distL="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largest"/>
                <wp:docPr id="100" name="Frame9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Corporate Performance Goals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year, we measure our annual corporate performance against our achievement of the key objectives and goals set forth in our annual business plan, which we refer to as our Corporate Objectives. The achievement of specified financial measures, such as annual operating income or revenue growth targets, are also considered to be important measures as a result of the growth and maturity of our company and our emergence as a long term, sustainably profitable business. In evaluating the overall performance of the Company, the Compensation Committee takes into account our strategic focus, which is to develop and commercialize products for the treatment of central nervous system (CNS) diseases. This strategy is anchored around the continued growth of our current commercial products and selective investments in our research and development pipeline, in-licensed technology and technology platforms which are designed to realize long-term growth for our Company. The strategy is also based on appropriate acquisitions of corporate assets. At the beginning of 2022, the CEO recommended, and the Board of Directors approved and assigned weights to certain Corporate Objectives for 2022 covering various key projects and financial goals including the following: </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SPN-812 </w:t>
      </w:r>
      <w:r>
        <mc:AlternateContent>
          <mc:Choice Requires="wps">
            <w:drawing>
              <wp:anchor behindDoc="0" distT="7493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largest"/>
                <wp:docPr id="101" name="Frame10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 sNDA approval for adult indication in the second quarter. </w:t>
      </w:r>
      <w:r>
        <mc:AlternateContent>
          <mc:Choice Requires="wps">
            <w:drawing>
              <wp:anchor behindDoc="0" distT="74930" distB="0" distL="508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largest"/>
                <wp:docPr id="102" name="Frame10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Launch for adult indication within a defined time period. </w:t>
      </w:r>
      <w:r>
        <mc:AlternateContent>
          <mc:Choice Requires="wps">
            <w:drawing>
              <wp:anchor behindDoc="0" distT="74930" distB="0" distL="508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largest"/>
                <wp:docPr id="103" name="Frame10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Submit approval supplement within a defined time period. </w:t>
      </w:r>
      <w:r>
        <mc:AlternateContent>
          <mc:Choice Requires="wps">
            <w:drawing>
              <wp:anchor behindDoc="0" distT="74930" distB="0" distL="508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largest"/>
                <wp:docPr id="104" name="Frame10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SPN-817 </w:t>
      </w:r>
      <w:r>
        <mc:AlternateContent>
          <mc:Choice Requires="wps">
            <w:drawing>
              <wp:anchor behindDoc="0" distT="7493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largest"/>
                <wp:docPr id="105" name="Frame10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Complete manufacturing of API during the third quarter. </w:t>
      </w:r>
      <w:r>
        <mc:AlternateContent>
          <mc:Choice Requires="wps">
            <w:drawing>
              <wp:anchor behindDoc="0" distT="74930" distB="0" distL="508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largest"/>
                <wp:docPr id="106" name="Frame10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Initiate certain clinical studies during the fourth quarter. </w:t>
      </w:r>
      <w:r>
        <mc:AlternateContent>
          <mc:Choice Requires="wps">
            <w:drawing>
              <wp:anchor behindDoc="0" distT="74930" distB="0" distL="508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largest"/>
                <wp:docPr id="107" name="Frame10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SPN-820 </w:t>
      </w:r>
      <w:r>
        <mc:AlternateContent>
          <mc:Choice Requires="wps">
            <w:drawing>
              <wp:anchor behindDoc="0" distT="7493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largest"/>
                <wp:docPr id="108" name="Frame10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Initiate dosing for certain clinical studies during the second quarter. </w:t>
      </w:r>
      <w:r>
        <mc:AlternateContent>
          <mc:Choice Requires="wps">
            <w:drawing>
              <wp:anchor behindDoc="0" distT="74930" distB="0" distL="508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largest"/>
                <wp:docPr id="109" name="Frame10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Complete clinical study reports for certain clinical studies during the third and fourth quarters. </w:t>
      </w:r>
      <w:r>
        <mc:AlternateContent>
          <mc:Choice Requires="wps">
            <w:drawing>
              <wp:anchor behindDoc="0" distT="74930" distB="0" distL="508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largest"/>
                <wp:docPr id="110" name="Frame10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SPN-830 </w:t>
      </w:r>
      <w:r>
        <mc:AlternateContent>
          <mc:Choice Requires="wps">
            <w:drawing>
              <wp:anchor behindDoc="0" distT="7493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largest"/>
                <wp:docPr id="111" name="Frame11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Initiate commercialization activities for launch within a defined time period. </w:t>
      </w:r>
      <w:r>
        <mc:AlternateContent>
          <mc:Choice Requires="wps">
            <w:drawing>
              <wp:anchor behindDoc="0" distT="74930" distB="0" distL="508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largest"/>
                <wp:docPr id="112" name="Frame11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 NDA approval within a defined time period. </w:t>
      </w:r>
      <w:r>
        <mc:AlternateContent>
          <mc:Choice Requires="wps">
            <w:drawing>
              <wp:anchor behindDoc="0" distT="74930" distB="0" distL="508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largest"/>
                <wp:docPr id="113" name="Frame11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SPN-840 </w:t>
      </w:r>
      <w:r>
        <mc:AlternateContent>
          <mc:Choice Requires="wps">
            <w:drawing>
              <wp:anchor behindDoc="0" distT="7493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largest"/>
                <wp:docPr id="114" name="Frame11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Initiate specific development activities during the first quarter. </w:t>
      </w:r>
      <w:r>
        <mc:AlternateContent>
          <mc:Choice Requires="wps">
            <w:drawing>
              <wp:anchor behindDoc="0" distT="74930" distB="0" distL="508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largest"/>
                <wp:docPr id="115" name="Frame11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Achieve goals related to product design and clinical studies. </w:t>
      </w:r>
      <w:r>
        <mc:AlternateContent>
          <mc:Choice Requires="wps">
            <w:drawing>
              <wp:anchor behindDoc="0" distT="74930" distB="0" distL="508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largest"/>
                <wp:docPr id="116" name="Frame11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Financials </w:t>
      </w:r>
      <w:r>
        <mc:AlternateContent>
          <mc:Choice Requires="wps">
            <w:drawing>
              <wp:anchor behindDoc="0" distT="7493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largest"/>
                <wp:docPr id="117" name="Frame11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Achieve specific 2022 gross product sales and operating income goals. </w:t>
      </w:r>
      <w:r>
        <mc:AlternateContent>
          <mc:Choice Requires="wps">
            <w:drawing>
              <wp:anchor behindDoc="0" distT="74930" distB="0" distL="508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largest"/>
                <wp:docPr id="118" name="Frame11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R&amp;D Discovery Program </w:t>
      </w:r>
      <w:r>
        <mc:AlternateContent>
          <mc:Choice Requires="wps">
            <w:drawing>
              <wp:anchor behindDoc="0" distT="7493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largest"/>
                <wp:docPr id="119" name="Frame11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Complete specific development activities on new molecules with defined time periods. </w:t>
      </w:r>
      <w:r>
        <mc:AlternateContent>
          <mc:Choice Requires="wps">
            <w:drawing>
              <wp:anchor behindDoc="0" distT="74930" distB="0" distL="508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largest"/>
                <wp:docPr id="120" name="Frame11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go/no-go decision to advance drug candidate(s) to IND-enabling studies by the second and third quarters, respectively. </w:t>
      </w:r>
      <w:r>
        <mc:AlternateContent>
          <mc:Choice Requires="wps">
            <w:drawing>
              <wp:anchor behindDoc="0" distT="74930" distB="0" distL="508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largest"/>
                <wp:docPr id="121" name="Frame12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cash bonus program has various payout levels depending on the Company’s performance measured against the Corporate Objectives. The payout of cash bonuses is largely determined by the achievement of Corporate Objectives. For example, if 90% of our Corporate Objectives are achieved, 90% of the amount of each NEO’s cash bonus target attributable to the Corporate Objectives will be funded. The Board of Directors, based on the recommendation of the Compensation Committee and at its discretion, may adjust the payout levels. For 2022, the Corporate Objectives achievement level was determined by the Compensation Committee to be 95% of Corporate Objectives. Certain officers, specifically Messrs. Khattar and Dec, were also credited an additional 5% related to the significant progress in staffing the Finance department to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meet the challenges caused by the material weakness in the Company’s internal controls over financial reporting and the successful implementation of a cloud-based enterprise resource planning system within a compressed timeline.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refer to the “Summary Compensation Table” for information concerning the actual bonuses paid to each of our NEOs for the year ended December 31, 2022.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Long Term Incentives — Equity Incentive Awards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Equity incentive awards have the potential to be a significant component of each executive officer’s compensation package, particularly, if the Company’s stock price appreciates. We emphasize equity incentive awards to motivate our executive officers to drive both the short-term and long-term performance of the Company. Each executive officer has a significant role in developing and executing on the Company’s strategy and delivering financial performance year-over-year and we believe the emphasis on and mix of equity awards appropriately aligns their interests with those of our stockholders. </w:t>
      </w:r>
    </w:p>
    <w:p>
      <w:pPr>
        <w:pStyle w:val="TextBody"/>
        <w:spacing w:lineRule="atLeast" w:line="240" w:before="240" w:after="283"/>
        <w:ind w:left="17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Structure of Equity Award Compensation Program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determine the size of equity incentive awards to each executive during the annual grant process, the Compensation Committee reviews market data on how much equity similarly situated officers are receiving at companies in the Peer Group. This review focuses on how much equity and the mix of equity awards that should be granted to each officer in order to be competitive with equity awards provided to comparable officers at companies in the Peer Group. </w:t>
      </w:r>
    </w:p>
    <w:p>
      <w:pPr>
        <w:pStyle w:val="TextBody"/>
        <w:spacing w:lineRule="atLeast" w:line="240" w:before="240" w:after="283"/>
        <w:ind w:left="17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Options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approves grants of stock options to provide a certain amount of equity to officers that will vest as long as the officer continues to serve at Supernus. These grants align the interests of our executive officers with those of our stockholders because the grants will only have value to the extent the market value of Supernus’ equity increases from the price per share on the date of grant. Stock option awards for our executive officers were set within a range that is competitive with option awards granted to comparable officers at companies in the Peer Group. Other considerations include the officer’s specific performance, how the officer’s role fits within the hierarchy of the organization, the impact of the officer’s position on the Company’s results, how the officer’s stock option awards have increased historically and how long an officer has been in his or her current role. The Compensation Committee has the discretion to adjust each officer’s award as it deems appropriate.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22, 2022, the Board of Directors approved, upon recommendation from the Compensation Committee, a grant of 250,000 stock options to Mr. Khattar. The Compensation Committee also approved grants of 25,000 stock options to each of Mr. Dec and Dr. Rubin and 18,000 stock options to each of Dr. Bhatt and Mr. Mottola. For additional information regarding the value of these awards, see “Executive Compensation — Grants of Plan-Based Awards.” In determining the actual amounts of each executive officer’s stock option award, the Compensation Committee and Board of Directors considered the recommendations of the CEO and each executive’s individual performance. In the case of Mr. Khattar, the Board of Directors considered the benefit to stockholders of his performance and the recommendations of the Compensation Committee. All stock options vest over four years in four equal installments of 25% each on the first four anniversaries of the date of grant. </w:t>
      </w:r>
    </w:p>
    <w:p>
      <w:pPr>
        <w:pStyle w:val="TextBody"/>
        <w:spacing w:lineRule="atLeast" w:line="240" w:before="240" w:after="283"/>
        <w:ind w:left="17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Performance Share Units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Beginning in 2021, the Board of Directors approved a recommendation from the Compensation Committee to alter the mix of equity awards to the Company’s NEOs and other executive officers to provide greater focus on performance-based compensation and to tie a more significant portion of total executive officer compensation to the achievement of performance goals that we believe drive the fundamentals of our business. Accordingly, all NEOs and other executive officers, in addition to receiving a grant of stock options, received a portion of their equity award in the form of performance share units. Consistent with our emphasis on aligning pay for performance, each executive’s awarded performance share units vest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achievement of specific individual performance objectives, which are designed to support the long-term performance of the Company. The performance share units have defined performance periods and expire after ten years.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foregoing, on February 22, 2022, Mr. Khattar, received a grant of 125,000 performance share units and each of Messrs. Dec and Mottola, Dr. Rubin, and Dr. Bhatt received grants of 3,000 performance share units.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3, 2022, the Compensation Committee, based on a recommendation from our CEO, established individual performance objectives for each executive and determined that the achievement of each objective would result in the vesting of a specified portion of the performance share units. </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Mr. Khattar: </w:t>
      </w:r>
      <w:r>
        <mc:AlternateContent>
          <mc:Choice Requires="wps">
            <w:drawing>
              <wp:anchor behindDoc="0" distT="7493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largest"/>
                <wp:docPr id="122" name="Frame12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Complete the remediation of the material weakness of internal controls over financial reporting within a specified time period. </w:t>
      </w:r>
      <w:r>
        <mc:AlternateContent>
          <mc:Choice Requires="wps">
            <w:drawing>
              <wp:anchor behindDoc="0" distT="74930" distB="0" distL="508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largest"/>
                <wp:docPr id="123" name="Frame12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 a new SPN-820 efficient synthesis process. </w:t>
      </w:r>
      <w:r>
        <mc:AlternateContent>
          <mc:Choice Requires="wps">
            <w:drawing>
              <wp:anchor behindDoc="0" distT="76200" distB="0" distL="508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largest"/>
                <wp:docPr id="124" name="Frame12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Nominate a new chemical entity for a central nervous system (“CNS”) indication within a specified time period; </w:t>
      </w:r>
      <w:r>
        <mc:AlternateContent>
          <mc:Choice Requires="wps">
            <w:drawing>
              <wp:anchor behindDoc="0" distT="76200" distB="0" distL="508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largest"/>
                <wp:docPr id="125" name="Frame12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Achieve a defined goal related to a clinical study before 2025; and </w:t>
      </w:r>
      <w:r>
        <mc:AlternateContent>
          <mc:Choice Requires="wps">
            <w:drawing>
              <wp:anchor behindDoc="0" distT="76200" distB="0" distL="508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largest"/>
                <wp:docPr id="126" name="Frame12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Achieve 2023 total net sales or EBITDA targets at certain levels compared to such measures in 2022 . </w:t>
      </w:r>
      <w:r>
        <mc:AlternateContent>
          <mc:Choice Requires="wps">
            <w:drawing>
              <wp:anchor behindDoc="0" distT="76200" distB="0" distL="508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largest"/>
                <wp:docPr id="127" name="Frame12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Mr. Dec: </w:t>
      </w:r>
      <w:r>
        <mc:AlternateContent>
          <mc:Choice Requires="wps">
            <w:drawing>
              <wp:anchor behindDoc="0" distT="7620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largest"/>
                <wp:docPr id="128" name="Frame12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Execute a financing transaction providing the Company with financial flexibility before the maturity of the Company’s 0.625% Convertible Senior Notes due 2023 (the Compensation Committee determined on February 16, 2023 that this objective had been achieved); and </w:t>
      </w:r>
      <w:r>
        <mc:AlternateContent>
          <mc:Choice Requires="wps">
            <w:drawing>
              <wp:anchor behindDoc="0" distT="76200" distB="0" distL="508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largest"/>
                <wp:docPr id="129" name="Frame12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Complete the remediation of the material weakness of internal controls over financial reporting within a specified time period. </w:t>
      </w:r>
      <w:r>
        <mc:AlternateContent>
          <mc:Choice Requires="wps">
            <w:drawing>
              <wp:anchor behindDoc="0" distT="76200" distB="0" distL="508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largest"/>
                <wp:docPr id="130" name="Frame12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Dr. Rubin: </w:t>
      </w:r>
      <w:r>
        <mc:AlternateContent>
          <mc:Choice Requires="wps">
            <w:drawing>
              <wp:anchor behindDoc="0" distT="7620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largest"/>
                <wp:docPr id="131" name="Frame13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Achieve defined goals related to clinical studies within specified time periods during 2023 and 2024; and </w:t>
      </w:r>
      <w:r>
        <mc:AlternateContent>
          <mc:Choice Requires="wps">
            <w:drawing>
              <wp:anchor behindDoc="0" distT="76200" distB="0" distL="508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largest"/>
                <wp:docPr id="132" name="Frame13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Nominate a new chemical entity for a CNS indication before 2024. </w:t>
      </w:r>
      <w:r>
        <mc:AlternateContent>
          <mc:Choice Requires="wps">
            <w:drawing>
              <wp:anchor behindDoc="0" distT="76200" distB="0" distL="508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largest"/>
                <wp:docPr id="133" name="Frame13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Dr. Bhatt: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largest"/>
                <wp:docPr id="134" name="Frame13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Filing of a new patent for a new chemical entity (other than SPN-443) before 2024 (the Compensation Committee determined on April 3, 2023 that this objective had been achieved); and </w:t>
      </w:r>
      <w:r>
        <mc:AlternateContent>
          <mc:Choice Requires="wps">
            <w:drawing>
              <wp:anchor behindDoc="0" distT="76200" distB="0" distL="508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largest"/>
                <wp:docPr id="135" name="Frame13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Issuance of a new patent for SPN-443 before 2026. </w:t>
      </w:r>
      <w:r>
        <mc:AlternateContent>
          <mc:Choice Requires="wps">
            <w:drawing>
              <wp:anchor behindDoc="0" distT="76200" distB="0" distL="508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largest"/>
                <wp:docPr id="136" name="Frame13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Mr. Mottola: </w:t>
      </w:r>
      <w:r>
        <mc:AlternateContent>
          <mc:Choice Requires="wps">
            <w:drawing>
              <wp:anchor behindDoc="0" distT="762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largest"/>
                <wp:docPr id="137" name="Frame13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cyber attack during 2022 through 2024, minimize disruption time to 72 hours or less (will be considered achieved if no cyber attack occurs); </w:t>
      </w:r>
      <w:r>
        <mc:AlternateContent>
          <mc:Choice Requires="wps">
            <w:drawing>
              <wp:anchor behindDoc="0" distT="76200" distB="0" distL="508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largest"/>
                <wp:docPr id="138" name="Frame13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2023, prevent any cyber attack on the Company’s systems or network from significantly disrupting business continuity; and </w:t>
      </w:r>
      <w:r>
        <mc:AlternateContent>
          <mc:Choice Requires="wps">
            <w:drawing>
              <wp:anchor behindDoc="0" distT="76200" distB="0" distL="508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largest"/>
                <wp:docPr id="139" name="Frame13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2024, prevent any cyber attack on the Company’s systems or network from significantly disrupting business continuity. </w:t>
      </w:r>
      <w:r>
        <mc:AlternateContent>
          <mc:Choice Requires="wps">
            <w:drawing>
              <wp:anchor behindDoc="0" distT="76200" distB="0" distL="508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largest"/>
                <wp:docPr id="140" name="Frame13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ind w:left="17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Restricted Stock Units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2022, the Board of Directors approved a recommendation from the Compensation Committee to alter the mix of equity awards to its NEOs (other than the CEO) and other executive officers by granting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officers a portion of their equity award in the form of a grant of restricted stock units (“RSUs”). The RSU awards vest in four equal installments of 25% each on the first four anniversaries of the date of grant provided the NEO continues to serve at Supernus on each such date. The Board of Directors believes that providing NEOs (other than the CEO) a mix of time-vesting and performance-vesting equity awards based on pre-established goals achieves a balance in our equity-based compensation program and further aligns the interests of such officer and our stockholders through the RSU award’s retention value.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foregoing, on February 22, 2022, Mr. Dec received a grant of 2,000 restricted stock units and each of Dr. Rubin, Dr. Bhatt and Mr. Mottola received grants of 3,000 restricted stock units. </w:t>
      </w:r>
    </w:p>
    <w:p>
      <w:pPr>
        <w:pStyle w:val="TextBody"/>
        <w:spacing w:lineRule="atLeast" w:line="240" w:before="240" w:after="283"/>
        <w:ind w:left="17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benefits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officers are eligible to participate in all of our employee benefit plans, such as medical, dental, vision, group life insurance, disability insurance, ESPP and our 401(k) plan, in each case on the same basis as our other employees. The Company makes a safe harbor match to the 401(k) Plan for all participants. There were no special benefits or perquisites provided to any executive officer in 2022. The Company does not maintain a pension program or a deferred compensation plan for executives or for any other employees, other than the Supernus Supplemental Executive Retirement Plan (SERP), which was established for the benefit of Jack Khattar for the sole purpose of receiving funds from a Shire (the former parent of the predecessor of the Company) SERP and providing a continuing deferral program under the Supernus SERP. No additional contributions have been made to the account by Supernus or by Mr. Khattar personally since the Supernus SERP was established.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Policies Covering Executive Compensation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Clawback Policy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adopted a clawback policy which applies to all of the Company’s current and former executive officers and vice presidents. Any cash bonus and/or equity compensation granted by the Company after the date of adoption is subject to this clawback policy. The policy provides that if (i) the Board of Directors determines that a covered executive engaged in fraud, intentional misconduct or gross negligence that requires a material restatement of financial results, and (ii) such fraud or intentional misconduct resulted in an incorrect determination that an incentive compensation performance goal had been achieved, then the Board of Directors may take appropriate action to recover from such covered executive any incentive compensation resulting from such incorrect determination paid to such covered executive during the three- year period preceding the filing of such accounting restatement. The Company is reviewing the final clawback rule adopted by the SEC that implements the applicable provisions of the Dodd-Frank Wall Street Reform and Consumer Protection Act and NASDAQ’s related proposed listing standard, in each case relating to recoupment of incentive-based compensation. To the extent necessary, the Company will update its clawback policy in accordance with the new listing standard when the new listing standard becomes final.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Share Ownership and Retention Guidelines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considers annually the Company’s Share Ownership and Retention Guidelines (the “Guidelines”). Under the Guidelines, each director is required to hold $150,000 of Company stock, and the CEO is required to hold Company stock equal to three times his base salary. The Guidelines were implemented in 2020 and the directors and CEO have five years to attain the required ownership of Common Stock. The Guidelines do not currently have share ownership or retention requirements applicable to other employees or NEOs.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Equity Incentive Grant Mechanics and Timing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approves all grants for equity incentives to NEOs (other than the CEO) and other employees. Awards granted to the CEO must be recommended by the Compensation Committee to the Board of Directors for approval. At least 75% of the independent directors of the Board of Directors must approve grants for equity incentives to the CEO.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560"/>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annual awards, the grant date is the date during the first calendar quarter when the Compensation Committee and the full Board of Directors meet. The Compensation Committee’s procedure for timing of equity grants assures that grant timing is not being manipulated for the benefit of employees. This date is established by the Compensation Committee and the full Board of Directors well in advance and typically falls in late February or early March. This first quarter grant date timing coincides with the Company’s calendar-year-based performance management cycle, allowing managers to deliver the equity awards close in time to performance appraisals. The Company believes this timing increases the impact of the awards by strengthening the link between pay and performance.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for all stock option awards to the CEO, the Board, and the executive officers is the fair market value of the Company’s Common Stock on the date the grant is approved by the Board of Directors. The fair market value of the Company’s Common Stock as of a particular date is defined as the closing price of the Company’s Common Stock on such date.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Tax Considerations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162(m) of the Internal Revenue Code (“Section 162(m)”) imposes an annual deduction limit of $1 million on the amount of compensation paid to the Company’s executive officers. Prior to the effectiveness of the Tax Cuts and Jobs Act of 2017 (the “Tax Act”), the deduction limit did not apply to performance-based compensation satisfying the requirements of Section 162(m). Cash and equity awards to our NEOs under our equity incentive plan were subject to one or more performance goals intended to satisfy the requirements of Section 162(m). Although the Compensation Committee will continue to consider tax implications as one factor in determining executive compensation, the Compensation Committee also looks at other factors in making its decisions and retains the flexibility to provide compensation for the Company’s NEOs in a manner consistent with the goals of our executive compensation program and the best interests of Supernus and its shareholders, which may include providing for compensation that is not deductible by Supernus due to the deduction limit under Section 162(m).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Anti-Hedging and Anti-Pledging Policies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insider trading compliance policy generally prohibits our directors, NEOs and all other employees from entering into hedging or monetization transactions that transfer, with respect to equity compensation received by such individual, all or a portion of the risk of a decline in the market price of shares of our common stock. Our insider trading compliance policy also prohibits directors, NEOs and all other employees from pledging our securities or holding such securities in a margin account.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Policy Against Repricing Stock Options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a consistent policy against the repricing of stock options without stockholder approval.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Award Forfeiture Upon Termination for Cause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executive may be terminated for cause, due to dishonesty, embezzlement, theft or fraudulent misconduct or for other reasons. In such a case, any unpaid and/or unvested incentive awards as of the date of termination would be forfeited.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Benefits in Connection with Termination of Employment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our executives have agreements related to payments upon a change of control of the Company, which agreements are discussed below under the heading “Executive Compensation — Employment Agreement, Offer Letter and Severance Benefits” of this Proxy Statement.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8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 OF THE COMPENSATION COMMITTEE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information contained in this report shall not be deemed to be “soliciting material” or “filed” or incorporated by reference in future filings with the SEC, or subject to the liabilities of Section 18 of the Exchange Act, except to the extent that the Company specifically incorporates it by reference into a document filed under the Securities Act or the Exchange Act.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has reviewed and discussed the Compensation Discussion and Analysis required by Item 402(b) of Regulation S-K with management and, based on such review and discussions, the Compensation Committee recommended to the Board of Directors that the Compensation Discussion and Analysis be included in this Proxy Statement and incorporated by reference into the Company’s Annual Report on Form 10-K for the year ended December 31, 2022. </w:t>
      </w:r>
    </w:p>
    <w:p>
      <w:pPr>
        <w:pStyle w:val="TextBody"/>
        <w:spacing w:lineRule="atLeast" w:line="240" w:before="160" w:after="283"/>
        <w:ind w:left="6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Committee: </w:t>
      </w:r>
    </w:p>
    <w:p>
      <w:pPr>
        <w:pStyle w:val="TextBody"/>
        <w:spacing w:lineRule="atLeast" w:line="240" w:before="160" w:after="283"/>
        <w:ind w:left="61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John M. Siebert, Ph.D. (Chair), </w:t>
        <w:br/>
        <w:t xml:space="preserve">Frederick M. Hudson, </w:t>
        <w:br/>
        <w:t>Charles W. Newhall, III</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Compensation Table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compensation earned by our NEOs during the fiscal years ended December 31, 2022, December 31, 2021 and December 31, 2020. </w:t>
      </w:r>
    </w:p>
    <w:tbl>
      <w:tblPr>
        <w:tblW w:w="12202" w:type="dxa"/>
        <w:jc w:val="left"/>
        <w:tblInd w:w="543" w:type="dxa"/>
        <w:tblCellMar>
          <w:top w:w="0" w:type="dxa"/>
          <w:left w:w="0" w:type="dxa"/>
          <w:bottom w:w="28" w:type="dxa"/>
          <w:right w:w="0" w:type="dxa"/>
        </w:tblCellMar>
      </w:tblPr>
      <w:tblGrid>
        <w:gridCol w:w="1221"/>
        <w:gridCol w:w="109"/>
        <w:gridCol w:w="109"/>
        <w:gridCol w:w="109"/>
        <w:gridCol w:w="109"/>
        <w:gridCol w:w="586"/>
        <w:gridCol w:w="109"/>
        <w:gridCol w:w="109"/>
        <w:gridCol w:w="109"/>
        <w:gridCol w:w="109"/>
        <w:gridCol w:w="109"/>
        <w:gridCol w:w="886"/>
        <w:gridCol w:w="109"/>
        <w:gridCol w:w="109"/>
        <w:gridCol w:w="109"/>
        <w:gridCol w:w="109"/>
        <w:gridCol w:w="109"/>
        <w:gridCol w:w="1066"/>
        <w:gridCol w:w="109"/>
        <w:gridCol w:w="109"/>
        <w:gridCol w:w="109"/>
        <w:gridCol w:w="109"/>
        <w:gridCol w:w="109"/>
        <w:gridCol w:w="1066"/>
        <w:gridCol w:w="109"/>
        <w:gridCol w:w="109"/>
        <w:gridCol w:w="109"/>
        <w:gridCol w:w="129"/>
        <w:gridCol w:w="129"/>
        <w:gridCol w:w="1050"/>
        <w:gridCol w:w="130"/>
        <w:gridCol w:w="109"/>
        <w:gridCol w:w="109"/>
        <w:gridCol w:w="143"/>
        <w:gridCol w:w="143"/>
        <w:gridCol w:w="1007"/>
        <w:gridCol w:w="145"/>
        <w:gridCol w:w="109"/>
        <w:gridCol w:w="109"/>
        <w:gridCol w:w="109"/>
        <w:gridCol w:w="109"/>
        <w:gridCol w:w="1186"/>
        <w:gridCol w:w="109"/>
        <w:gridCol w:w="154"/>
      </w:tblGrid>
      <w:tr>
        <w:trPr/>
        <w:tc>
          <w:tcPr>
            <w:tcW w:w="1221"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and Principal Position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1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Year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Salary ($)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Stock </w:t>
              <w:br/>
              <w:t xml:space="preserve">Awards </w:t>
              <w:br/>
              <w:t>($)</w:t>
            </w:r>
            <w:r>
              <w:rPr>
                <w:spacing w:val="-2"/>
                <w:sz w:val="10"/>
              </w:rPr>
              <w:t>(1)</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Option </w:t>
              <w:br/>
              <w:t xml:space="preserve">Awards </w:t>
              <w:br/>
              <w:t>($)</w:t>
            </w:r>
            <w:r>
              <w:rPr>
                <w:spacing w:val="-2"/>
                <w:sz w:val="10"/>
              </w:rPr>
              <w:t>(2)</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38"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Non-Equity </w:t>
              <w:br/>
              <w:t xml:space="preserve">Incentive Plan </w:t>
              <w:br/>
              <w:t xml:space="preserve">Compensation </w:t>
              <w:br/>
              <w:t>($)</w:t>
            </w:r>
            <w:r>
              <w:rPr>
                <w:spacing w:val="-2"/>
                <w:sz w:val="10"/>
              </w:rPr>
              <w:t>(3)</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38"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All Other </w:t>
              <w:br/>
              <w:t xml:space="preserve">Compensation </w:t>
              <w:br/>
              <w:t>($)</w:t>
            </w:r>
            <w:r>
              <w:rPr>
                <w:spacing w:val="-2"/>
                <w:sz w:val="10"/>
              </w:rPr>
              <w:t>(4)</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Total ($)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221" w:type="dxa"/>
            <w:vMerge w:val="restart"/>
            <w:tcBorders/>
            <w:shd w:fill="CCEEFF" w:val="clear"/>
            <w:tcMar>
              <w:bottom w:w="0" w:type="dxa"/>
            </w:tcMar>
            <w:vAlign w:val="center"/>
          </w:tcPr>
          <w:p>
            <w:pPr>
              <w:pStyle w:val="TableContents"/>
              <w:spacing w:lineRule="atLeast" w:line="240" w:before="0" w:after="0"/>
              <w:ind w:left="200" w:right="0" w:hanging="200"/>
              <w:jc w:val="both"/>
              <w:rPr/>
            </w:pPr>
            <w:r>
              <w:rPr>
                <w:spacing w:val="4"/>
              </w:rPr>
              <w:t xml:space="preserve">Jack A. Khattar </w:t>
            </w:r>
            <w:r>
              <w:rPr/>
              <w:br/>
            </w:r>
            <w:r>
              <w:rPr>
                <w:i/>
                <w:spacing w:val="4"/>
              </w:rPr>
              <w:t xml:space="preserve">Chief Executive Officer, </w:t>
              <w:br/>
              <w:t>President &amp; Secretary</w:t>
            </w:r>
            <w:r>
              <w:rPr/>
              <w:t xml:space="preserve">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586" w:type="dxa"/>
            <w:tcBorders/>
            <w:shd w:fill="CCEEFF" w:val="clear"/>
            <w:tcMar>
              <w:bottom w:w="0" w:type="dxa"/>
            </w:tcMar>
            <w:vAlign w:val="center"/>
          </w:tcPr>
          <w:p>
            <w:pPr>
              <w:pStyle w:val="TableContents"/>
              <w:spacing w:lineRule="atLeast" w:line="240" w:before="0" w:after="283"/>
              <w:jc w:val="right"/>
              <w:rPr/>
            </w:pPr>
            <w:r>
              <w:rPr/>
              <w:t>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913,500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1066" w:type="dxa"/>
            <w:tcBorders/>
            <w:shd w:fill="CCEEFF" w:val="clear"/>
            <w:tcMar>
              <w:bottom w:w="0" w:type="dxa"/>
            </w:tcMar>
            <w:vAlign w:val="center"/>
          </w:tcPr>
          <w:p>
            <w:pPr>
              <w:pStyle w:val="TableContents"/>
              <w:spacing w:lineRule="atLeast" w:line="240" w:before="0" w:after="283"/>
              <w:jc w:val="right"/>
              <w:rPr/>
            </w:pPr>
            <w:r>
              <w:rPr/>
              <w:t>3,616,250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1066" w:type="dxa"/>
            <w:tcBorders/>
            <w:shd w:fill="CCEEFF" w:val="clear"/>
            <w:tcMar>
              <w:bottom w:w="0" w:type="dxa"/>
            </w:tcMar>
            <w:vAlign w:val="center"/>
          </w:tcPr>
          <w:p>
            <w:pPr>
              <w:pStyle w:val="TableContents"/>
              <w:spacing w:lineRule="atLeast" w:line="240" w:before="0" w:after="283"/>
              <w:jc w:val="right"/>
              <w:rPr/>
            </w:pPr>
            <w:r>
              <w:rPr/>
              <w:t>4,767,500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lineRule="atLeast" w:line="240" w:before="0" w:after="283"/>
              <w:jc w:val="right"/>
              <w:rPr/>
            </w:pPr>
            <w:r>
              <w:rPr/>
              <w:t>​</w:t>
            </w:r>
          </w:p>
        </w:tc>
        <w:tc>
          <w:tcPr>
            <w:tcW w:w="1050" w:type="dxa"/>
            <w:tcBorders/>
            <w:shd w:fill="CCEEFF" w:val="clear"/>
            <w:tcMar>
              <w:bottom w:w="0" w:type="dxa"/>
            </w:tcMar>
            <w:vAlign w:val="center"/>
          </w:tcPr>
          <w:p>
            <w:pPr>
              <w:pStyle w:val="TableContents"/>
              <w:spacing w:lineRule="atLeast" w:line="240" w:before="0" w:after="283"/>
              <w:jc w:val="right"/>
              <w:rPr/>
            </w:pPr>
            <w:r>
              <w:rPr/>
              <w:t>685,125</w:t>
            </w:r>
          </w:p>
        </w:tc>
        <w:tc>
          <w:tcPr>
            <w:tcW w:w="13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lineRule="atLeast" w:line="240" w:before="0" w:after="283"/>
              <w:jc w:val="right"/>
              <w:rPr/>
            </w:pPr>
            <w:r>
              <w:rPr/>
              <w:t>​</w:t>
            </w:r>
          </w:p>
        </w:tc>
        <w:tc>
          <w:tcPr>
            <w:tcW w:w="1007" w:type="dxa"/>
            <w:tcBorders/>
            <w:shd w:fill="CCEEFF" w:val="clear"/>
            <w:tcMar>
              <w:bottom w:w="0" w:type="dxa"/>
            </w:tcMar>
            <w:vAlign w:val="center"/>
          </w:tcPr>
          <w:p>
            <w:pPr>
              <w:pStyle w:val="TableContents"/>
              <w:spacing w:lineRule="atLeast" w:line="240" w:before="0" w:after="283"/>
              <w:jc w:val="right"/>
              <w:rPr/>
            </w:pPr>
            <w:r>
              <w:rPr/>
              <w:t>30,342</w:t>
            </w:r>
          </w:p>
        </w:tc>
        <w:tc>
          <w:tcPr>
            <w:tcW w:w="14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1186" w:type="dxa"/>
            <w:tcBorders/>
            <w:shd w:fill="CCEEFF" w:val="clear"/>
            <w:tcMar>
              <w:bottom w:w="0" w:type="dxa"/>
            </w:tcMar>
            <w:vAlign w:val="center"/>
          </w:tcPr>
          <w:p>
            <w:pPr>
              <w:pStyle w:val="TableContents"/>
              <w:spacing w:lineRule="atLeast" w:line="240" w:before="0" w:after="283"/>
              <w:jc w:val="right"/>
              <w:rPr/>
            </w:pPr>
            <w:r>
              <w:rPr/>
              <w:t>10,012,717</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21"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2021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870,000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2,941,400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3,399,779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jc w:val="right"/>
              <w:rPr/>
            </w:pPr>
            <w:r>
              <w:rPr/>
              <w:t>​</w:t>
            </w:r>
          </w:p>
        </w:tc>
        <w:tc>
          <w:tcPr>
            <w:tcW w:w="1050" w:type="dxa"/>
            <w:tcBorders/>
            <w:shd w:fill="CCEEFF" w:val="clear"/>
            <w:tcMar>
              <w:bottom w:w="0" w:type="dxa"/>
            </w:tcMar>
            <w:vAlign w:val="center"/>
          </w:tcPr>
          <w:p>
            <w:pPr>
              <w:pStyle w:val="TableContents"/>
              <w:spacing w:before="0" w:after="283"/>
              <w:jc w:val="right"/>
              <w:rPr/>
            </w:pPr>
            <w:r>
              <w:rPr/>
              <w:t>887,400</w:t>
            </w:r>
          </w:p>
        </w:tc>
        <w:tc>
          <w:tcPr>
            <w:tcW w:w="13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jc w:val="right"/>
              <w:rPr/>
            </w:pPr>
            <w:r>
              <w:rPr/>
              <w:t>​</w:t>
            </w:r>
          </w:p>
        </w:tc>
        <w:tc>
          <w:tcPr>
            <w:tcW w:w="1007" w:type="dxa"/>
            <w:tcBorders/>
            <w:shd w:fill="CCEEFF" w:val="clear"/>
            <w:tcMar>
              <w:bottom w:w="0" w:type="dxa"/>
            </w:tcMar>
            <w:vAlign w:val="center"/>
          </w:tcPr>
          <w:p>
            <w:pPr>
              <w:pStyle w:val="TableContents"/>
              <w:spacing w:before="0" w:after="283"/>
              <w:jc w:val="right"/>
              <w:rPr/>
            </w:pPr>
            <w:r>
              <w:rPr/>
              <w:t>18,142</w:t>
            </w:r>
          </w:p>
        </w:tc>
        <w:tc>
          <w:tcPr>
            <w:tcW w:w="14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8,116,721</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21"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2020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836,400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1,032,813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3,955,883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jc w:val="right"/>
              <w:rPr/>
            </w:pPr>
            <w:r>
              <w:rPr/>
              <w:t>​</w:t>
            </w:r>
          </w:p>
        </w:tc>
        <w:tc>
          <w:tcPr>
            <w:tcW w:w="1050" w:type="dxa"/>
            <w:tcBorders/>
            <w:shd w:fill="CCEEFF" w:val="clear"/>
            <w:tcMar>
              <w:bottom w:w="0" w:type="dxa"/>
            </w:tcMar>
            <w:vAlign w:val="center"/>
          </w:tcPr>
          <w:p>
            <w:pPr>
              <w:pStyle w:val="TableContents"/>
              <w:spacing w:before="0" w:after="283"/>
              <w:jc w:val="right"/>
              <w:rPr/>
            </w:pPr>
            <w:r>
              <w:rPr/>
              <w:t>815,500</w:t>
            </w:r>
          </w:p>
        </w:tc>
        <w:tc>
          <w:tcPr>
            <w:tcW w:w="13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jc w:val="right"/>
              <w:rPr/>
            </w:pPr>
            <w:r>
              <w:rPr/>
              <w:t>​</w:t>
            </w:r>
          </w:p>
        </w:tc>
        <w:tc>
          <w:tcPr>
            <w:tcW w:w="1007" w:type="dxa"/>
            <w:tcBorders/>
            <w:shd w:fill="CCEEFF" w:val="clear"/>
            <w:tcMar>
              <w:bottom w:w="0" w:type="dxa"/>
            </w:tcMar>
            <w:vAlign w:val="center"/>
          </w:tcPr>
          <w:p>
            <w:pPr>
              <w:pStyle w:val="TableContents"/>
              <w:spacing w:before="0" w:after="283"/>
              <w:jc w:val="right"/>
              <w:rPr/>
            </w:pPr>
            <w:r>
              <w:rPr/>
              <w:t>28,451</w:t>
            </w:r>
          </w:p>
        </w:tc>
        <w:tc>
          <w:tcPr>
            <w:tcW w:w="14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6,669,046</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21" w:type="dxa"/>
            <w:vMerge w:val="restart"/>
            <w:tcBorders/>
            <w:shd w:fill="auto" w:val="clear"/>
            <w:tcMar>
              <w:bottom w:w="0" w:type="dxa"/>
            </w:tcMar>
            <w:vAlign w:val="center"/>
          </w:tcPr>
          <w:p>
            <w:pPr>
              <w:pStyle w:val="TableContents"/>
              <w:spacing w:lineRule="atLeast" w:line="240" w:before="0" w:after="0"/>
              <w:ind w:left="200" w:right="0" w:hanging="200"/>
              <w:jc w:val="both"/>
              <w:rPr/>
            </w:pPr>
            <w:r>
              <w:rPr>
                <w:spacing w:val="4"/>
              </w:rPr>
              <w:t>Timothy C. Dec</w:t>
            </w:r>
            <w:r>
              <w:rPr>
                <w:spacing w:val="3"/>
                <w:szCs w:val="13"/>
              </w:rPr>
              <w:t>﻿</w:t>
            </w:r>
            <w:r>
              <w:rPr>
                <w:spacing w:val="3"/>
                <w:sz w:val="13"/>
              </w:rPr>
              <w:t>(5)</w:t>
            </w:r>
            <w:r>
              <w:rPr>
                <w:spacing w:val="4"/>
              </w:rPr>
              <w:t xml:space="preserve"> </w:t>
            </w:r>
            <w:r>
              <w:rPr/>
              <w:br/>
            </w:r>
            <w:r>
              <w:rPr>
                <w:i/>
                <w:spacing w:val="4"/>
              </w:rPr>
              <w:t xml:space="preserve">Senior Vice President, </w:t>
              <w:br/>
              <w:t>Chief Financial Officer</w:t>
            </w:r>
            <w:r>
              <w:rPr/>
              <w:t xml:space="preserve">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586" w:type="dxa"/>
            <w:tcBorders/>
            <w:shd w:fill="auto" w:val="clear"/>
            <w:tcMar>
              <w:bottom w:w="0" w:type="dxa"/>
            </w:tcMar>
            <w:vAlign w:val="center"/>
          </w:tcPr>
          <w:p>
            <w:pPr>
              <w:pStyle w:val="TableContents"/>
              <w:spacing w:lineRule="atLeast" w:line="240" w:before="0" w:after="283"/>
              <w:jc w:val="right"/>
              <w:rPr/>
            </w:pPr>
            <w:r>
              <w:rPr/>
              <w:t>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886" w:type="dxa"/>
            <w:tcBorders/>
            <w:shd w:fill="auto" w:val="clear"/>
            <w:tcMar>
              <w:bottom w:w="0" w:type="dxa"/>
            </w:tcMar>
            <w:vAlign w:val="center"/>
          </w:tcPr>
          <w:p>
            <w:pPr>
              <w:pStyle w:val="TableContents"/>
              <w:spacing w:lineRule="atLeast" w:line="240" w:before="0" w:after="283"/>
              <w:jc w:val="right"/>
              <w:rPr/>
            </w:pPr>
            <w:r>
              <w:rPr/>
              <w:t>412,500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1066" w:type="dxa"/>
            <w:tcBorders/>
            <w:shd w:fill="auto" w:val="clear"/>
            <w:tcMar>
              <w:bottom w:w="0" w:type="dxa"/>
            </w:tcMar>
            <w:vAlign w:val="center"/>
          </w:tcPr>
          <w:p>
            <w:pPr>
              <w:pStyle w:val="TableContents"/>
              <w:spacing w:lineRule="atLeast" w:line="240" w:before="0" w:after="283"/>
              <w:jc w:val="right"/>
              <w:rPr/>
            </w:pPr>
            <w:r>
              <w:rPr/>
              <w:t>151,190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1066" w:type="dxa"/>
            <w:tcBorders/>
            <w:shd w:fill="auto" w:val="clear"/>
            <w:tcMar>
              <w:bottom w:w="0" w:type="dxa"/>
            </w:tcMar>
            <w:vAlign w:val="center"/>
          </w:tcPr>
          <w:p>
            <w:pPr>
              <w:pStyle w:val="TableContents"/>
              <w:spacing w:lineRule="atLeast" w:line="240" w:before="0" w:after="283"/>
              <w:jc w:val="right"/>
              <w:rPr/>
            </w:pPr>
            <w:r>
              <w:rPr/>
              <w:t>476,750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lineRule="atLeast" w:line="240" w:before="0" w:after="283"/>
              <w:jc w:val="right"/>
              <w:rPr/>
            </w:pPr>
            <w:r>
              <w:rPr/>
              <w:t>​</w:t>
            </w:r>
          </w:p>
        </w:tc>
        <w:tc>
          <w:tcPr>
            <w:tcW w:w="1050" w:type="dxa"/>
            <w:tcBorders/>
            <w:shd w:fill="auto" w:val="clear"/>
            <w:tcMar>
              <w:bottom w:w="0" w:type="dxa"/>
            </w:tcMar>
            <w:vAlign w:val="center"/>
          </w:tcPr>
          <w:p>
            <w:pPr>
              <w:pStyle w:val="TableContents"/>
              <w:spacing w:lineRule="atLeast" w:line="240" w:before="0" w:after="283"/>
              <w:jc w:val="right"/>
              <w:rPr/>
            </w:pPr>
            <w:r>
              <w:rPr/>
              <w:t>178,200</w:t>
            </w:r>
          </w:p>
        </w:tc>
        <w:tc>
          <w:tcPr>
            <w:tcW w:w="13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3" w:type="dxa"/>
            <w:tcBorders/>
            <w:shd w:fill="auto" w:val="clear"/>
            <w:tcMar>
              <w:bottom w:w="0" w:type="dxa"/>
            </w:tcMar>
            <w:vAlign w:val="center"/>
          </w:tcPr>
          <w:p>
            <w:pPr>
              <w:pStyle w:val="TableContents"/>
              <w:spacing w:before="0" w:after="283"/>
              <w:rPr/>
            </w:pPr>
            <w:r>
              <w:rPr/>
              <w:t>​</w:t>
            </w:r>
          </w:p>
        </w:tc>
        <w:tc>
          <w:tcPr>
            <w:tcW w:w="143" w:type="dxa"/>
            <w:tcBorders/>
            <w:shd w:fill="auto" w:val="clear"/>
            <w:tcMar>
              <w:bottom w:w="0" w:type="dxa"/>
            </w:tcMar>
            <w:vAlign w:val="center"/>
          </w:tcPr>
          <w:p>
            <w:pPr>
              <w:pStyle w:val="TableContents"/>
              <w:spacing w:lineRule="atLeast" w:line="240" w:before="0" w:after="283"/>
              <w:jc w:val="right"/>
              <w:rPr/>
            </w:pPr>
            <w:r>
              <w:rPr/>
              <w:t>​</w:t>
            </w:r>
          </w:p>
        </w:tc>
        <w:tc>
          <w:tcPr>
            <w:tcW w:w="1007" w:type="dxa"/>
            <w:tcBorders/>
            <w:shd w:fill="auto" w:val="clear"/>
            <w:tcMar>
              <w:bottom w:w="0" w:type="dxa"/>
            </w:tcMar>
            <w:vAlign w:val="center"/>
          </w:tcPr>
          <w:p>
            <w:pPr>
              <w:pStyle w:val="TableContents"/>
              <w:spacing w:lineRule="atLeast" w:line="240" w:before="0" w:after="283"/>
              <w:jc w:val="right"/>
              <w:rPr/>
            </w:pPr>
            <w:r>
              <w:rPr/>
              <w:t>44,730</w:t>
            </w:r>
          </w:p>
        </w:tc>
        <w:tc>
          <w:tcPr>
            <w:tcW w:w="14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1186" w:type="dxa"/>
            <w:tcBorders/>
            <w:shd w:fill="auto" w:val="clear"/>
            <w:tcMar>
              <w:bottom w:w="0" w:type="dxa"/>
            </w:tcMar>
            <w:vAlign w:val="center"/>
          </w:tcPr>
          <w:p>
            <w:pPr>
              <w:pStyle w:val="TableContents"/>
              <w:spacing w:lineRule="atLeast" w:line="240" w:before="0" w:after="283"/>
              <w:jc w:val="right"/>
              <w:rPr/>
            </w:pPr>
            <w:r>
              <w:rPr/>
              <w:t>1,263,370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21"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2021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135,096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1,238,685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jc w:val="right"/>
              <w:rPr/>
            </w:pPr>
            <w:r>
              <w:rPr/>
              <w:t>​</w:t>
            </w:r>
          </w:p>
        </w:tc>
        <w:tc>
          <w:tcPr>
            <w:tcW w:w="1050" w:type="dxa"/>
            <w:tcBorders/>
            <w:shd w:fill="auto" w:val="clear"/>
            <w:tcMar>
              <w:bottom w:w="0" w:type="dxa"/>
            </w:tcMar>
            <w:vAlign w:val="center"/>
          </w:tcPr>
          <w:p>
            <w:pPr>
              <w:pStyle w:val="TableContents"/>
              <w:spacing w:before="0" w:after="283"/>
              <w:jc w:val="right"/>
              <w:rPr/>
            </w:pPr>
            <w:r>
              <w:rPr/>
              <w:t>72,300</w:t>
            </w:r>
          </w:p>
        </w:tc>
        <w:tc>
          <w:tcPr>
            <w:tcW w:w="13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3" w:type="dxa"/>
            <w:tcBorders/>
            <w:shd w:fill="auto" w:val="clear"/>
            <w:tcMar>
              <w:bottom w:w="0" w:type="dxa"/>
            </w:tcMar>
            <w:vAlign w:val="center"/>
          </w:tcPr>
          <w:p>
            <w:pPr>
              <w:pStyle w:val="TableContents"/>
              <w:spacing w:before="0" w:after="283"/>
              <w:rPr/>
            </w:pPr>
            <w:r>
              <w:rPr/>
              <w:t>​</w:t>
            </w:r>
          </w:p>
        </w:tc>
        <w:tc>
          <w:tcPr>
            <w:tcW w:w="143" w:type="dxa"/>
            <w:tcBorders/>
            <w:shd w:fill="auto" w:val="clear"/>
            <w:tcMar>
              <w:bottom w:w="0" w:type="dxa"/>
            </w:tcMar>
            <w:vAlign w:val="center"/>
          </w:tcPr>
          <w:p>
            <w:pPr>
              <w:pStyle w:val="TableContents"/>
              <w:spacing w:before="0" w:after="283"/>
              <w:jc w:val="right"/>
              <w:rPr/>
            </w:pPr>
            <w:r>
              <w:rPr/>
              <w:t>​</w:t>
            </w:r>
          </w:p>
        </w:tc>
        <w:tc>
          <w:tcPr>
            <w:tcW w:w="1007" w:type="dxa"/>
            <w:tcBorders/>
            <w:shd w:fill="auto" w:val="clear"/>
            <w:tcMar>
              <w:bottom w:w="0" w:type="dxa"/>
            </w:tcMar>
            <w:vAlign w:val="center"/>
          </w:tcPr>
          <w:p>
            <w:pPr>
              <w:pStyle w:val="TableContents"/>
              <w:spacing w:before="0" w:after="283"/>
              <w:jc w:val="right"/>
              <w:rPr/>
            </w:pPr>
            <w:r>
              <w:rPr/>
              <w:t>7,454</w:t>
            </w:r>
          </w:p>
        </w:tc>
        <w:tc>
          <w:tcPr>
            <w:tcW w:w="14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1,453,535</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21" w:type="dxa"/>
            <w:vMerge w:val="restart"/>
            <w:tcBorders/>
            <w:shd w:fill="CCEEFF" w:val="clear"/>
            <w:tcMar>
              <w:bottom w:w="0" w:type="dxa"/>
            </w:tcMar>
            <w:vAlign w:val="center"/>
          </w:tcPr>
          <w:p>
            <w:pPr>
              <w:pStyle w:val="TableContents"/>
              <w:spacing w:lineRule="atLeast" w:line="240" w:before="0" w:after="0"/>
              <w:ind w:left="200" w:right="0" w:hanging="200"/>
              <w:jc w:val="left"/>
              <w:rPr/>
            </w:pPr>
            <w:r>
              <w:rPr>
                <w:spacing w:val="4"/>
              </w:rPr>
              <w:t>Jonathan Rubin, MD</w:t>
            </w:r>
            <w:r>
              <w:rPr>
                <w:spacing w:val="3"/>
                <w:szCs w:val="13"/>
              </w:rPr>
              <w:t>﻿</w:t>
            </w:r>
            <w:r>
              <w:rPr>
                <w:spacing w:val="3"/>
                <w:sz w:val="13"/>
              </w:rPr>
              <w:t>(6)</w:t>
            </w:r>
            <w:r>
              <w:rPr>
                <w:spacing w:val="4"/>
              </w:rPr>
              <w:t xml:space="preserve"> </w:t>
            </w:r>
            <w:r>
              <w:rPr/>
              <w:br/>
            </w:r>
            <w:r>
              <w:rPr>
                <w:i/>
                <w:spacing w:val="4"/>
              </w:rPr>
              <w:t xml:space="preserve">Senior Vice President, </w:t>
              <w:br/>
              <w:t xml:space="preserve">Chief Medical Officer </w:t>
              <w:br/>
              <w:t>Research and Development</w:t>
            </w:r>
            <w:r>
              <w:rPr/>
              <w:t xml:space="preserve">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586" w:type="dxa"/>
            <w:tcBorders/>
            <w:shd w:fill="CCEEFF" w:val="clear"/>
            <w:tcMar>
              <w:bottom w:w="0" w:type="dxa"/>
            </w:tcMar>
            <w:vAlign w:val="center"/>
          </w:tcPr>
          <w:p>
            <w:pPr>
              <w:pStyle w:val="TableContents"/>
              <w:spacing w:lineRule="atLeast" w:line="240" w:before="0" w:after="283"/>
              <w:jc w:val="right"/>
              <w:rPr/>
            </w:pPr>
            <w:r>
              <w:rPr/>
              <w:t>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412,000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1066" w:type="dxa"/>
            <w:tcBorders/>
            <w:shd w:fill="CCEEFF" w:val="clear"/>
            <w:tcMar>
              <w:bottom w:w="0" w:type="dxa"/>
            </w:tcMar>
            <w:vAlign w:val="center"/>
          </w:tcPr>
          <w:p>
            <w:pPr>
              <w:pStyle w:val="TableContents"/>
              <w:spacing w:lineRule="atLeast" w:line="240" w:before="0" w:after="283"/>
              <w:jc w:val="right"/>
              <w:rPr/>
            </w:pPr>
            <w:r>
              <w:rPr/>
              <w:t>183,390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1066" w:type="dxa"/>
            <w:tcBorders/>
            <w:shd w:fill="CCEEFF" w:val="clear"/>
            <w:tcMar>
              <w:bottom w:w="0" w:type="dxa"/>
            </w:tcMar>
            <w:vAlign w:val="center"/>
          </w:tcPr>
          <w:p>
            <w:pPr>
              <w:pStyle w:val="TableContents"/>
              <w:spacing w:lineRule="atLeast" w:line="240" w:before="0" w:after="283"/>
              <w:jc w:val="right"/>
              <w:rPr/>
            </w:pPr>
            <w:r>
              <w:rPr/>
              <w:t>476,750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lineRule="atLeast" w:line="240" w:before="0" w:after="283"/>
              <w:jc w:val="right"/>
              <w:rPr/>
            </w:pPr>
            <w:r>
              <w:rPr/>
              <w:t>​</w:t>
            </w:r>
          </w:p>
        </w:tc>
        <w:tc>
          <w:tcPr>
            <w:tcW w:w="1050" w:type="dxa"/>
            <w:tcBorders/>
            <w:shd w:fill="CCEEFF" w:val="clear"/>
            <w:tcMar>
              <w:bottom w:w="0" w:type="dxa"/>
            </w:tcMar>
            <w:vAlign w:val="center"/>
          </w:tcPr>
          <w:p>
            <w:pPr>
              <w:pStyle w:val="TableContents"/>
              <w:spacing w:lineRule="atLeast" w:line="240" w:before="0" w:after="283"/>
              <w:jc w:val="right"/>
              <w:rPr/>
            </w:pPr>
            <w:r>
              <w:rPr/>
              <w:t>149,291</w:t>
            </w:r>
          </w:p>
        </w:tc>
        <w:tc>
          <w:tcPr>
            <w:tcW w:w="13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lineRule="atLeast" w:line="240" w:before="0" w:after="283"/>
              <w:jc w:val="right"/>
              <w:rPr/>
            </w:pPr>
            <w:r>
              <w:rPr/>
              <w:t>​</w:t>
            </w:r>
          </w:p>
        </w:tc>
        <w:tc>
          <w:tcPr>
            <w:tcW w:w="1007" w:type="dxa"/>
            <w:tcBorders/>
            <w:shd w:fill="CCEEFF" w:val="clear"/>
            <w:tcMar>
              <w:bottom w:w="0" w:type="dxa"/>
            </w:tcMar>
            <w:vAlign w:val="center"/>
          </w:tcPr>
          <w:p>
            <w:pPr>
              <w:pStyle w:val="TableContents"/>
              <w:spacing w:lineRule="atLeast" w:line="240" w:before="0" w:after="283"/>
              <w:jc w:val="right"/>
              <w:rPr/>
            </w:pPr>
            <w:r>
              <w:rPr/>
              <w:t>33,357</w:t>
            </w:r>
          </w:p>
        </w:tc>
        <w:tc>
          <w:tcPr>
            <w:tcW w:w="14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1186" w:type="dxa"/>
            <w:tcBorders/>
            <w:shd w:fill="CCEEFF" w:val="clear"/>
            <w:tcMar>
              <w:bottom w:w="0" w:type="dxa"/>
            </w:tcMar>
            <w:vAlign w:val="center"/>
          </w:tcPr>
          <w:p>
            <w:pPr>
              <w:pStyle w:val="TableContents"/>
              <w:spacing w:lineRule="atLeast" w:line="240" w:before="0" w:after="283"/>
              <w:jc w:val="right"/>
              <w:rPr/>
            </w:pPr>
            <w:r>
              <w:rPr/>
              <w:t>1,254,788</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21"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2021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385,000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45,675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424,972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jc w:val="right"/>
              <w:rPr/>
            </w:pPr>
            <w:r>
              <w:rPr/>
              <w:t>​</w:t>
            </w:r>
          </w:p>
        </w:tc>
        <w:tc>
          <w:tcPr>
            <w:tcW w:w="1050" w:type="dxa"/>
            <w:tcBorders/>
            <w:shd w:fill="CCEEFF" w:val="clear"/>
            <w:tcMar>
              <w:bottom w:w="0" w:type="dxa"/>
            </w:tcMar>
            <w:vAlign w:val="center"/>
          </w:tcPr>
          <w:p>
            <w:pPr>
              <w:pStyle w:val="TableContents"/>
              <w:spacing w:before="0" w:after="283"/>
              <w:jc w:val="right"/>
              <w:rPr/>
            </w:pPr>
            <w:r>
              <w:rPr/>
              <w:t>143,700</w:t>
            </w:r>
          </w:p>
        </w:tc>
        <w:tc>
          <w:tcPr>
            <w:tcW w:w="13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jc w:val="right"/>
              <w:rPr/>
            </w:pPr>
            <w:r>
              <w:rPr/>
              <w:t>​</w:t>
            </w:r>
          </w:p>
        </w:tc>
        <w:tc>
          <w:tcPr>
            <w:tcW w:w="1007" w:type="dxa"/>
            <w:tcBorders/>
            <w:shd w:fill="CCEEFF" w:val="clear"/>
            <w:tcMar>
              <w:bottom w:w="0" w:type="dxa"/>
            </w:tcMar>
            <w:vAlign w:val="center"/>
          </w:tcPr>
          <w:p>
            <w:pPr>
              <w:pStyle w:val="TableContents"/>
              <w:spacing w:before="0" w:after="283"/>
              <w:jc w:val="right"/>
              <w:rPr/>
            </w:pPr>
            <w:r>
              <w:rPr/>
              <w:t>29,002</w:t>
            </w:r>
          </w:p>
        </w:tc>
        <w:tc>
          <w:tcPr>
            <w:tcW w:w="14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1,028,349</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21" w:type="dxa"/>
            <w:vMerge w:val="restart"/>
            <w:tcBorders/>
            <w:shd w:fill="auto" w:val="clear"/>
            <w:tcMar>
              <w:bottom w:w="0" w:type="dxa"/>
            </w:tcMar>
            <w:vAlign w:val="center"/>
          </w:tcPr>
          <w:p>
            <w:pPr>
              <w:pStyle w:val="TableContents"/>
              <w:spacing w:lineRule="atLeast" w:line="240" w:before="0" w:after="0"/>
              <w:ind w:left="200" w:right="0" w:hanging="200"/>
              <w:jc w:val="both"/>
              <w:rPr/>
            </w:pPr>
            <w:r>
              <w:rPr>
                <w:spacing w:val="4"/>
              </w:rPr>
              <w:t xml:space="preserve">Padmanabh P. Bhatt, Ph.D. </w:t>
            </w:r>
            <w:r>
              <w:rPr/>
              <w:br/>
            </w:r>
            <w:r>
              <w:rPr>
                <w:i/>
                <w:spacing w:val="4"/>
              </w:rPr>
              <w:t xml:space="preserve">Senior Vice President, Intellectual </w:t>
              <w:br/>
              <w:t>Property, Chief Scientific Officer</w:t>
            </w:r>
            <w:r>
              <w:rPr/>
              <w:t xml:space="preserve">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586" w:type="dxa"/>
            <w:tcBorders/>
            <w:shd w:fill="auto" w:val="clear"/>
            <w:tcMar>
              <w:bottom w:w="0" w:type="dxa"/>
            </w:tcMar>
            <w:vAlign w:val="center"/>
          </w:tcPr>
          <w:p>
            <w:pPr>
              <w:pStyle w:val="TableContents"/>
              <w:spacing w:lineRule="atLeast" w:line="240" w:before="0" w:after="283"/>
              <w:jc w:val="right"/>
              <w:rPr/>
            </w:pPr>
            <w:r>
              <w:rPr/>
              <w:t>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886" w:type="dxa"/>
            <w:tcBorders/>
            <w:shd w:fill="auto" w:val="clear"/>
            <w:tcMar>
              <w:bottom w:w="0" w:type="dxa"/>
            </w:tcMar>
            <w:vAlign w:val="center"/>
          </w:tcPr>
          <w:p>
            <w:pPr>
              <w:pStyle w:val="TableContents"/>
              <w:spacing w:lineRule="atLeast" w:line="240" w:before="0" w:after="283"/>
              <w:jc w:val="right"/>
              <w:rPr/>
            </w:pPr>
            <w:r>
              <w:rPr/>
              <w:t>415,200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1066" w:type="dxa"/>
            <w:tcBorders/>
            <w:shd w:fill="auto" w:val="clear"/>
            <w:tcMar>
              <w:bottom w:w="0" w:type="dxa"/>
            </w:tcMar>
            <w:vAlign w:val="center"/>
          </w:tcPr>
          <w:p>
            <w:pPr>
              <w:pStyle w:val="TableContents"/>
              <w:spacing w:lineRule="atLeast" w:line="240" w:before="0" w:after="283"/>
              <w:jc w:val="right"/>
              <w:rPr/>
            </w:pPr>
            <w:r>
              <w:rPr/>
              <w:t>183,390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1066" w:type="dxa"/>
            <w:tcBorders/>
            <w:shd w:fill="auto" w:val="clear"/>
            <w:tcMar>
              <w:bottom w:w="0" w:type="dxa"/>
            </w:tcMar>
            <w:vAlign w:val="center"/>
          </w:tcPr>
          <w:p>
            <w:pPr>
              <w:pStyle w:val="TableContents"/>
              <w:spacing w:lineRule="atLeast" w:line="240" w:before="0" w:after="283"/>
              <w:jc w:val="right"/>
              <w:rPr/>
            </w:pPr>
            <w:r>
              <w:rPr/>
              <w:t>343,260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lineRule="atLeast" w:line="240" w:before="0" w:after="283"/>
              <w:jc w:val="right"/>
              <w:rPr/>
            </w:pPr>
            <w:r>
              <w:rPr/>
              <w:t>​</w:t>
            </w:r>
          </w:p>
        </w:tc>
        <w:tc>
          <w:tcPr>
            <w:tcW w:w="1050" w:type="dxa"/>
            <w:tcBorders/>
            <w:shd w:fill="auto" w:val="clear"/>
            <w:tcMar>
              <w:bottom w:w="0" w:type="dxa"/>
            </w:tcMar>
            <w:vAlign w:val="center"/>
          </w:tcPr>
          <w:p>
            <w:pPr>
              <w:pStyle w:val="TableContents"/>
              <w:spacing w:lineRule="atLeast" w:line="240" w:before="0" w:after="283"/>
              <w:jc w:val="right"/>
              <w:rPr/>
            </w:pPr>
            <w:r>
              <w:rPr/>
              <w:t>140,973</w:t>
            </w:r>
          </w:p>
        </w:tc>
        <w:tc>
          <w:tcPr>
            <w:tcW w:w="13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3" w:type="dxa"/>
            <w:tcBorders/>
            <w:shd w:fill="auto" w:val="clear"/>
            <w:tcMar>
              <w:bottom w:w="0" w:type="dxa"/>
            </w:tcMar>
            <w:vAlign w:val="center"/>
          </w:tcPr>
          <w:p>
            <w:pPr>
              <w:pStyle w:val="TableContents"/>
              <w:spacing w:before="0" w:after="283"/>
              <w:rPr/>
            </w:pPr>
            <w:r>
              <w:rPr/>
              <w:t>​</w:t>
            </w:r>
          </w:p>
        </w:tc>
        <w:tc>
          <w:tcPr>
            <w:tcW w:w="143" w:type="dxa"/>
            <w:tcBorders/>
            <w:shd w:fill="auto" w:val="clear"/>
            <w:tcMar>
              <w:bottom w:w="0" w:type="dxa"/>
            </w:tcMar>
            <w:vAlign w:val="center"/>
          </w:tcPr>
          <w:p>
            <w:pPr>
              <w:pStyle w:val="TableContents"/>
              <w:spacing w:lineRule="atLeast" w:line="240" w:before="0" w:after="283"/>
              <w:jc w:val="right"/>
              <w:rPr/>
            </w:pPr>
            <w:r>
              <w:rPr/>
              <w:t>​</w:t>
            </w:r>
          </w:p>
        </w:tc>
        <w:tc>
          <w:tcPr>
            <w:tcW w:w="1007" w:type="dxa"/>
            <w:tcBorders/>
            <w:shd w:fill="auto" w:val="clear"/>
            <w:tcMar>
              <w:bottom w:w="0" w:type="dxa"/>
            </w:tcMar>
            <w:vAlign w:val="center"/>
          </w:tcPr>
          <w:p>
            <w:pPr>
              <w:pStyle w:val="TableContents"/>
              <w:spacing w:lineRule="atLeast" w:line="240" w:before="0" w:after="283"/>
              <w:jc w:val="right"/>
              <w:rPr/>
            </w:pPr>
            <w:r>
              <w:rPr/>
              <w:t>37,963</w:t>
            </w:r>
          </w:p>
        </w:tc>
        <w:tc>
          <w:tcPr>
            <w:tcW w:w="14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1186" w:type="dxa"/>
            <w:tcBorders/>
            <w:shd w:fill="auto" w:val="clear"/>
            <w:tcMar>
              <w:bottom w:w="0" w:type="dxa"/>
            </w:tcMar>
            <w:vAlign w:val="center"/>
          </w:tcPr>
          <w:p>
            <w:pPr>
              <w:pStyle w:val="TableContents"/>
              <w:spacing w:lineRule="atLeast" w:line="240" w:before="0" w:after="283"/>
              <w:jc w:val="right"/>
              <w:rPr/>
            </w:pPr>
            <w:r>
              <w:rPr/>
              <w:t>1,120,759</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21"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2021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403,100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45,675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288,981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jc w:val="right"/>
              <w:rPr/>
            </w:pPr>
            <w:r>
              <w:rPr/>
              <w:t>​</w:t>
            </w:r>
          </w:p>
        </w:tc>
        <w:tc>
          <w:tcPr>
            <w:tcW w:w="1050" w:type="dxa"/>
            <w:tcBorders/>
            <w:shd w:fill="auto" w:val="clear"/>
            <w:tcMar>
              <w:bottom w:w="0" w:type="dxa"/>
            </w:tcMar>
            <w:vAlign w:val="center"/>
          </w:tcPr>
          <w:p>
            <w:pPr>
              <w:pStyle w:val="TableContents"/>
              <w:spacing w:before="0" w:after="283"/>
              <w:jc w:val="right"/>
              <w:rPr/>
            </w:pPr>
            <w:r>
              <w:rPr/>
              <w:t>158,900</w:t>
            </w:r>
          </w:p>
        </w:tc>
        <w:tc>
          <w:tcPr>
            <w:tcW w:w="13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3" w:type="dxa"/>
            <w:tcBorders/>
            <w:shd w:fill="auto" w:val="clear"/>
            <w:tcMar>
              <w:bottom w:w="0" w:type="dxa"/>
            </w:tcMar>
            <w:vAlign w:val="center"/>
          </w:tcPr>
          <w:p>
            <w:pPr>
              <w:pStyle w:val="TableContents"/>
              <w:spacing w:before="0" w:after="283"/>
              <w:rPr/>
            </w:pPr>
            <w:r>
              <w:rPr/>
              <w:t>​</w:t>
            </w:r>
          </w:p>
        </w:tc>
        <w:tc>
          <w:tcPr>
            <w:tcW w:w="143" w:type="dxa"/>
            <w:tcBorders/>
            <w:shd w:fill="auto" w:val="clear"/>
            <w:tcMar>
              <w:bottom w:w="0" w:type="dxa"/>
            </w:tcMar>
            <w:vAlign w:val="center"/>
          </w:tcPr>
          <w:p>
            <w:pPr>
              <w:pStyle w:val="TableContents"/>
              <w:spacing w:before="0" w:after="283"/>
              <w:jc w:val="right"/>
              <w:rPr/>
            </w:pPr>
            <w:r>
              <w:rPr/>
              <w:t>​</w:t>
            </w:r>
          </w:p>
        </w:tc>
        <w:tc>
          <w:tcPr>
            <w:tcW w:w="1007" w:type="dxa"/>
            <w:tcBorders/>
            <w:shd w:fill="auto" w:val="clear"/>
            <w:tcMar>
              <w:bottom w:w="0" w:type="dxa"/>
            </w:tcMar>
            <w:vAlign w:val="center"/>
          </w:tcPr>
          <w:p>
            <w:pPr>
              <w:pStyle w:val="TableContents"/>
              <w:spacing w:before="0" w:after="283"/>
              <w:jc w:val="right"/>
              <w:rPr/>
            </w:pPr>
            <w:r>
              <w:rPr/>
              <w:t>36,608</w:t>
            </w:r>
          </w:p>
        </w:tc>
        <w:tc>
          <w:tcPr>
            <w:tcW w:w="14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933,265</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21"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2020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391,401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492,288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jc w:val="right"/>
              <w:rPr/>
            </w:pPr>
            <w:r>
              <w:rPr/>
              <w:t>​</w:t>
            </w:r>
          </w:p>
        </w:tc>
        <w:tc>
          <w:tcPr>
            <w:tcW w:w="1050" w:type="dxa"/>
            <w:tcBorders/>
            <w:shd w:fill="auto" w:val="clear"/>
            <w:tcMar>
              <w:bottom w:w="0" w:type="dxa"/>
            </w:tcMar>
            <w:vAlign w:val="center"/>
          </w:tcPr>
          <w:p>
            <w:pPr>
              <w:pStyle w:val="TableContents"/>
              <w:spacing w:before="0" w:after="283"/>
              <w:jc w:val="right"/>
              <w:rPr/>
            </w:pPr>
            <w:r>
              <w:rPr/>
              <w:t>161,600</w:t>
            </w:r>
          </w:p>
        </w:tc>
        <w:tc>
          <w:tcPr>
            <w:tcW w:w="13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3" w:type="dxa"/>
            <w:tcBorders/>
            <w:shd w:fill="auto" w:val="clear"/>
            <w:tcMar>
              <w:bottom w:w="0" w:type="dxa"/>
            </w:tcMar>
            <w:vAlign w:val="center"/>
          </w:tcPr>
          <w:p>
            <w:pPr>
              <w:pStyle w:val="TableContents"/>
              <w:spacing w:before="0" w:after="283"/>
              <w:rPr/>
            </w:pPr>
            <w:r>
              <w:rPr/>
              <w:t>​</w:t>
            </w:r>
          </w:p>
        </w:tc>
        <w:tc>
          <w:tcPr>
            <w:tcW w:w="143" w:type="dxa"/>
            <w:tcBorders/>
            <w:shd w:fill="auto" w:val="clear"/>
            <w:tcMar>
              <w:bottom w:w="0" w:type="dxa"/>
            </w:tcMar>
            <w:vAlign w:val="center"/>
          </w:tcPr>
          <w:p>
            <w:pPr>
              <w:pStyle w:val="TableContents"/>
              <w:spacing w:before="0" w:after="283"/>
              <w:jc w:val="right"/>
              <w:rPr/>
            </w:pPr>
            <w:r>
              <w:rPr/>
              <w:t>​</w:t>
            </w:r>
          </w:p>
        </w:tc>
        <w:tc>
          <w:tcPr>
            <w:tcW w:w="1007" w:type="dxa"/>
            <w:tcBorders/>
            <w:shd w:fill="auto" w:val="clear"/>
            <w:tcMar>
              <w:bottom w:w="0" w:type="dxa"/>
            </w:tcMar>
            <w:vAlign w:val="center"/>
          </w:tcPr>
          <w:p>
            <w:pPr>
              <w:pStyle w:val="TableContents"/>
              <w:spacing w:before="0" w:after="283"/>
              <w:jc w:val="right"/>
              <w:rPr/>
            </w:pPr>
            <w:r>
              <w:rPr/>
              <w:t>29,201</w:t>
            </w:r>
          </w:p>
        </w:tc>
        <w:tc>
          <w:tcPr>
            <w:tcW w:w="14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1,074,490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21" w:type="dxa"/>
            <w:tcBorders/>
            <w:shd w:fill="CCEEFF" w:val="clear"/>
            <w:tcMar>
              <w:bottom w:w="0" w:type="dxa"/>
            </w:tcMar>
            <w:vAlign w:val="center"/>
          </w:tcPr>
          <w:p>
            <w:pPr>
              <w:pStyle w:val="TableContents"/>
              <w:spacing w:before="0" w:after="0"/>
              <w:ind w:left="200" w:right="0" w:hanging="200"/>
              <w:jc w:val="both"/>
              <w:rPr/>
            </w:pPr>
            <w:r>
              <w:rPr>
                <w:spacing w:val="4"/>
              </w:rPr>
              <w:t xml:space="preserve">Frank Mottola </w:t>
            </w:r>
            <w:r>
              <w:rPr/>
              <w:br/>
            </w:r>
            <w:r>
              <w:rPr>
                <w:i/>
                <w:spacing w:val="4"/>
              </w:rPr>
              <w:t xml:space="preserve">Senior Vice President, Quality </w:t>
              <w:br/>
              <w:t>GMP Operations and IT</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342,400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183,390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343,260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jc w:val="right"/>
              <w:rPr/>
            </w:pPr>
            <w:r>
              <w:rPr/>
              <w:t>​</w:t>
            </w:r>
          </w:p>
        </w:tc>
        <w:tc>
          <w:tcPr>
            <w:tcW w:w="1050" w:type="dxa"/>
            <w:tcBorders/>
            <w:shd w:fill="CCEEFF" w:val="clear"/>
            <w:tcMar>
              <w:bottom w:w="0" w:type="dxa"/>
            </w:tcMar>
            <w:vAlign w:val="center"/>
          </w:tcPr>
          <w:p>
            <w:pPr>
              <w:pStyle w:val="TableContents"/>
              <w:spacing w:before="0" w:after="283"/>
              <w:jc w:val="right"/>
              <w:rPr/>
            </w:pPr>
            <w:r>
              <w:rPr/>
              <w:t>109,080</w:t>
            </w:r>
          </w:p>
        </w:tc>
        <w:tc>
          <w:tcPr>
            <w:tcW w:w="13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jc w:val="right"/>
              <w:rPr/>
            </w:pPr>
            <w:r>
              <w:rPr/>
              <w:t>​</w:t>
            </w:r>
          </w:p>
        </w:tc>
        <w:tc>
          <w:tcPr>
            <w:tcW w:w="1007" w:type="dxa"/>
            <w:tcBorders/>
            <w:shd w:fill="CCEEFF" w:val="clear"/>
            <w:tcMar>
              <w:bottom w:w="0" w:type="dxa"/>
            </w:tcMar>
            <w:vAlign w:val="center"/>
          </w:tcPr>
          <w:p>
            <w:pPr>
              <w:pStyle w:val="TableContents"/>
              <w:spacing w:before="0" w:after="283"/>
              <w:jc w:val="right"/>
              <w:rPr/>
            </w:pPr>
            <w:r>
              <w:rPr/>
              <w:t>39,393</w:t>
            </w:r>
          </w:p>
        </w:tc>
        <w:tc>
          <w:tcPr>
            <w:tcW w:w="14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1,029,939</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CEO will only realize compensation to the extent performance share units vest depending upon the level of achievement of specified performance goals. Each of our other NEOs will only realize compensation to the extent performance share units vest depending upon the level of achievement of specified performance goals. For information regarding assumptions underlying the valuation of equity awards, see Note 10 to our consolidated financial statements included in our Annual Report to Stockholders. </w:t>
      </w:r>
      <w:r>
        <mc:AlternateContent>
          <mc:Choice Requires="wps">
            <w:drawing>
              <wp:anchor behindDoc="0" distT="104140" distB="0" distL="0" distR="0" simplePos="0" locked="0" layoutInCell="1" allowOverlap="1" relativeHeight="148">
                <wp:simplePos x="0" y="0"/>
                <wp:positionH relativeFrom="column">
                  <wp:align>left</wp:align>
                </wp:positionH>
                <wp:positionV relativeFrom="line">
                  <wp:align>top</wp:align>
                </wp:positionV>
                <wp:extent cx="254000" cy="350520"/>
                <wp:effectExtent l="0" t="0" r="0" b="0"/>
                <wp:wrapSquare wrapText="largest"/>
                <wp:docPr id="141" name="Frame14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NEOs will only realize compensation to the extent the market price of our common stock at date of exercise is greater than the exercise price of such stock options. For information regarding assumptions underlying the valuation of equity awards, see Note 10 to our consolidated financial statements included in our Annual Report to Stockholders. </w:t>
      </w:r>
      <w:r>
        <mc:AlternateContent>
          <mc:Choice Requires="wps">
            <w:drawing>
              <wp:anchor behindDoc="0" distT="53340" distB="0" distL="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largest"/>
                <wp:docPr id="142" name="Frame14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represent annual performance bonus compensation earned for the years ended December 31, 2022, 2021 and 2020 based on pre-established performance objectives. Annual performance bonus compensation for 2022, 2021 and 2020 was paid in early 2023, early 2022 and early 2021, respectively. </w:t>
      </w:r>
      <w:r>
        <mc:AlternateContent>
          <mc:Choice Requires="wps">
            <w:drawing>
              <wp:anchor behindDoc="0" distT="53340" distB="0" distL="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largest"/>
                <wp:docPr id="143" name="Frame14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include (i) the premium amounts paid by us for life insurance and short-term and long-term disability coverage for each NEO, (ii) the employer matching contributions made on behalf of each NEO to our 401(k) plan and (iii) the compensation expense related to participation in the Company’s ESPP for Drs. Bhat and Rubin and Messrs. Dec and Mottola. Dr. Bhatt’s other compensation also includes a reimbursement for certain gym membership fees of $75 and $224 for the fiscal years 2021 and 2020, respectively, and a grossed-up tenure award of $1,894 received in fiscal year 2020. Dr. Rubin’s and Mr. Mottola’s other compensation for fiscal year 2022 also includes a reimbursement for certain gym membership fees of $300 and $240, respectively. </w:t>
      </w:r>
      <w:r>
        <mc:AlternateContent>
          <mc:Choice Requires="wps">
            <w:drawing>
              <wp:anchor behindDoc="0" distT="53340" distB="0" distL="0" distR="0" simplePos="0" locked="0" layoutInCell="1" allowOverlap="1" relativeHeight="151">
                <wp:simplePos x="0" y="0"/>
                <wp:positionH relativeFrom="column">
                  <wp:align>left</wp:align>
                </wp:positionH>
                <wp:positionV relativeFrom="line">
                  <wp:align>top</wp:align>
                </wp:positionV>
                <wp:extent cx="254000" cy="350520"/>
                <wp:effectExtent l="0" t="0" r="0" b="0"/>
                <wp:wrapSquare wrapText="largest"/>
                <wp:docPr id="144" name="Frame14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Dec joined the Company as Senior Vice President and Chief Financial Officer effective on August 23, 2021. </w:t>
      </w:r>
      <w:r>
        <mc:AlternateContent>
          <mc:Choice Requires="wps">
            <w:drawing>
              <wp:anchor behindDoc="0" distT="53340" distB="0" distL="0" distR="0" simplePos="0" locked="0" layoutInCell="1" allowOverlap="1" relativeHeight="152">
                <wp:simplePos x="0" y="0"/>
                <wp:positionH relativeFrom="column">
                  <wp:align>left</wp:align>
                </wp:positionH>
                <wp:positionV relativeFrom="line">
                  <wp:align>top</wp:align>
                </wp:positionV>
                <wp:extent cx="254000" cy="350520"/>
                <wp:effectExtent l="0" t="0" r="0" b="0"/>
                <wp:wrapSquare wrapText="largest"/>
                <wp:docPr id="145" name="Frame14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Rubin began serving as the Company’s Senior Vice President, Chief Medical Officer, Research and Development effective on January 1, 2021 and previously served as the Company’s Senior Vice President, Clinical Research and Medical Affairs since February 2020. </w:t>
      </w:r>
      <w:r>
        <mc:AlternateContent>
          <mc:Choice Requires="wps">
            <w:drawing>
              <wp:anchor behindDoc="0" distT="0" distB="0" distL="0" distR="0" simplePos="0" locked="0" layoutInCell="1" allowOverlap="1" relativeHeight="153">
                <wp:simplePos x="0" y="0"/>
                <wp:positionH relativeFrom="column">
                  <wp:align>left</wp:align>
                </wp:positionH>
                <wp:positionV relativeFrom="line">
                  <wp:posOffset>635</wp:posOffset>
                </wp:positionV>
                <wp:extent cx="254000" cy="350520"/>
                <wp:effectExtent l="0" t="0" r="0" b="0"/>
                <wp:wrapSquare wrapText="largest"/>
                <wp:docPr id="146" name="Frame14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Employment Agreement, Offer Letter and Severance Benefits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Jack A. Khattar</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22, 2005, we entered into an Employment Agreement with Mr. Khattar, our President and CEO, providing for his continued employment, effective as of the signing date. This employment agreement provides that Mr. Khattar’s employment is at-will and may be terminated by either us or him at any time for any or no reason. Mr. Khattar’s base salary is subject to review from time to time by our Board of Directors and may increase based on his and the Company’s performance. Furthermore, he is eligible to participate in our group benefits programs, including but not limited to, medical insurance, vacation and retirement plans, and will be provided with life insurance and the ability to participate in a 401(k) plan.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29, 2012, we entered into an amended and restated employment agreement with Mr. Khattar effective January 1, 2012, to revise terms related to termination benefits and change in control provisions while retaining in all material respects the terms of Mr. Khattar’s previous employment agreement. On August 6, 2014, the Company entered into the first amendment to Mr. Khattar’s amended and restated employment agreement to further revise terms related to termination benefits upon a change in control. Under the amendment, Mr. Khattar’s stock-based compensation arrangements will be fully vested and non-forfeitable on the date of such termination and will continue to be exercisable and payable in accordance with the terms that apply under such arrangements other than any vesting requirements. On March 2, 2016, we entered into the second amendment to the amended and restated employment agreement with Mr. Khattar, which amendment eliminated a provision limiting the target bonus our Board of Directors or the Compensation Committee may award Mr. Khattar. Finally, on May 8, 2018, we entered into the third amendment to the amended and restated employment agreement with Mr. Khattar, which amendment added a provision that all amounts payable to Mr. Khattar under the employment agreement are subject to the Company’s clawback policy, which policy is described above in this Proxy Statement.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Mr. Khattar is terminated by us without cause, as defined in the employment agreement, or he resigns with good reason, as defined in the employment agreement, as amended, to include, among other things, any material reduction in base compensation or material diminution in title, duties or responsibilities as President and CEO, Mr. Khattar will be entitled to receive (i) continued payment of his base salary for 18 months, (ii) an amount equal to the most recent annual bonus paid to him, which shall be payable over 18 months, and (iii) continuation of his taxable and non-taxable benefits for 18 months, subject to the limits under applicable law. In the event that Mr. Khattar is terminated for cause or he terminates his employment without good reason, Mr. Khattar will not be entitled to the payments and benefits described above, unless mutually agreed upon in writing. Mr. Khattar’s employment agreement, as amended, also includes a non-solicitation covenant and a non-compete covenant for at least one year following the termination of Mr. Khattar’s employment.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Officers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Messrs. Dec and Mottola and Dr. Rubin has entered into a standard form of Executive Retention Agreement with the Company, which provides severance payments and other benefits in the event of a change of control of our Company. We believe that the occurrence or potential occurrence of a change of control transaction could create uncertainty regarding the continued employment of these executive officers. This uncertainty results from the fact that many change of control transactions result in significant organizational changes, particularly at the senior executive level. In order to encourage our executive officers to remain employed with us during an important time when their prospects for continued employment following the transaction may be uncertain, we provide our executive officers with severance benefits if the executive’s employment terminates in connection with a change of control. The payment of change of control protection benefits (other than vesting of equity awards) is only triggered by a termination of employment.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standard form of Executive Retention Agreement, which was amended on May 8, 2018, to provide that all amounts payable under the Executive Retention Agreement are subject to the Company’s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312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clawback policy, which is described in the “Corporate Policies Covering Executive Compensation” section of this Proxy Statement, upon termination of employment by the Company prior to a change in control without cause or by the executive officer for good reason, the executive officer will be entitled to receive his base salary and health benefits for a period of 12 months following the termination date. In the event of termination of employment by the Company on the date of, or within 12 months after a change in control without cause or by the executive officer for good reason, the executive officer will be entitled to receive his base salary and health benefits for a period of 12 months following the termination date, a lump-sum payment equal to the most recent annual bonus received by the executive officer, and the executive officer’s stock-based compensation arrangements will be fully vested and nonforfeitable on the date of such termination and will continue to be exercisable and payable in accordance with the terms that apply under such arrangements other than any vesting requirements.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specific terms of the Executive Retention Agreement were approved by our Compensation Committee and ratified by our Board of Directors after consideration of a recommendation by Aon that the adoption of certain termination and change of control practices are consistent with the Company’s Peer Group. The specific severance benefits payable to our executive officers are set forth below under “Potential Payments upon Termination or Change of Control.”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the offer letter with Dr. Bhatt, he is entitled to receive six months of severance pay in connection with a restructuring of the Company that results in the elimination of his position.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Pension Benefits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NEOs did not participate in or have account balances in any qualified or nonqualified defined benefit plans sponsored by us. Our Board of Directors or Compensation Committee may elect to adopt qualified or nonqualified benefit plans in the future if it determines that doing so is in the best interest of our shareholders.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Deferred Compensation</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CEO participates in the Supernus Supplemental Executive Retirement Plan (SERP). The Supernus SERP was established for the sole purpose of receiving funds from a previous SERP and providing a continual deferral program under the Supernus SERP. The Company has not made, and has no plans to make, contributions to the SERP.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Grants of Plan-Based Awards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fiscal year ended December 31, 2022, each of our NEOs participated in our performance-based cash incentive plan and our equity award program in which each officer was eligible for the awards set forth in the following table. The following table also sets forth information regarding cash and equity awards granted to our NEOs during the year ended December 31, 2022.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40"/>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Grants of Plan-Based Awards</w:t>
      </w:r>
      <w:r>
        <w:rPr>
          <w:rFonts w:ascii="Times New Roman;Times;serif" w:hAnsi="Times New Roman;Times;serif"/>
          <w:b/>
          <w:i w:val="false"/>
          <w:caps w:val="false"/>
          <w:smallCaps w:val="false"/>
          <w:color w:val="000000"/>
          <w:spacing w:val="4"/>
          <w:sz w:val="20"/>
        </w:rPr>
        <w:t xml:space="preserve"> </w:t>
      </w:r>
    </w:p>
    <w:tbl>
      <w:tblPr>
        <w:tblW w:w="13639" w:type="dxa"/>
        <w:jc w:val="left"/>
        <w:tblInd w:w="543" w:type="dxa"/>
        <w:tblCellMar>
          <w:top w:w="0" w:type="dxa"/>
          <w:left w:w="0" w:type="dxa"/>
          <w:bottom w:w="28" w:type="dxa"/>
          <w:right w:w="0" w:type="dxa"/>
        </w:tblCellMar>
      </w:tblPr>
      <w:tblGrid>
        <w:gridCol w:w="1263"/>
        <w:gridCol w:w="109"/>
        <w:gridCol w:w="109"/>
        <w:gridCol w:w="109"/>
        <w:gridCol w:w="109"/>
        <w:gridCol w:w="631"/>
        <w:gridCol w:w="109"/>
        <w:gridCol w:w="109"/>
        <w:gridCol w:w="109"/>
        <w:gridCol w:w="168"/>
        <w:gridCol w:w="168"/>
        <w:gridCol w:w="535"/>
        <w:gridCol w:w="171"/>
        <w:gridCol w:w="109"/>
        <w:gridCol w:w="109"/>
        <w:gridCol w:w="109"/>
        <w:gridCol w:w="109"/>
        <w:gridCol w:w="886"/>
        <w:gridCol w:w="109"/>
        <w:gridCol w:w="109"/>
        <w:gridCol w:w="109"/>
        <w:gridCol w:w="109"/>
        <w:gridCol w:w="109"/>
        <w:gridCol w:w="886"/>
        <w:gridCol w:w="109"/>
        <w:gridCol w:w="109"/>
        <w:gridCol w:w="109"/>
        <w:gridCol w:w="168"/>
        <w:gridCol w:w="168"/>
        <w:gridCol w:w="535"/>
        <w:gridCol w:w="171"/>
        <w:gridCol w:w="109"/>
        <w:gridCol w:w="109"/>
        <w:gridCol w:w="109"/>
        <w:gridCol w:w="109"/>
        <w:gridCol w:w="886"/>
        <w:gridCol w:w="109"/>
        <w:gridCol w:w="109"/>
        <w:gridCol w:w="109"/>
        <w:gridCol w:w="109"/>
        <w:gridCol w:w="109"/>
        <w:gridCol w:w="886"/>
        <w:gridCol w:w="109"/>
        <w:gridCol w:w="109"/>
        <w:gridCol w:w="109"/>
        <w:gridCol w:w="109"/>
        <w:gridCol w:w="109"/>
        <w:gridCol w:w="646"/>
        <w:gridCol w:w="109"/>
        <w:gridCol w:w="109"/>
        <w:gridCol w:w="109"/>
        <w:gridCol w:w="109"/>
        <w:gridCol w:w="109"/>
        <w:gridCol w:w="1066"/>
        <w:gridCol w:w="109"/>
        <w:gridCol w:w="154"/>
      </w:tblGrid>
      <w:tr>
        <w:trPr/>
        <w:tc>
          <w:tcPr>
            <w:tcW w:w="1263"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jc w:val="right"/>
              <w:rPr/>
            </w:pPr>
            <w:r>
              <w:rPr/>
              <w:t>​</w:t>
            </w:r>
          </w:p>
        </w:tc>
        <w:tc>
          <w:tcPr>
            <w:tcW w:w="631" w:type="dxa"/>
            <w:tcBorders>
              <w:bottom w:val="single" w:sz="2" w:space="0" w:color="FFFFFF"/>
            </w:tcBorders>
            <w:shd w:fill="auto" w:val="cle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904" w:type="dxa"/>
            <w:gridSpan w:val="16"/>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Estimated Future </w:t>
              <w:br/>
              <w:t xml:space="preserve">Payouts Under </w:t>
              <w:br/>
              <w:t xml:space="preserve">Non-Equity Incentive </w:t>
              <w:br/>
              <w:t xml:space="preserve">Plan Awards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904" w:type="dxa"/>
            <w:gridSpan w:val="16"/>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Estimated Future </w:t>
              <w:br/>
              <w:t xml:space="preserve">Payouts Under </w:t>
              <w:br/>
              <w:t xml:space="preserve">Equity Incentive </w:t>
              <w:br/>
              <w:t xml:space="preserve">Plan Awards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973" w:type="dxa"/>
            <w:gridSpan w:val="4"/>
            <w:vMerge w:val="restart"/>
            <w:tcBorders>
              <w:bottom w:val="single" w:sz="2" w:space="0" w:color="000000"/>
            </w:tcBorders>
            <w:shd w:fill="auto" w:val="clear"/>
            <w:tcMar>
              <w:bottom w:w="43" w:type="dxa"/>
            </w:tcMar>
            <w:vAlign w:val="center"/>
          </w:tcPr>
          <w:p>
            <w:pPr>
              <w:pStyle w:val="TableContents"/>
              <w:spacing w:lineRule="atLeast" w:line="141" w:before="0" w:after="0"/>
              <w:jc w:val="center"/>
              <w:rPr/>
            </w:pPr>
            <w:r>
              <w:rPr>
                <w:spacing w:val="-3"/>
              </w:rPr>
              <w:t xml:space="preserve">Exercise </w:t>
              <w:br/>
              <w:t xml:space="preserve">or Base </w:t>
              <w:br/>
              <w:t xml:space="preserve">Price of </w:t>
              <w:br/>
              <w:t xml:space="preserve">Option </w:t>
              <w:br/>
              <w:t xml:space="preserve">Awards </w:t>
              <w:br/>
              <w:t>($/Sh)</w:t>
            </w:r>
            <w:r>
              <w:rPr>
                <w:spacing w:val="-2"/>
                <w:sz w:val="10"/>
              </w:rPr>
              <w:t>(2)</w:t>
            </w:r>
            <w:r>
              <w:rPr/>
              <w:t xml:space="preserve">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393" w:type="dxa"/>
            <w:gridSpan w:val="4"/>
            <w:vMerge w:val="restart"/>
            <w:tcBorders>
              <w:bottom w:val="single" w:sz="2" w:space="0" w:color="000000"/>
            </w:tcBorders>
            <w:shd w:fill="auto" w:val="clear"/>
            <w:tcMar>
              <w:bottom w:w="43" w:type="dxa"/>
            </w:tcMar>
            <w:vAlign w:val="center"/>
          </w:tcPr>
          <w:p>
            <w:pPr>
              <w:pStyle w:val="TableContents"/>
              <w:spacing w:lineRule="atLeast" w:line="141" w:before="0" w:after="0"/>
              <w:jc w:val="center"/>
              <w:rPr/>
            </w:pPr>
            <w:r>
              <w:rPr>
                <w:spacing w:val="-3"/>
              </w:rPr>
              <w:t xml:space="preserve">Grant </w:t>
              <w:br/>
              <w:t xml:space="preserve">Date </w:t>
              <w:br/>
              <w:t xml:space="preserve">Fair Value </w:t>
              <w:br/>
              <w:t xml:space="preserve">of Stock </w:t>
              <w:br/>
              <w:t xml:space="preserve">and Option </w:t>
              <w:br/>
              <w:t xml:space="preserve">Awards </w:t>
              <w:br/>
              <w:t>($)</w:t>
            </w:r>
            <w:r>
              <w:rPr>
                <w:spacing w:val="-2"/>
                <w:sz w:val="10"/>
              </w:rPr>
              <w:t>(3)</w:t>
            </w:r>
            <w:r>
              <w:rPr/>
              <w:t xml:space="preserve"> </w:t>
            </w:r>
          </w:p>
        </w:tc>
        <w:tc>
          <w:tcPr>
            <w:tcW w:w="154" w:type="dxa"/>
            <w:vMerge w:val="restart"/>
            <w:tcBorders>
              <w:bottom w:val="single" w:sz="2" w:space="0" w:color="FFFFFF"/>
            </w:tcBorders>
            <w:shd w:fill="auto" w:val="clear"/>
            <w:vAlign w:val="center"/>
          </w:tcPr>
          <w:p>
            <w:pPr>
              <w:pStyle w:val="TableContents"/>
              <w:spacing w:before="0" w:after="283"/>
              <w:rPr/>
            </w:pPr>
            <w:r>
              <w:rPr/>
              <w:t>​</w:t>
            </w:r>
          </w:p>
        </w:tc>
      </w:tr>
      <w:tr>
        <w:trPr/>
        <w:tc>
          <w:tcPr>
            <w:tcW w:w="1263" w:type="dxa"/>
            <w:tcBorders>
              <w:bottom w:val="single" w:sz="2" w:space="0" w:color="000000"/>
            </w:tcBorders>
            <w:shd w:fill="auto" w:val="clear"/>
            <w:tcMar>
              <w:bottom w:w="43" w:type="dxa"/>
            </w:tcM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58"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Grant Date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42"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Threshold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tcMar>
              <w:bottom w:w="43" w:type="dxa"/>
            </w:tcMar>
            <w:vAlign w:val="center"/>
          </w:tcPr>
          <w:p>
            <w:pPr>
              <w:pStyle w:val="TableContents"/>
              <w:spacing w:lineRule="atLeast" w:line="141" w:before="0" w:after="0"/>
              <w:jc w:val="center"/>
              <w:rPr/>
            </w:pPr>
            <w:r>
              <w:rPr>
                <w:spacing w:val="-3"/>
              </w:rPr>
              <w:t xml:space="preserve">Target </w:t>
              <w:br/>
              <w:t>($)</w:t>
            </w:r>
            <w:r>
              <w:rPr>
                <w:spacing w:val="-2"/>
                <w:sz w:val="10"/>
              </w:rPr>
              <w:t>(1)</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Maximum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42"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Threshold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Target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Maximum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continue"/>
            <w:tcBorders>
              <w:bottom w:val="single" w:sz="2" w:space="0" w:color="FFFFFF"/>
            </w:tcBorders>
            <w:shd w:fill="auto" w:val="clear"/>
            <w:vAlign w:val="center"/>
          </w:tcPr>
          <w:p>
            <w:pPr>
              <w:pStyle w:val="Normal"/>
              <w:rPr/>
            </w:pPr>
            <w:r>
              <w:rPr/>
            </w:r>
          </w:p>
        </w:tc>
        <w:tc>
          <w:tcPr>
            <w:tcW w:w="973" w:type="dxa"/>
            <w:gridSpan w:val="4"/>
            <w:vMerge w:val="continue"/>
            <w:tcBorders>
              <w:bottom w:val="single" w:sz="2" w:space="0" w:color="000000"/>
            </w:tcBorders>
            <w:shd w:fill="auto" w:val="clear"/>
            <w:tcMar>
              <w:bottom w:w="43" w:type="dxa"/>
            </w:tcM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393" w:type="dxa"/>
            <w:gridSpan w:val="4"/>
            <w:vMerge w:val="continue"/>
            <w:tcBorders>
              <w:bottom w:val="single" w:sz="2" w:space="0" w:color="000000"/>
            </w:tcBorders>
            <w:shd w:fill="auto" w:val="clear"/>
            <w:tcMar>
              <w:bottom w:w="43" w:type="dxa"/>
            </w:tcMar>
            <w:vAlign w:val="center"/>
          </w:tcPr>
          <w:p>
            <w:pPr>
              <w:pStyle w:val="Normal"/>
              <w:rPr/>
            </w:pPr>
            <w:r>
              <w:rPr/>
            </w:r>
          </w:p>
        </w:tc>
        <w:tc>
          <w:tcPr>
            <w:tcW w:w="154" w:type="dxa"/>
            <w:vMerge w:val="continue"/>
            <w:tcBorders>
              <w:bottom w:val="single" w:sz="2" w:space="0" w:color="FFFFFF"/>
            </w:tcBorders>
            <w:shd w:fill="auto" w:val="clear"/>
            <w:vAlign w:val="center"/>
          </w:tcPr>
          <w:p>
            <w:pPr>
              <w:pStyle w:val="Normal"/>
              <w:rPr/>
            </w:pPr>
            <w:r>
              <w:rPr/>
            </w:r>
          </w:p>
        </w:tc>
      </w:tr>
      <w:tr>
        <w:trPr/>
        <w:tc>
          <w:tcPr>
            <w:tcW w:w="1263" w:type="dxa"/>
            <w:vMerge w:val="restart"/>
            <w:tcBorders/>
            <w:shd w:fill="CCEEFF" w:val="clear"/>
            <w:tcMar>
              <w:bottom w:w="0" w:type="dxa"/>
            </w:tcMar>
            <w:vAlign w:val="center"/>
          </w:tcPr>
          <w:p>
            <w:pPr>
              <w:pStyle w:val="TableContents"/>
              <w:spacing w:lineRule="atLeast" w:line="240" w:before="0" w:after="0"/>
              <w:jc w:val="left"/>
              <w:rPr>
                <w:spacing w:val="4"/>
              </w:rPr>
            </w:pPr>
            <w:r>
              <w:rPr>
                <w:spacing w:val="4"/>
              </w:rPr>
              <w:t xml:space="preserve">Jack A. Khattar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631" w:type="dxa"/>
            <w:tcBorders/>
            <w:shd w:fill="CCEEFF" w:val="clear"/>
            <w:tcMar>
              <w:bottom w:w="0" w:type="dxa"/>
            </w:tcMar>
            <w:vAlign w:val="center"/>
          </w:tcPr>
          <w:p>
            <w:pPr>
              <w:pStyle w:val="TableContents"/>
              <w:spacing w:lineRule="atLeast" w:line="240" w:before="0" w:after="283"/>
              <w:jc w:val="right"/>
              <w:rPr/>
            </w:pPr>
            <w:r>
              <w:rPr/>
              <w:t>2/22/2022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lineRule="atLeast" w:line="240" w:before="0" w:after="283"/>
              <w:jc w:val="right"/>
              <w:rPr/>
            </w:pPr>
            <w:r>
              <w:rPr/>
              <w:t>​</w:t>
            </w:r>
          </w:p>
        </w:tc>
        <w:tc>
          <w:tcPr>
            <w:tcW w:w="535" w:type="dxa"/>
            <w:tcBorders/>
            <w:shd w:fill="CCEEFF" w:val="clear"/>
            <w:tcMar>
              <w:bottom w:w="0" w:type="dxa"/>
            </w:tcMar>
            <w:vAlign w:val="center"/>
          </w:tcPr>
          <w:p>
            <w:pPr>
              <w:pStyle w:val="TableContents"/>
              <w:spacing w:lineRule="atLeast" w:line="240"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685,125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685,125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lineRule="atLeast" w:line="240" w:before="0" w:after="283"/>
              <w:jc w:val="right"/>
              <w:rPr/>
            </w:pPr>
            <w:r>
              <w:rPr/>
              <w:t>​</w:t>
            </w:r>
          </w:p>
        </w:tc>
        <w:tc>
          <w:tcPr>
            <w:tcW w:w="535" w:type="dxa"/>
            <w:tcBorders/>
            <w:shd w:fill="CCEEFF" w:val="clear"/>
            <w:tcMar>
              <w:bottom w:w="0" w:type="dxa"/>
            </w:tcMar>
            <w:vAlign w:val="center"/>
          </w:tcPr>
          <w:p>
            <w:pPr>
              <w:pStyle w:val="TableContents"/>
              <w:spacing w:lineRule="atLeast" w:line="240"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250,000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250,000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646" w:type="dxa"/>
            <w:tcBorders/>
            <w:shd w:fill="CCEEFF" w:val="clear"/>
            <w:tcMar>
              <w:bottom w:w="0" w:type="dxa"/>
            </w:tcMar>
            <w:vAlign w:val="center"/>
          </w:tcPr>
          <w:p>
            <w:pPr>
              <w:pStyle w:val="TableContents"/>
              <w:spacing w:lineRule="atLeast" w:line="240" w:before="0" w:after="283"/>
              <w:jc w:val="right"/>
              <w:rPr/>
            </w:pPr>
            <w:r>
              <w:rPr/>
              <w:t>32.20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1066" w:type="dxa"/>
            <w:tcBorders/>
            <w:shd w:fill="CCEEFF" w:val="clear"/>
            <w:tcMar>
              <w:bottom w:w="0" w:type="dxa"/>
            </w:tcMar>
            <w:vAlign w:val="center"/>
          </w:tcPr>
          <w:p>
            <w:pPr>
              <w:pStyle w:val="TableContents"/>
              <w:spacing w:lineRule="atLeast" w:line="240" w:before="0" w:after="283"/>
              <w:jc w:val="right"/>
              <w:rPr/>
            </w:pPr>
            <w:r>
              <w:rPr/>
              <w:t>4,767,500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6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31" w:type="dxa"/>
            <w:tcBorders/>
            <w:shd w:fill="CCEEFF" w:val="clear"/>
            <w:tcMar>
              <w:bottom w:w="0" w:type="dxa"/>
            </w:tcMar>
            <w:vAlign w:val="center"/>
          </w:tcPr>
          <w:p>
            <w:pPr>
              <w:pStyle w:val="TableContents"/>
              <w:spacing w:before="0" w:after="283"/>
              <w:jc w:val="right"/>
              <w:rPr/>
            </w:pPr>
            <w:r>
              <w:rPr/>
              <w:t>5/3/2022</w:t>
            </w:r>
            <w:r>
              <w:rPr>
                <w:sz w:val="13"/>
              </w:rPr>
              <w:t>(4)</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125,000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125,000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3,616,250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63" w:type="dxa"/>
            <w:vMerge w:val="restart"/>
            <w:tcBorders/>
            <w:shd w:fill="auto" w:val="clear"/>
            <w:tcMar>
              <w:bottom w:w="0" w:type="dxa"/>
            </w:tcMar>
            <w:vAlign w:val="center"/>
          </w:tcPr>
          <w:p>
            <w:pPr>
              <w:pStyle w:val="TableContents"/>
              <w:spacing w:lineRule="atLeast" w:line="240" w:before="0" w:after="0"/>
              <w:jc w:val="left"/>
              <w:rPr>
                <w:spacing w:val="4"/>
              </w:rPr>
            </w:pPr>
            <w:r>
              <w:rPr>
                <w:spacing w:val="4"/>
              </w:rPr>
              <w:t xml:space="preserve">Timothy C. Dec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631" w:type="dxa"/>
            <w:tcBorders/>
            <w:shd w:fill="auto" w:val="clear"/>
            <w:tcMar>
              <w:bottom w:w="0" w:type="dxa"/>
            </w:tcMar>
            <w:vAlign w:val="center"/>
          </w:tcPr>
          <w:p>
            <w:pPr>
              <w:pStyle w:val="TableContents"/>
              <w:spacing w:lineRule="atLeast" w:line="240" w:before="0" w:after="283"/>
              <w:jc w:val="right"/>
              <w:rPr/>
            </w:pPr>
            <w:r>
              <w:rPr/>
              <w:t>2/22/2022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lineRule="atLeast" w:line="240" w:before="0" w:after="283"/>
              <w:jc w:val="right"/>
              <w:rPr/>
            </w:pPr>
            <w:r>
              <w:rPr/>
              <w:t>​</w:t>
            </w:r>
          </w:p>
        </w:tc>
        <w:tc>
          <w:tcPr>
            <w:tcW w:w="535" w:type="dxa"/>
            <w:tcBorders/>
            <w:shd w:fill="auto" w:val="clear"/>
            <w:tcMar>
              <w:bottom w:w="0" w:type="dxa"/>
            </w:tcMar>
            <w:vAlign w:val="center"/>
          </w:tcPr>
          <w:p>
            <w:pPr>
              <w:pStyle w:val="TableContents"/>
              <w:spacing w:lineRule="atLeast" w:line="240" w:before="0" w:after="283"/>
              <w:jc w:val="right"/>
              <w:rPr/>
            </w:pPr>
            <w:r>
              <w:rPr/>
              <w:t>—</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886" w:type="dxa"/>
            <w:tcBorders/>
            <w:shd w:fill="auto" w:val="clear"/>
            <w:tcMar>
              <w:bottom w:w="0" w:type="dxa"/>
            </w:tcMar>
            <w:vAlign w:val="center"/>
          </w:tcPr>
          <w:p>
            <w:pPr>
              <w:pStyle w:val="TableContents"/>
              <w:spacing w:lineRule="atLeast" w:line="240" w:before="0" w:after="283"/>
              <w:jc w:val="right"/>
              <w:rPr/>
            </w:pPr>
            <w:r>
              <w:rPr/>
              <w:t>185,625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886" w:type="dxa"/>
            <w:tcBorders/>
            <w:shd w:fill="auto" w:val="clear"/>
            <w:tcMar>
              <w:bottom w:w="0" w:type="dxa"/>
            </w:tcMar>
            <w:vAlign w:val="center"/>
          </w:tcPr>
          <w:p>
            <w:pPr>
              <w:pStyle w:val="TableContents"/>
              <w:spacing w:lineRule="atLeast" w:line="240" w:before="0" w:after="283"/>
              <w:jc w:val="right"/>
              <w:rPr/>
            </w:pPr>
            <w:r>
              <w:rPr/>
              <w:t>185,625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lineRule="atLeast" w:line="240" w:before="0" w:after="283"/>
              <w:jc w:val="right"/>
              <w:rPr/>
            </w:pPr>
            <w:r>
              <w:rPr/>
              <w:t>​</w:t>
            </w:r>
          </w:p>
        </w:tc>
        <w:tc>
          <w:tcPr>
            <w:tcW w:w="535" w:type="dxa"/>
            <w:tcBorders/>
            <w:shd w:fill="auto" w:val="clear"/>
            <w:tcMar>
              <w:bottom w:w="0" w:type="dxa"/>
            </w:tcMar>
            <w:vAlign w:val="center"/>
          </w:tcPr>
          <w:p>
            <w:pPr>
              <w:pStyle w:val="TableContents"/>
              <w:spacing w:lineRule="atLeast" w:line="240" w:before="0" w:after="283"/>
              <w:jc w:val="right"/>
              <w:rPr/>
            </w:pPr>
            <w:r>
              <w:rPr/>
              <w:t>—</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886" w:type="dxa"/>
            <w:tcBorders/>
            <w:shd w:fill="auto" w:val="clear"/>
            <w:tcMar>
              <w:bottom w:w="0" w:type="dxa"/>
            </w:tcMar>
            <w:vAlign w:val="center"/>
          </w:tcPr>
          <w:p>
            <w:pPr>
              <w:pStyle w:val="TableContents"/>
              <w:spacing w:lineRule="atLeast" w:line="240" w:before="0" w:after="283"/>
              <w:jc w:val="right"/>
              <w:rPr/>
            </w:pPr>
            <w:r>
              <w:rPr/>
              <w:t>2,000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886" w:type="dxa"/>
            <w:tcBorders/>
            <w:shd w:fill="auto" w:val="clear"/>
            <w:tcMar>
              <w:bottom w:w="0" w:type="dxa"/>
            </w:tcMar>
            <w:vAlign w:val="center"/>
          </w:tcPr>
          <w:p>
            <w:pPr>
              <w:pStyle w:val="TableContents"/>
              <w:spacing w:lineRule="atLeast" w:line="240" w:before="0" w:after="283"/>
              <w:jc w:val="right"/>
              <w:rPr/>
            </w:pPr>
            <w:r>
              <w:rPr/>
              <w:t>2,000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646" w:type="dxa"/>
            <w:tcBorders/>
            <w:shd w:fill="auto" w:val="clear"/>
            <w:tcMar>
              <w:bottom w:w="0" w:type="dxa"/>
            </w:tcMar>
            <w:vAlign w:val="center"/>
          </w:tcPr>
          <w:p>
            <w:pPr>
              <w:pStyle w:val="TableContents"/>
              <w:spacing w:lineRule="atLeast" w:line="24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1066" w:type="dxa"/>
            <w:tcBorders/>
            <w:shd w:fill="auto" w:val="clear"/>
            <w:tcMar>
              <w:bottom w:w="0" w:type="dxa"/>
            </w:tcMar>
            <w:vAlign w:val="center"/>
          </w:tcPr>
          <w:p>
            <w:pPr>
              <w:pStyle w:val="TableContents"/>
              <w:spacing w:lineRule="atLeast" w:line="240" w:before="0" w:after="283"/>
              <w:jc w:val="right"/>
              <w:rPr/>
            </w:pPr>
            <w:r>
              <w:rPr/>
              <w:t>64,400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63"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31" w:type="dxa"/>
            <w:tcBorders/>
            <w:shd w:fill="auto" w:val="clear"/>
            <w:tcMar>
              <w:bottom w:w="0" w:type="dxa"/>
            </w:tcMar>
            <w:vAlign w:val="center"/>
          </w:tcPr>
          <w:p>
            <w:pPr>
              <w:pStyle w:val="TableContents"/>
              <w:spacing w:before="0" w:after="283"/>
              <w:jc w:val="right"/>
              <w:rPr/>
            </w:pPr>
            <w:r>
              <w:rPr/>
              <w:t>2/22/2022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jc w:val="right"/>
              <w:rPr/>
            </w:pPr>
            <w:r>
              <w:rPr/>
              <w:t>​</w:t>
            </w:r>
          </w:p>
        </w:tc>
        <w:tc>
          <w:tcPr>
            <w:tcW w:w="535" w:type="dxa"/>
            <w:tcBorders/>
            <w:shd w:fill="auto" w:val="clear"/>
            <w:tcMar>
              <w:bottom w:w="0" w:type="dxa"/>
            </w:tcMar>
            <w:vAlign w:val="center"/>
          </w:tcPr>
          <w:p>
            <w:pPr>
              <w:pStyle w:val="TableContents"/>
              <w:spacing w:before="0" w:after="283"/>
              <w:jc w:val="right"/>
              <w:rPr/>
            </w:pPr>
            <w:r>
              <w:rPr/>
              <w:t>—</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jc w:val="right"/>
              <w:rPr/>
            </w:pPr>
            <w:r>
              <w:rPr/>
              <w:t>​</w:t>
            </w:r>
          </w:p>
        </w:tc>
        <w:tc>
          <w:tcPr>
            <w:tcW w:w="535" w:type="dxa"/>
            <w:tcBorders/>
            <w:shd w:fill="auto" w:val="clear"/>
            <w:tcMar>
              <w:bottom w:w="0" w:type="dxa"/>
            </w:tcMar>
            <w:vAlign w:val="center"/>
          </w:tcPr>
          <w:p>
            <w:pPr>
              <w:pStyle w:val="TableContents"/>
              <w:spacing w:before="0" w:after="283"/>
              <w:jc w:val="right"/>
              <w:rPr/>
            </w:pPr>
            <w:r>
              <w:rPr/>
              <w:t>—</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25,000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25,000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32.20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476,750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63"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31" w:type="dxa"/>
            <w:tcBorders/>
            <w:shd w:fill="auto" w:val="clear"/>
            <w:tcMar>
              <w:bottom w:w="0" w:type="dxa"/>
            </w:tcMar>
            <w:vAlign w:val="center"/>
          </w:tcPr>
          <w:p>
            <w:pPr>
              <w:pStyle w:val="TableContents"/>
              <w:spacing w:before="0" w:after="283"/>
              <w:jc w:val="right"/>
              <w:rPr/>
            </w:pPr>
            <w:r>
              <w:rPr/>
              <w:t>5/3/2022</w:t>
            </w:r>
            <w:r>
              <w:rPr>
                <w:sz w:val="13"/>
              </w:rPr>
              <w:t>(4)</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jc w:val="right"/>
              <w:rPr/>
            </w:pPr>
            <w:r>
              <w:rPr/>
              <w:t>​</w:t>
            </w:r>
          </w:p>
        </w:tc>
        <w:tc>
          <w:tcPr>
            <w:tcW w:w="535" w:type="dxa"/>
            <w:tcBorders/>
            <w:shd w:fill="auto" w:val="clear"/>
            <w:tcMar>
              <w:bottom w:w="0" w:type="dxa"/>
            </w:tcMar>
            <w:vAlign w:val="center"/>
          </w:tcPr>
          <w:p>
            <w:pPr>
              <w:pStyle w:val="TableContents"/>
              <w:spacing w:before="0" w:after="283"/>
              <w:jc w:val="right"/>
              <w:rPr/>
            </w:pPr>
            <w:r>
              <w:rPr/>
              <w:t>—</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jc w:val="right"/>
              <w:rPr/>
            </w:pPr>
            <w:r>
              <w:rPr/>
              <w:t>​</w:t>
            </w:r>
          </w:p>
        </w:tc>
        <w:tc>
          <w:tcPr>
            <w:tcW w:w="535" w:type="dxa"/>
            <w:tcBorders/>
            <w:shd w:fill="auto" w:val="clear"/>
            <w:tcMar>
              <w:bottom w:w="0" w:type="dxa"/>
            </w:tcMar>
            <w:vAlign w:val="center"/>
          </w:tcPr>
          <w:p>
            <w:pPr>
              <w:pStyle w:val="TableContents"/>
              <w:spacing w:before="0" w:after="283"/>
              <w:jc w:val="right"/>
              <w:rPr/>
            </w:pPr>
            <w:r>
              <w:rPr/>
              <w:t>—</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86,790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63" w:type="dxa"/>
            <w:vMerge w:val="restart"/>
            <w:tcBorders/>
            <w:shd w:fill="CCEEFF" w:val="clear"/>
            <w:tcMar>
              <w:bottom w:w="0" w:type="dxa"/>
            </w:tcMar>
            <w:vAlign w:val="center"/>
          </w:tcPr>
          <w:p>
            <w:pPr>
              <w:pStyle w:val="TableContents"/>
              <w:spacing w:lineRule="atLeast" w:line="240" w:before="0" w:after="0"/>
              <w:jc w:val="left"/>
              <w:rPr>
                <w:spacing w:val="4"/>
              </w:rPr>
            </w:pPr>
            <w:r>
              <w:rPr>
                <w:spacing w:val="4"/>
              </w:rPr>
              <w:t xml:space="preserve">Jonathan Rubin, MD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631" w:type="dxa"/>
            <w:tcBorders/>
            <w:shd w:fill="CCEEFF" w:val="clear"/>
            <w:tcMar>
              <w:bottom w:w="0" w:type="dxa"/>
            </w:tcMar>
            <w:vAlign w:val="center"/>
          </w:tcPr>
          <w:p>
            <w:pPr>
              <w:pStyle w:val="TableContents"/>
              <w:spacing w:lineRule="atLeast" w:line="240" w:before="0" w:after="283"/>
              <w:jc w:val="right"/>
              <w:rPr/>
            </w:pPr>
            <w:r>
              <w:rPr/>
              <w:t>2/22/2022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lineRule="atLeast" w:line="240" w:before="0" w:after="283"/>
              <w:jc w:val="right"/>
              <w:rPr/>
            </w:pPr>
            <w:r>
              <w:rPr/>
              <w:t>​</w:t>
            </w:r>
          </w:p>
        </w:tc>
        <w:tc>
          <w:tcPr>
            <w:tcW w:w="535" w:type="dxa"/>
            <w:tcBorders/>
            <w:shd w:fill="CCEEFF" w:val="clear"/>
            <w:tcMar>
              <w:bottom w:w="0" w:type="dxa"/>
            </w:tcMar>
            <w:vAlign w:val="center"/>
          </w:tcPr>
          <w:p>
            <w:pPr>
              <w:pStyle w:val="TableContents"/>
              <w:spacing w:lineRule="atLeast" w:line="240"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164,800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164,800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lineRule="atLeast" w:line="240" w:before="0" w:after="283"/>
              <w:jc w:val="right"/>
              <w:rPr/>
            </w:pPr>
            <w:r>
              <w:rPr/>
              <w:t>​</w:t>
            </w:r>
          </w:p>
        </w:tc>
        <w:tc>
          <w:tcPr>
            <w:tcW w:w="535" w:type="dxa"/>
            <w:tcBorders/>
            <w:shd w:fill="CCEEFF" w:val="clear"/>
            <w:tcMar>
              <w:bottom w:w="0" w:type="dxa"/>
            </w:tcMar>
            <w:vAlign w:val="center"/>
          </w:tcPr>
          <w:p>
            <w:pPr>
              <w:pStyle w:val="TableContents"/>
              <w:spacing w:lineRule="atLeast" w:line="240"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3,000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3,000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646" w:type="dxa"/>
            <w:tcBorders/>
            <w:shd w:fill="CCEEFF" w:val="clear"/>
            <w:tcMar>
              <w:bottom w:w="0" w:type="dxa"/>
            </w:tcMar>
            <w:vAlign w:val="center"/>
          </w:tcPr>
          <w:p>
            <w:pPr>
              <w:pStyle w:val="TableContents"/>
              <w:spacing w:lineRule="atLeast" w:line="240"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1066" w:type="dxa"/>
            <w:tcBorders/>
            <w:shd w:fill="CCEEFF" w:val="clear"/>
            <w:tcMar>
              <w:bottom w:w="0" w:type="dxa"/>
            </w:tcMar>
            <w:vAlign w:val="center"/>
          </w:tcPr>
          <w:p>
            <w:pPr>
              <w:pStyle w:val="TableContents"/>
              <w:spacing w:lineRule="atLeast" w:line="240" w:before="0" w:after="283"/>
              <w:jc w:val="right"/>
              <w:rPr/>
            </w:pPr>
            <w:r>
              <w:rPr/>
              <w:t>96,600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6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31" w:type="dxa"/>
            <w:tcBorders/>
            <w:shd w:fill="CCEEFF" w:val="clear"/>
            <w:tcMar>
              <w:bottom w:w="0" w:type="dxa"/>
            </w:tcMar>
            <w:vAlign w:val="center"/>
          </w:tcPr>
          <w:p>
            <w:pPr>
              <w:pStyle w:val="TableContents"/>
              <w:spacing w:before="0" w:after="283"/>
              <w:jc w:val="right"/>
              <w:rPr/>
            </w:pPr>
            <w:r>
              <w:rPr/>
              <w:t>2/22/2022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25,000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25,000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32.20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476,750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6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31" w:type="dxa"/>
            <w:tcBorders/>
            <w:shd w:fill="CCEEFF" w:val="clear"/>
            <w:tcMar>
              <w:bottom w:w="0" w:type="dxa"/>
            </w:tcMar>
            <w:vAlign w:val="center"/>
          </w:tcPr>
          <w:p>
            <w:pPr>
              <w:pStyle w:val="TableContents"/>
              <w:spacing w:before="0" w:after="283"/>
              <w:jc w:val="right"/>
              <w:rPr/>
            </w:pPr>
            <w:r>
              <w:rPr/>
              <w:t>5/3/2022</w:t>
            </w:r>
            <w:r>
              <w:rPr>
                <w:sz w:val="13"/>
              </w:rPr>
              <w:t>(4)</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86,790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63" w:type="dxa"/>
            <w:vMerge w:val="restart"/>
            <w:tcBorders/>
            <w:shd w:fill="auto" w:val="clear"/>
            <w:tcMar>
              <w:bottom w:w="0" w:type="dxa"/>
            </w:tcMar>
            <w:vAlign w:val="center"/>
          </w:tcPr>
          <w:p>
            <w:pPr>
              <w:pStyle w:val="TableContents"/>
              <w:spacing w:lineRule="atLeast" w:line="240" w:before="0" w:after="0"/>
              <w:jc w:val="left"/>
              <w:rPr>
                <w:spacing w:val="4"/>
              </w:rPr>
            </w:pPr>
            <w:r>
              <w:rPr>
                <w:spacing w:val="4"/>
              </w:rPr>
              <w:t xml:space="preserve">Padmanabh P. Bhatt, Ph.D.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631" w:type="dxa"/>
            <w:tcBorders/>
            <w:shd w:fill="auto" w:val="clear"/>
            <w:tcMar>
              <w:bottom w:w="0" w:type="dxa"/>
            </w:tcMar>
            <w:vAlign w:val="center"/>
          </w:tcPr>
          <w:p>
            <w:pPr>
              <w:pStyle w:val="TableContents"/>
              <w:spacing w:lineRule="atLeast" w:line="240" w:before="0" w:after="283"/>
              <w:jc w:val="right"/>
              <w:rPr/>
            </w:pPr>
            <w:r>
              <w:rPr/>
              <w:t>2/22/2022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lineRule="atLeast" w:line="240" w:before="0" w:after="283"/>
              <w:jc w:val="right"/>
              <w:rPr/>
            </w:pPr>
            <w:r>
              <w:rPr/>
              <w:t>​</w:t>
            </w:r>
          </w:p>
        </w:tc>
        <w:tc>
          <w:tcPr>
            <w:tcW w:w="535" w:type="dxa"/>
            <w:tcBorders/>
            <w:shd w:fill="auto" w:val="clear"/>
            <w:tcMar>
              <w:bottom w:w="0" w:type="dxa"/>
            </w:tcMar>
            <w:vAlign w:val="center"/>
          </w:tcPr>
          <w:p>
            <w:pPr>
              <w:pStyle w:val="TableContents"/>
              <w:spacing w:lineRule="atLeast" w:line="240" w:before="0" w:after="283"/>
              <w:jc w:val="right"/>
              <w:rPr/>
            </w:pPr>
            <w:r>
              <w:rPr/>
              <w:t>—</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886" w:type="dxa"/>
            <w:tcBorders/>
            <w:shd w:fill="auto" w:val="clear"/>
            <w:tcMar>
              <w:bottom w:w="0" w:type="dxa"/>
            </w:tcMar>
            <w:vAlign w:val="center"/>
          </w:tcPr>
          <w:p>
            <w:pPr>
              <w:pStyle w:val="TableContents"/>
              <w:spacing w:lineRule="atLeast" w:line="240" w:before="0" w:after="283"/>
              <w:jc w:val="right"/>
              <w:rPr/>
            </w:pPr>
            <w:r>
              <w:rPr/>
              <w:t>145,320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886" w:type="dxa"/>
            <w:tcBorders/>
            <w:shd w:fill="auto" w:val="clear"/>
            <w:tcMar>
              <w:bottom w:w="0" w:type="dxa"/>
            </w:tcMar>
            <w:vAlign w:val="center"/>
          </w:tcPr>
          <w:p>
            <w:pPr>
              <w:pStyle w:val="TableContents"/>
              <w:spacing w:lineRule="atLeast" w:line="240" w:before="0" w:after="283"/>
              <w:jc w:val="right"/>
              <w:rPr/>
            </w:pPr>
            <w:r>
              <w:rPr/>
              <w:t>145,320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lineRule="atLeast" w:line="240" w:before="0" w:after="283"/>
              <w:jc w:val="right"/>
              <w:rPr/>
            </w:pPr>
            <w:r>
              <w:rPr/>
              <w:t>​</w:t>
            </w:r>
          </w:p>
        </w:tc>
        <w:tc>
          <w:tcPr>
            <w:tcW w:w="535" w:type="dxa"/>
            <w:tcBorders/>
            <w:shd w:fill="auto" w:val="clear"/>
            <w:tcMar>
              <w:bottom w:w="0" w:type="dxa"/>
            </w:tcMar>
            <w:vAlign w:val="center"/>
          </w:tcPr>
          <w:p>
            <w:pPr>
              <w:pStyle w:val="TableContents"/>
              <w:spacing w:lineRule="atLeast" w:line="240" w:before="0" w:after="283"/>
              <w:jc w:val="right"/>
              <w:rPr/>
            </w:pPr>
            <w:r>
              <w:rPr/>
              <w:t>—</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886" w:type="dxa"/>
            <w:tcBorders/>
            <w:shd w:fill="auto" w:val="clear"/>
            <w:tcMar>
              <w:bottom w:w="0" w:type="dxa"/>
            </w:tcMar>
            <w:vAlign w:val="center"/>
          </w:tcPr>
          <w:p>
            <w:pPr>
              <w:pStyle w:val="TableContents"/>
              <w:spacing w:lineRule="atLeast" w:line="240" w:before="0" w:after="283"/>
              <w:jc w:val="right"/>
              <w:rPr/>
            </w:pPr>
            <w:r>
              <w:rPr/>
              <w:t>3,000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886" w:type="dxa"/>
            <w:tcBorders/>
            <w:shd w:fill="auto" w:val="clear"/>
            <w:tcMar>
              <w:bottom w:w="0" w:type="dxa"/>
            </w:tcMar>
            <w:vAlign w:val="center"/>
          </w:tcPr>
          <w:p>
            <w:pPr>
              <w:pStyle w:val="TableContents"/>
              <w:spacing w:lineRule="atLeast" w:line="240" w:before="0" w:after="283"/>
              <w:jc w:val="right"/>
              <w:rPr/>
            </w:pPr>
            <w:r>
              <w:rPr/>
              <w:t>3,000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646" w:type="dxa"/>
            <w:tcBorders/>
            <w:shd w:fill="auto" w:val="clear"/>
            <w:tcMar>
              <w:bottom w:w="0" w:type="dxa"/>
            </w:tcMar>
            <w:vAlign w:val="center"/>
          </w:tcPr>
          <w:p>
            <w:pPr>
              <w:pStyle w:val="TableContents"/>
              <w:spacing w:lineRule="atLeast" w:line="24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1066" w:type="dxa"/>
            <w:tcBorders/>
            <w:shd w:fill="auto" w:val="clear"/>
            <w:tcMar>
              <w:bottom w:w="0" w:type="dxa"/>
            </w:tcMar>
            <w:vAlign w:val="center"/>
          </w:tcPr>
          <w:p>
            <w:pPr>
              <w:pStyle w:val="TableContents"/>
              <w:spacing w:lineRule="atLeast" w:line="240" w:before="0" w:after="283"/>
              <w:jc w:val="right"/>
              <w:rPr/>
            </w:pPr>
            <w:r>
              <w:rPr/>
              <w:t>96,600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63"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31" w:type="dxa"/>
            <w:tcBorders/>
            <w:shd w:fill="auto" w:val="clear"/>
            <w:tcMar>
              <w:bottom w:w="0" w:type="dxa"/>
            </w:tcMar>
            <w:vAlign w:val="center"/>
          </w:tcPr>
          <w:p>
            <w:pPr>
              <w:pStyle w:val="TableContents"/>
              <w:spacing w:before="0" w:after="283"/>
              <w:jc w:val="right"/>
              <w:rPr/>
            </w:pPr>
            <w:r>
              <w:rPr/>
              <w:t>2/22/2022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jc w:val="right"/>
              <w:rPr/>
            </w:pPr>
            <w:r>
              <w:rPr/>
              <w:t>​</w:t>
            </w:r>
          </w:p>
        </w:tc>
        <w:tc>
          <w:tcPr>
            <w:tcW w:w="535" w:type="dxa"/>
            <w:tcBorders/>
            <w:shd w:fill="auto" w:val="clear"/>
            <w:tcMar>
              <w:bottom w:w="0" w:type="dxa"/>
            </w:tcMar>
            <w:vAlign w:val="center"/>
          </w:tcPr>
          <w:p>
            <w:pPr>
              <w:pStyle w:val="TableContents"/>
              <w:spacing w:before="0" w:after="283"/>
              <w:jc w:val="right"/>
              <w:rPr/>
            </w:pPr>
            <w:r>
              <w:rPr/>
              <w:t>—</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jc w:val="right"/>
              <w:rPr/>
            </w:pPr>
            <w:r>
              <w:rPr/>
              <w:t>​</w:t>
            </w:r>
          </w:p>
        </w:tc>
        <w:tc>
          <w:tcPr>
            <w:tcW w:w="535" w:type="dxa"/>
            <w:tcBorders/>
            <w:shd w:fill="auto" w:val="clear"/>
            <w:tcMar>
              <w:bottom w:w="0" w:type="dxa"/>
            </w:tcMar>
            <w:vAlign w:val="center"/>
          </w:tcPr>
          <w:p>
            <w:pPr>
              <w:pStyle w:val="TableContents"/>
              <w:spacing w:before="0" w:after="283"/>
              <w:jc w:val="right"/>
              <w:rPr/>
            </w:pPr>
            <w:r>
              <w:rPr/>
              <w:t>—</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18,000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18,000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32.20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343,260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63"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31" w:type="dxa"/>
            <w:tcBorders/>
            <w:shd w:fill="auto" w:val="clear"/>
            <w:tcMar>
              <w:bottom w:w="0" w:type="dxa"/>
            </w:tcMar>
            <w:vAlign w:val="center"/>
          </w:tcPr>
          <w:p>
            <w:pPr>
              <w:pStyle w:val="TableContents"/>
              <w:spacing w:before="0" w:after="283"/>
              <w:jc w:val="right"/>
              <w:rPr/>
            </w:pPr>
            <w:r>
              <w:rPr/>
              <w:t>5/3/2022</w:t>
            </w:r>
            <w:r>
              <w:rPr>
                <w:sz w:val="13"/>
              </w:rPr>
              <w:t>(4)</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jc w:val="right"/>
              <w:rPr/>
            </w:pPr>
            <w:r>
              <w:rPr/>
              <w:t>​</w:t>
            </w:r>
          </w:p>
        </w:tc>
        <w:tc>
          <w:tcPr>
            <w:tcW w:w="535" w:type="dxa"/>
            <w:tcBorders/>
            <w:shd w:fill="auto" w:val="clear"/>
            <w:tcMar>
              <w:bottom w:w="0" w:type="dxa"/>
            </w:tcMar>
            <w:vAlign w:val="center"/>
          </w:tcPr>
          <w:p>
            <w:pPr>
              <w:pStyle w:val="TableContents"/>
              <w:spacing w:before="0" w:after="283"/>
              <w:jc w:val="right"/>
              <w:rPr/>
            </w:pPr>
            <w:r>
              <w:rPr/>
              <w:t>—</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jc w:val="right"/>
              <w:rPr/>
            </w:pPr>
            <w:r>
              <w:rPr/>
              <w:t>​</w:t>
            </w:r>
          </w:p>
        </w:tc>
        <w:tc>
          <w:tcPr>
            <w:tcW w:w="535" w:type="dxa"/>
            <w:tcBorders/>
            <w:shd w:fill="auto" w:val="clear"/>
            <w:tcMar>
              <w:bottom w:w="0" w:type="dxa"/>
            </w:tcMar>
            <w:vAlign w:val="center"/>
          </w:tcPr>
          <w:p>
            <w:pPr>
              <w:pStyle w:val="TableContents"/>
              <w:spacing w:before="0" w:after="283"/>
              <w:jc w:val="right"/>
              <w:rPr/>
            </w:pPr>
            <w:r>
              <w:rPr/>
              <w:t>—</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86,790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63" w:type="dxa"/>
            <w:vMerge w:val="restart"/>
            <w:tcBorders/>
            <w:shd w:fill="CCEEFF" w:val="clear"/>
            <w:tcMar>
              <w:bottom w:w="0" w:type="dxa"/>
            </w:tcMar>
            <w:vAlign w:val="center"/>
          </w:tcPr>
          <w:p>
            <w:pPr>
              <w:pStyle w:val="TableContents"/>
              <w:spacing w:lineRule="atLeast" w:line="240" w:before="0" w:after="0"/>
              <w:jc w:val="left"/>
              <w:rPr>
                <w:spacing w:val="4"/>
              </w:rPr>
            </w:pPr>
            <w:r>
              <w:rPr>
                <w:spacing w:val="4"/>
              </w:rPr>
              <w:t xml:space="preserve">Frank Mottola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631" w:type="dxa"/>
            <w:tcBorders/>
            <w:shd w:fill="CCEEFF" w:val="clear"/>
            <w:tcMar>
              <w:bottom w:w="0" w:type="dxa"/>
            </w:tcMar>
            <w:vAlign w:val="center"/>
          </w:tcPr>
          <w:p>
            <w:pPr>
              <w:pStyle w:val="TableContents"/>
              <w:spacing w:lineRule="atLeast" w:line="240" w:before="0" w:after="283"/>
              <w:jc w:val="right"/>
              <w:rPr/>
            </w:pPr>
            <w:r>
              <w:rPr/>
              <w:t>2/22/2022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lineRule="atLeast" w:line="240" w:before="0" w:after="283"/>
              <w:jc w:val="right"/>
              <w:rPr/>
            </w:pPr>
            <w:r>
              <w:rPr/>
              <w:t>​</w:t>
            </w:r>
          </w:p>
        </w:tc>
        <w:tc>
          <w:tcPr>
            <w:tcW w:w="535" w:type="dxa"/>
            <w:tcBorders/>
            <w:shd w:fill="CCEEFF" w:val="clear"/>
            <w:tcMar>
              <w:bottom w:w="0" w:type="dxa"/>
            </w:tcMar>
            <w:vAlign w:val="center"/>
          </w:tcPr>
          <w:p>
            <w:pPr>
              <w:pStyle w:val="TableContents"/>
              <w:spacing w:lineRule="atLeast" w:line="240"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119,840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119,840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lineRule="atLeast" w:line="240" w:before="0" w:after="283"/>
              <w:jc w:val="right"/>
              <w:rPr/>
            </w:pPr>
            <w:r>
              <w:rPr/>
              <w:t>​</w:t>
            </w:r>
          </w:p>
        </w:tc>
        <w:tc>
          <w:tcPr>
            <w:tcW w:w="535" w:type="dxa"/>
            <w:tcBorders/>
            <w:shd w:fill="CCEEFF" w:val="clear"/>
            <w:tcMar>
              <w:bottom w:w="0" w:type="dxa"/>
            </w:tcMar>
            <w:vAlign w:val="center"/>
          </w:tcPr>
          <w:p>
            <w:pPr>
              <w:pStyle w:val="TableContents"/>
              <w:spacing w:lineRule="atLeast" w:line="240"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3,000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3,000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646" w:type="dxa"/>
            <w:tcBorders/>
            <w:shd w:fill="CCEEFF" w:val="clear"/>
            <w:tcMar>
              <w:bottom w:w="0" w:type="dxa"/>
            </w:tcMar>
            <w:vAlign w:val="center"/>
          </w:tcPr>
          <w:p>
            <w:pPr>
              <w:pStyle w:val="TableContents"/>
              <w:spacing w:lineRule="atLeast" w:line="240"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1066" w:type="dxa"/>
            <w:tcBorders/>
            <w:shd w:fill="CCEEFF" w:val="clear"/>
            <w:tcMar>
              <w:bottom w:w="0" w:type="dxa"/>
            </w:tcMar>
            <w:vAlign w:val="center"/>
          </w:tcPr>
          <w:p>
            <w:pPr>
              <w:pStyle w:val="TableContents"/>
              <w:spacing w:lineRule="atLeast" w:line="240" w:before="0" w:after="283"/>
              <w:jc w:val="right"/>
              <w:rPr/>
            </w:pPr>
            <w:r>
              <w:rPr/>
              <w:t>96,600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6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31" w:type="dxa"/>
            <w:tcBorders/>
            <w:shd w:fill="CCEEFF" w:val="clear"/>
            <w:tcMar>
              <w:bottom w:w="0" w:type="dxa"/>
            </w:tcMar>
            <w:vAlign w:val="center"/>
          </w:tcPr>
          <w:p>
            <w:pPr>
              <w:pStyle w:val="TableContents"/>
              <w:spacing w:before="0" w:after="283"/>
              <w:jc w:val="right"/>
              <w:rPr/>
            </w:pPr>
            <w:r>
              <w:rPr/>
              <w:t>2/22/2022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18,000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32.20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343,260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6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31" w:type="dxa"/>
            <w:tcBorders/>
            <w:shd w:fill="CCEEFF" w:val="clear"/>
            <w:tcMar>
              <w:bottom w:w="0" w:type="dxa"/>
            </w:tcMar>
            <w:vAlign w:val="center"/>
          </w:tcPr>
          <w:p>
            <w:pPr>
              <w:pStyle w:val="TableContents"/>
              <w:spacing w:before="0" w:after="283"/>
              <w:jc w:val="right"/>
              <w:rPr/>
            </w:pPr>
            <w:r>
              <w:rPr/>
              <w:t>5/3/2022</w:t>
            </w:r>
            <w:r>
              <w:rPr>
                <w:sz w:val="13"/>
              </w:rPr>
              <w:t>(4)</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86,790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payout amounts are based on the target bonus percentage recommended by the Compensation Committee and approved by the Board of Directors on February 22, 2022. </w:t>
      </w:r>
      <w:r>
        <mc:AlternateContent>
          <mc:Choice Requires="wps">
            <w:drawing>
              <wp:anchor behindDoc="0" distT="101600" distB="0" distL="0" distR="0" simplePos="0" locked="0" layoutInCell="1" allowOverlap="1" relativeHeight="154">
                <wp:simplePos x="0" y="0"/>
                <wp:positionH relativeFrom="column">
                  <wp:align>left</wp:align>
                </wp:positionH>
                <wp:positionV relativeFrom="line">
                  <wp:align>top</wp:align>
                </wp:positionV>
                <wp:extent cx="254000" cy="350520"/>
                <wp:effectExtent l="0" t="0" r="0" b="0"/>
                <wp:wrapSquare wrapText="largest"/>
                <wp:docPr id="147" name="Frame14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represent the closing market price of our common stock on the date of the grant. </w:t>
      </w:r>
      <w:r>
        <mc:AlternateContent>
          <mc:Choice Requires="wps">
            <w:drawing>
              <wp:anchor behindDoc="0" distT="50800" distB="0" distL="0" distR="0" simplePos="0" locked="0" layoutInCell="1" allowOverlap="1" relativeHeight="155">
                <wp:simplePos x="0" y="0"/>
                <wp:positionH relativeFrom="column">
                  <wp:align>left</wp:align>
                </wp:positionH>
                <wp:positionV relativeFrom="line">
                  <wp:align>top</wp:align>
                </wp:positionV>
                <wp:extent cx="254000" cy="350520"/>
                <wp:effectExtent l="0" t="0" r="0" b="0"/>
                <wp:wrapSquare wrapText="largest"/>
                <wp:docPr id="148" name="Frame14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reflect the aggregate grant date fair value of the awards calculated in accordance with ASC 718. </w:t>
      </w:r>
      <w:r>
        <mc:AlternateContent>
          <mc:Choice Requires="wps">
            <w:drawing>
              <wp:anchor behindDoc="0" distT="50800" distB="0" distL="0" distR="0" simplePos="0" locked="0" layoutInCell="1" allowOverlap="1" relativeHeight="156">
                <wp:simplePos x="0" y="0"/>
                <wp:positionH relativeFrom="column">
                  <wp:align>left</wp:align>
                </wp:positionH>
                <wp:positionV relativeFrom="line">
                  <wp:align>top</wp:align>
                </wp:positionV>
                <wp:extent cx="254000" cy="350520"/>
                <wp:effectExtent l="0" t="0" r="0" b="0"/>
                <wp:wrapSquare wrapText="largest"/>
                <wp:docPr id="149" name="Frame14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metric for this tranche of the performance share unit grant was approved by the Compensation Committee on May 3, 2022. </w:t>
      </w:r>
      <w:r>
        <mc:AlternateContent>
          <mc:Choice Requires="wps">
            <w:drawing>
              <wp:anchor behindDoc="0" distT="50800" distB="0" distL="0" distR="0" simplePos="0" locked="0" layoutInCell="1" allowOverlap="1" relativeHeight="157">
                <wp:simplePos x="0" y="0"/>
                <wp:positionH relativeFrom="column">
                  <wp:align>left</wp:align>
                </wp:positionH>
                <wp:positionV relativeFrom="line">
                  <wp:align>top</wp:align>
                </wp:positionV>
                <wp:extent cx="254000" cy="350520"/>
                <wp:effectExtent l="0" t="0" r="0" b="0"/>
                <wp:wrapSquare wrapText="largest"/>
                <wp:docPr id="150" name="Frame14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40"/>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Equity Awards at Fiscal Year-End</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sets forth certain information regarding the outstanding equity awards held by our NEOs as of December 31, 2022. </w:t>
      </w:r>
    </w:p>
    <w:tbl>
      <w:tblPr>
        <w:tblW w:w="12676" w:type="dxa"/>
        <w:jc w:val="left"/>
        <w:tblInd w:w="543" w:type="dxa"/>
        <w:tblCellMar>
          <w:top w:w="0" w:type="dxa"/>
          <w:left w:w="0" w:type="dxa"/>
          <w:bottom w:w="28" w:type="dxa"/>
          <w:right w:w="0" w:type="dxa"/>
        </w:tblCellMar>
      </w:tblPr>
      <w:tblGrid>
        <w:gridCol w:w="1263"/>
        <w:gridCol w:w="109"/>
        <w:gridCol w:w="109"/>
        <w:gridCol w:w="113"/>
        <w:gridCol w:w="113"/>
        <w:gridCol w:w="921"/>
        <w:gridCol w:w="114"/>
        <w:gridCol w:w="109"/>
        <w:gridCol w:w="109"/>
        <w:gridCol w:w="127"/>
        <w:gridCol w:w="127"/>
        <w:gridCol w:w="1037"/>
        <w:gridCol w:w="129"/>
        <w:gridCol w:w="109"/>
        <w:gridCol w:w="109"/>
        <w:gridCol w:w="109"/>
        <w:gridCol w:w="109"/>
        <w:gridCol w:w="646"/>
        <w:gridCol w:w="109"/>
        <w:gridCol w:w="109"/>
        <w:gridCol w:w="109"/>
        <w:gridCol w:w="109"/>
        <w:gridCol w:w="109"/>
        <w:gridCol w:w="742"/>
        <w:gridCol w:w="109"/>
        <w:gridCol w:w="109"/>
        <w:gridCol w:w="109"/>
        <w:gridCol w:w="109"/>
        <w:gridCol w:w="109"/>
        <w:gridCol w:w="646"/>
        <w:gridCol w:w="109"/>
        <w:gridCol w:w="109"/>
        <w:gridCol w:w="109"/>
        <w:gridCol w:w="109"/>
        <w:gridCol w:w="109"/>
        <w:gridCol w:w="886"/>
        <w:gridCol w:w="109"/>
        <w:gridCol w:w="109"/>
        <w:gridCol w:w="109"/>
        <w:gridCol w:w="109"/>
        <w:gridCol w:w="109"/>
        <w:gridCol w:w="886"/>
        <w:gridCol w:w="109"/>
        <w:gridCol w:w="109"/>
        <w:gridCol w:w="109"/>
        <w:gridCol w:w="109"/>
        <w:gridCol w:w="109"/>
        <w:gridCol w:w="1066"/>
        <w:gridCol w:w="109"/>
        <w:gridCol w:w="154"/>
      </w:tblGrid>
      <w:tr>
        <w:trPr/>
        <w:tc>
          <w:tcPr>
            <w:tcW w:w="1263"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5377" w:type="dxa"/>
            <w:gridSpan w:val="22"/>
            <w:tcBorders>
              <w:bottom w:val="single" w:sz="2" w:space="0" w:color="000000"/>
            </w:tcBorders>
            <w:shd w:fill="auto" w:val="clear"/>
            <w:tcMar>
              <w:bottom w:w="30" w:type="dxa"/>
            </w:tcMar>
            <w:vAlign w:val="center"/>
          </w:tcPr>
          <w:p>
            <w:pPr>
              <w:pStyle w:val="TableContents"/>
              <w:spacing w:lineRule="atLeast" w:line="141" w:before="0" w:after="0"/>
              <w:jc w:val="center"/>
              <w:rPr/>
            </w:pPr>
            <w:r>
              <w:rPr>
                <w:spacing w:val="-3"/>
              </w:rPr>
              <w:t>Options Awards</w:t>
            </w:r>
            <w:r>
              <w:rPr>
                <w:spacing w:val="-2"/>
                <w:sz w:val="10"/>
              </w:rPr>
              <w:t>(1)</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5446" w:type="dxa"/>
            <w:gridSpan w:val="22"/>
            <w:tcBorders>
              <w:bottom w:val="single" w:sz="2" w:space="0" w:color="000000"/>
            </w:tcBorders>
            <w:shd w:fill="auto" w:val="clear"/>
            <w:tcMar>
              <w:bottom w:w="30" w:type="dxa"/>
            </w:tcMar>
            <w:vAlign w:val="center"/>
          </w:tcPr>
          <w:p>
            <w:pPr>
              <w:pStyle w:val="TableContents"/>
              <w:spacing w:before="0" w:after="0"/>
              <w:jc w:val="center"/>
              <w:rPr>
                <w:spacing w:val="-3"/>
              </w:rPr>
            </w:pPr>
            <w:r>
              <w:rPr>
                <w:spacing w:val="-3"/>
              </w:rPr>
              <w:t xml:space="preserve">Stock Awards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263"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61"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Number of </w:t>
              <w:br/>
              <w:t xml:space="preserve">Securities </w:t>
              <w:br/>
              <w:t xml:space="preserve">Underlying </w:t>
              <w:br/>
              <w:t xml:space="preserve">Unexercised </w:t>
              <w:br/>
              <w:t xml:space="preserve">Options (#) </w:t>
              <w:br/>
              <w:t xml:space="preserve">Exercisable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20"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Number of </w:t>
              <w:br/>
              <w:t xml:space="preserve">Securities </w:t>
              <w:br/>
              <w:t xml:space="preserve">Underlying </w:t>
              <w:br/>
              <w:t xml:space="preserve">Unexercised </w:t>
              <w:br/>
              <w:t xml:space="preserve">Options (#) </w:t>
              <w:br/>
              <w:t xml:space="preserve">Unexercisable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73"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Option </w:t>
              <w:br/>
              <w:t xml:space="preserve">Exercise </w:t>
              <w:br/>
              <w:t>Price ($)</w:t>
            </w:r>
            <w:r>
              <w:rPr>
                <w:spacing w:val="-2"/>
                <w:sz w:val="10"/>
              </w:rPr>
              <w:t>(2)</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69"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Option </w:t>
              <w:br/>
              <w:t xml:space="preserve">Expiration </w:t>
              <w:br/>
              <w:t xml:space="preserve">Date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73"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Number of </w:t>
              <w:br/>
              <w:t xml:space="preserve">Shares or </w:t>
              <w:br/>
              <w:t xml:space="preserve">Units of </w:t>
              <w:br/>
              <w:t xml:space="preserve">Stock </w:t>
              <w:br/>
              <w:t xml:space="preserve">That Have </w:t>
              <w:br/>
              <w:t xml:space="preserve">Not </w:t>
              <w:br/>
              <w:t>Vested</w:t>
            </w:r>
            <w:r>
              <w:rPr>
                <w:spacing w:val="-2"/>
                <w:sz w:val="10"/>
              </w:rPr>
              <w:t>(1)</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Market </w:t>
              <w:br/>
              <w:t xml:space="preserve">Value of </w:t>
              <w:br/>
              <w:t xml:space="preserve">Shares or </w:t>
              <w:br/>
              <w:t xml:space="preserve">Units of </w:t>
              <w:br/>
              <w:t xml:space="preserve">Stock </w:t>
              <w:br/>
              <w:t xml:space="preserve">That Have </w:t>
              <w:br/>
              <w:t xml:space="preserve">Not </w:t>
              <w:br/>
              <w:t xml:space="preserve">Vested </w:t>
              <w:br/>
              <w:t>($)</w:t>
            </w:r>
            <w:r>
              <w:rPr>
                <w:spacing w:val="-2"/>
                <w:sz w:val="10"/>
              </w:rPr>
              <w:t>(3)</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Equity </w:t>
              <w:br/>
              <w:t xml:space="preserve">Incentive </w:t>
              <w:br/>
              <w:t xml:space="preserve">Plan </w:t>
              <w:br/>
              <w:t xml:space="preserve">Awards: </w:t>
              <w:br/>
              <w:t xml:space="preserve">Number of </w:t>
              <w:br/>
              <w:t xml:space="preserve">Unearned </w:t>
              <w:br/>
              <w:t xml:space="preserve">Shares, </w:t>
              <w:br/>
              <w:t xml:space="preserve">Units or </w:t>
              <w:br/>
              <w:t xml:space="preserve">Other </w:t>
              <w:br/>
              <w:t xml:space="preserve">Rights that </w:t>
              <w:br/>
              <w:t xml:space="preserve">Have Not </w:t>
              <w:br/>
              <w:t xml:space="preserve">Vested </w:t>
              <w:br/>
              <w:t>(#)</w:t>
            </w:r>
            <w:r>
              <w:rPr>
                <w:spacing w:val="-2"/>
                <w:sz w:val="10"/>
              </w:rPr>
              <w:t>(4)</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Equity </w:t>
              <w:br/>
              <w:t xml:space="preserve">Incentive </w:t>
              <w:br/>
              <w:t xml:space="preserve">Plan </w:t>
              <w:br/>
              <w:t xml:space="preserve">Awards: </w:t>
              <w:br/>
              <w:t xml:space="preserve">Market or </w:t>
              <w:br/>
              <w:t xml:space="preserve">Payout </w:t>
              <w:br/>
              <w:t xml:space="preserve">Value of </w:t>
              <w:br/>
              <w:t xml:space="preserve">Unearned </w:t>
              <w:br/>
              <w:t xml:space="preserve">Shares, </w:t>
              <w:br/>
              <w:t xml:space="preserve">Units or </w:t>
              <w:br/>
              <w:t xml:space="preserve">Other </w:t>
              <w:br/>
              <w:t xml:space="preserve">Rights that </w:t>
              <w:br/>
              <w:t xml:space="preserve">Have Not </w:t>
              <w:br/>
              <w:t xml:space="preserve">Vested </w:t>
              <w:br/>
              <w:t>($)</w:t>
            </w:r>
            <w:r>
              <w:rPr>
                <w:spacing w:val="-2"/>
                <w:sz w:val="10"/>
              </w:rPr>
              <w:t>(3)</w:t>
            </w:r>
            <w:r>
              <w:rPr/>
              <w:t xml:space="preserve">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263" w:type="dxa"/>
            <w:vMerge w:val="restart"/>
            <w:tcBorders/>
            <w:shd w:fill="CCEEFF" w:val="clear"/>
            <w:tcMar>
              <w:bottom w:w="0" w:type="dxa"/>
            </w:tcMar>
            <w:vAlign w:val="center"/>
          </w:tcPr>
          <w:p>
            <w:pPr>
              <w:pStyle w:val="TableContents"/>
              <w:spacing w:lineRule="atLeast" w:line="240" w:before="0" w:after="0"/>
              <w:jc w:val="left"/>
              <w:rPr>
                <w:spacing w:val="4"/>
              </w:rPr>
            </w:pPr>
            <w:r>
              <w:rPr>
                <w:spacing w:val="4"/>
              </w:rPr>
              <w:t xml:space="preserve">Jack A. Khattar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lineRule="atLeast" w:line="240" w:before="0" w:after="283"/>
              <w:jc w:val="right"/>
              <w:rPr/>
            </w:pPr>
            <w:r>
              <w:rPr/>
              <w:t>​</w:t>
            </w:r>
          </w:p>
        </w:tc>
        <w:tc>
          <w:tcPr>
            <w:tcW w:w="921" w:type="dxa"/>
            <w:tcBorders/>
            <w:shd w:fill="CCEEFF" w:val="clear"/>
            <w:tcMar>
              <w:bottom w:w="0" w:type="dxa"/>
            </w:tcMar>
            <w:vAlign w:val="center"/>
          </w:tcPr>
          <w:p>
            <w:pPr>
              <w:pStyle w:val="TableContents"/>
              <w:spacing w:lineRule="atLeast" w:line="240" w:before="0" w:after="283"/>
              <w:jc w:val="right"/>
              <w:rPr/>
            </w:pPr>
            <w:r>
              <w:rPr/>
              <w:t>—</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lineRule="atLeast" w:line="240" w:before="0" w:after="283"/>
              <w:jc w:val="right"/>
              <w:rPr/>
            </w:pPr>
            <w:r>
              <w:rPr/>
              <w:t>​</w:t>
            </w:r>
          </w:p>
        </w:tc>
        <w:tc>
          <w:tcPr>
            <w:tcW w:w="1037" w:type="dxa"/>
            <w:tcBorders/>
            <w:shd w:fill="CCEEFF" w:val="clear"/>
            <w:tcMar>
              <w:bottom w:w="0" w:type="dxa"/>
            </w:tcMar>
            <w:vAlign w:val="center"/>
          </w:tcPr>
          <w:p>
            <w:pPr>
              <w:pStyle w:val="TableContents"/>
              <w:spacing w:lineRule="atLeast" w:line="240" w:before="0" w:after="283"/>
              <w:jc w:val="right"/>
              <w:rPr/>
            </w:pPr>
            <w:r>
              <w:rPr/>
              <w:t>250,000</w:t>
            </w:r>
          </w:p>
        </w:tc>
        <w:tc>
          <w:tcPr>
            <w:tcW w:w="12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646" w:type="dxa"/>
            <w:tcBorders/>
            <w:shd w:fill="CCEEFF" w:val="clear"/>
            <w:tcMar>
              <w:bottom w:w="0" w:type="dxa"/>
            </w:tcMar>
            <w:vAlign w:val="center"/>
          </w:tcPr>
          <w:p>
            <w:pPr>
              <w:pStyle w:val="TableContents"/>
              <w:spacing w:lineRule="atLeast" w:line="240" w:before="0" w:after="283"/>
              <w:jc w:val="right"/>
              <w:rPr/>
            </w:pPr>
            <w:r>
              <w:rPr/>
              <w:t>32.20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742" w:type="dxa"/>
            <w:tcBorders/>
            <w:shd w:fill="CCEEFF" w:val="clear"/>
            <w:tcMar>
              <w:bottom w:w="0" w:type="dxa"/>
            </w:tcMar>
            <w:vAlign w:val="center"/>
          </w:tcPr>
          <w:p>
            <w:pPr>
              <w:pStyle w:val="TableContents"/>
              <w:spacing w:lineRule="atLeast" w:line="240" w:before="0" w:after="283"/>
              <w:jc w:val="right"/>
              <w:rPr/>
            </w:pPr>
            <w:r>
              <w:rPr/>
              <w:t>2/22/2032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646" w:type="dxa"/>
            <w:tcBorders/>
            <w:shd w:fill="CCEEFF" w:val="clear"/>
            <w:tcMar>
              <w:bottom w:w="0" w:type="dxa"/>
            </w:tcMar>
            <w:vAlign w:val="center"/>
          </w:tcPr>
          <w:p>
            <w:pPr>
              <w:pStyle w:val="TableContents"/>
              <w:spacing w:lineRule="atLeast" w:line="240"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20,000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1066" w:type="dxa"/>
            <w:tcBorders/>
            <w:shd w:fill="CCEEFF" w:val="clear"/>
            <w:tcMar>
              <w:bottom w:w="0" w:type="dxa"/>
            </w:tcMar>
            <w:vAlign w:val="center"/>
          </w:tcPr>
          <w:p>
            <w:pPr>
              <w:pStyle w:val="TableContents"/>
              <w:spacing w:lineRule="atLeast" w:line="240" w:before="0" w:after="283"/>
              <w:jc w:val="right"/>
              <w:rPr/>
            </w:pPr>
            <w:r>
              <w:rPr/>
              <w:t>713,400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6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50,000</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jc w:val="right"/>
              <w:rPr/>
            </w:pPr>
            <w:r>
              <w:rPr/>
              <w:t>​</w:t>
            </w:r>
          </w:p>
        </w:tc>
        <w:tc>
          <w:tcPr>
            <w:tcW w:w="1037" w:type="dxa"/>
            <w:tcBorders/>
            <w:shd w:fill="CCEEFF" w:val="clear"/>
            <w:tcMar>
              <w:bottom w:w="0" w:type="dxa"/>
            </w:tcMar>
            <w:vAlign w:val="center"/>
          </w:tcPr>
          <w:p>
            <w:pPr>
              <w:pStyle w:val="TableContents"/>
              <w:spacing w:before="0" w:after="283"/>
              <w:jc w:val="right"/>
              <w:rPr/>
            </w:pPr>
            <w:r>
              <w:rPr/>
              <w:t>150,000</w:t>
            </w:r>
          </w:p>
        </w:tc>
        <w:tc>
          <w:tcPr>
            <w:tcW w:w="12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29.61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2/19/2031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713,400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6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140,625</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jc w:val="right"/>
              <w:rPr/>
            </w:pPr>
            <w:r>
              <w:rPr/>
              <w:t>​</w:t>
            </w:r>
          </w:p>
        </w:tc>
        <w:tc>
          <w:tcPr>
            <w:tcW w:w="1037" w:type="dxa"/>
            <w:tcBorders/>
            <w:shd w:fill="CCEEFF" w:val="clear"/>
            <w:tcMar>
              <w:bottom w:w="0" w:type="dxa"/>
            </w:tcMar>
            <w:vAlign w:val="center"/>
          </w:tcPr>
          <w:p>
            <w:pPr>
              <w:pStyle w:val="TableContents"/>
              <w:spacing w:before="0" w:after="283"/>
              <w:jc w:val="right"/>
              <w:rPr/>
            </w:pPr>
            <w:r>
              <w:rPr/>
              <w:t>140,625</w:t>
            </w:r>
          </w:p>
        </w:tc>
        <w:tc>
          <w:tcPr>
            <w:tcW w:w="12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23.99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2/21/2030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125,000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4,458,750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6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225,000</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jc w:val="right"/>
              <w:rPr/>
            </w:pPr>
            <w:r>
              <w:rPr/>
              <w:t>​</w:t>
            </w:r>
          </w:p>
        </w:tc>
        <w:tc>
          <w:tcPr>
            <w:tcW w:w="1037" w:type="dxa"/>
            <w:tcBorders/>
            <w:shd w:fill="CCEEFF" w:val="clear"/>
            <w:tcMar>
              <w:bottom w:w="0" w:type="dxa"/>
            </w:tcMar>
            <w:vAlign w:val="center"/>
          </w:tcPr>
          <w:p>
            <w:pPr>
              <w:pStyle w:val="TableContents"/>
              <w:spacing w:before="0" w:after="283"/>
              <w:jc w:val="right"/>
              <w:rPr/>
            </w:pPr>
            <w:r>
              <w:rPr/>
              <w:t>75,000</w:t>
            </w:r>
          </w:p>
        </w:tc>
        <w:tc>
          <w:tcPr>
            <w:tcW w:w="12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36.75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2/22/2029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6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250,000</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jc w:val="right"/>
              <w:rPr/>
            </w:pPr>
            <w:r>
              <w:rPr/>
              <w:t>​</w:t>
            </w:r>
          </w:p>
        </w:tc>
        <w:tc>
          <w:tcPr>
            <w:tcW w:w="1037" w:type="dxa"/>
            <w:tcBorders/>
            <w:shd w:fill="CCEEFF" w:val="clear"/>
            <w:tcMar>
              <w:bottom w:w="0" w:type="dxa"/>
            </w:tcMar>
            <w:vAlign w:val="center"/>
          </w:tcPr>
          <w:p>
            <w:pPr>
              <w:pStyle w:val="TableContents"/>
              <w:spacing w:before="0" w:after="283"/>
              <w:jc w:val="right"/>
              <w:rPr/>
            </w:pPr>
            <w:r>
              <w:rPr/>
              <w:t>—</w:t>
            </w:r>
          </w:p>
        </w:tc>
        <w:tc>
          <w:tcPr>
            <w:tcW w:w="12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39.40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2/14/2028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6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325,000</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jc w:val="right"/>
              <w:rPr/>
            </w:pPr>
            <w:r>
              <w:rPr/>
              <w:t>​</w:t>
            </w:r>
          </w:p>
        </w:tc>
        <w:tc>
          <w:tcPr>
            <w:tcW w:w="1037" w:type="dxa"/>
            <w:tcBorders/>
            <w:shd w:fill="CCEEFF" w:val="clear"/>
            <w:tcMar>
              <w:bottom w:w="0" w:type="dxa"/>
            </w:tcMar>
            <w:vAlign w:val="center"/>
          </w:tcPr>
          <w:p>
            <w:pPr>
              <w:pStyle w:val="TableContents"/>
              <w:spacing w:before="0" w:after="283"/>
              <w:jc w:val="right"/>
              <w:rPr/>
            </w:pPr>
            <w:r>
              <w:rPr/>
              <w:t>—</w:t>
            </w:r>
          </w:p>
        </w:tc>
        <w:tc>
          <w:tcPr>
            <w:tcW w:w="12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25.30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2/24/2027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6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255,000</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jc w:val="right"/>
              <w:rPr/>
            </w:pPr>
            <w:r>
              <w:rPr/>
              <w:t>​</w:t>
            </w:r>
          </w:p>
        </w:tc>
        <w:tc>
          <w:tcPr>
            <w:tcW w:w="1037" w:type="dxa"/>
            <w:tcBorders/>
            <w:shd w:fill="CCEEFF" w:val="clear"/>
            <w:tcMar>
              <w:bottom w:w="0" w:type="dxa"/>
            </w:tcMar>
            <w:vAlign w:val="center"/>
          </w:tcPr>
          <w:p>
            <w:pPr>
              <w:pStyle w:val="TableContents"/>
              <w:spacing w:before="0" w:after="283"/>
              <w:jc w:val="right"/>
              <w:rPr/>
            </w:pPr>
            <w:r>
              <w:rPr/>
              <w:t>—</w:t>
            </w:r>
          </w:p>
        </w:tc>
        <w:tc>
          <w:tcPr>
            <w:tcW w:w="12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12.98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3/1/2026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6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250,000</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jc w:val="right"/>
              <w:rPr/>
            </w:pPr>
            <w:r>
              <w:rPr/>
              <w:t>​</w:t>
            </w:r>
          </w:p>
        </w:tc>
        <w:tc>
          <w:tcPr>
            <w:tcW w:w="1037" w:type="dxa"/>
            <w:tcBorders/>
            <w:shd w:fill="CCEEFF" w:val="clear"/>
            <w:tcMar>
              <w:bottom w:w="0" w:type="dxa"/>
            </w:tcMar>
            <w:vAlign w:val="center"/>
          </w:tcPr>
          <w:p>
            <w:pPr>
              <w:pStyle w:val="TableContents"/>
              <w:spacing w:before="0" w:after="283"/>
              <w:jc w:val="right"/>
              <w:rPr/>
            </w:pPr>
            <w:r>
              <w:rPr/>
              <w:t>—</w:t>
            </w:r>
          </w:p>
        </w:tc>
        <w:tc>
          <w:tcPr>
            <w:tcW w:w="12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9.13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3/3/2025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6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150,000</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jc w:val="right"/>
              <w:rPr/>
            </w:pPr>
            <w:r>
              <w:rPr/>
              <w:t>​</w:t>
            </w:r>
          </w:p>
        </w:tc>
        <w:tc>
          <w:tcPr>
            <w:tcW w:w="1037" w:type="dxa"/>
            <w:tcBorders/>
            <w:shd w:fill="CCEEFF" w:val="clear"/>
            <w:tcMar>
              <w:bottom w:w="0" w:type="dxa"/>
            </w:tcMar>
            <w:vAlign w:val="center"/>
          </w:tcPr>
          <w:p>
            <w:pPr>
              <w:pStyle w:val="TableContents"/>
              <w:spacing w:before="0" w:after="283"/>
              <w:jc w:val="right"/>
              <w:rPr/>
            </w:pPr>
            <w:r>
              <w:rPr/>
              <w:t>—</w:t>
            </w:r>
          </w:p>
        </w:tc>
        <w:tc>
          <w:tcPr>
            <w:tcW w:w="12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9.56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1/23/2024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63" w:type="dxa"/>
            <w:vMerge w:val="restart"/>
            <w:tcBorders/>
            <w:shd w:fill="auto" w:val="clear"/>
            <w:tcMar>
              <w:bottom w:w="0" w:type="dxa"/>
            </w:tcMar>
            <w:vAlign w:val="center"/>
          </w:tcPr>
          <w:p>
            <w:pPr>
              <w:pStyle w:val="TableContents"/>
              <w:spacing w:lineRule="atLeast" w:line="240" w:before="0" w:after="0"/>
              <w:jc w:val="left"/>
              <w:rPr>
                <w:spacing w:val="4"/>
              </w:rPr>
            </w:pPr>
            <w:r>
              <w:rPr>
                <w:spacing w:val="4"/>
              </w:rPr>
              <w:t xml:space="preserve">Timothy C. Dec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lineRule="atLeast" w:line="240" w:before="0" w:after="283"/>
              <w:jc w:val="right"/>
              <w:rPr/>
            </w:pPr>
            <w:r>
              <w:rPr/>
              <w:t>​</w:t>
            </w:r>
          </w:p>
        </w:tc>
        <w:tc>
          <w:tcPr>
            <w:tcW w:w="921" w:type="dxa"/>
            <w:tcBorders/>
            <w:shd w:fill="auto" w:val="clear"/>
            <w:tcMar>
              <w:bottom w:w="0" w:type="dxa"/>
            </w:tcMar>
            <w:vAlign w:val="center"/>
          </w:tcPr>
          <w:p>
            <w:pPr>
              <w:pStyle w:val="TableContents"/>
              <w:spacing w:lineRule="atLeast" w:line="240" w:before="0" w:after="283"/>
              <w:jc w:val="right"/>
              <w:rPr/>
            </w:pPr>
            <w:r>
              <w:rPr/>
              <w:t>—</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lineRule="atLeast" w:line="240" w:before="0" w:after="283"/>
              <w:jc w:val="right"/>
              <w:rPr/>
            </w:pPr>
            <w:r>
              <w:rPr/>
              <w:t>​</w:t>
            </w:r>
          </w:p>
        </w:tc>
        <w:tc>
          <w:tcPr>
            <w:tcW w:w="1037" w:type="dxa"/>
            <w:tcBorders/>
            <w:shd w:fill="auto" w:val="clear"/>
            <w:tcMar>
              <w:bottom w:w="0" w:type="dxa"/>
            </w:tcMar>
            <w:vAlign w:val="center"/>
          </w:tcPr>
          <w:p>
            <w:pPr>
              <w:pStyle w:val="TableContents"/>
              <w:spacing w:lineRule="atLeast" w:line="240" w:before="0" w:after="283"/>
              <w:jc w:val="right"/>
              <w:rPr/>
            </w:pPr>
            <w:r>
              <w:rPr/>
              <w:t>25,000</w:t>
            </w:r>
          </w:p>
        </w:tc>
        <w:tc>
          <w:tcPr>
            <w:tcW w:w="12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646" w:type="dxa"/>
            <w:tcBorders/>
            <w:shd w:fill="auto" w:val="clear"/>
            <w:tcMar>
              <w:bottom w:w="0" w:type="dxa"/>
            </w:tcMar>
            <w:vAlign w:val="center"/>
          </w:tcPr>
          <w:p>
            <w:pPr>
              <w:pStyle w:val="TableContents"/>
              <w:spacing w:lineRule="atLeast" w:line="240" w:before="0" w:after="283"/>
              <w:jc w:val="right"/>
              <w:rPr/>
            </w:pPr>
            <w:r>
              <w:rPr/>
              <w:t>32.20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742" w:type="dxa"/>
            <w:tcBorders/>
            <w:shd w:fill="auto" w:val="clear"/>
            <w:tcMar>
              <w:bottom w:w="0" w:type="dxa"/>
            </w:tcMar>
            <w:vAlign w:val="center"/>
          </w:tcPr>
          <w:p>
            <w:pPr>
              <w:pStyle w:val="TableContents"/>
              <w:spacing w:lineRule="atLeast" w:line="240" w:before="0" w:after="283"/>
              <w:jc w:val="right"/>
              <w:rPr/>
            </w:pPr>
            <w:r>
              <w:rPr/>
              <w:t>2/22/2032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646" w:type="dxa"/>
            <w:tcBorders/>
            <w:shd w:fill="auto" w:val="clear"/>
            <w:tcMar>
              <w:bottom w:w="0" w:type="dxa"/>
            </w:tcMar>
            <w:vAlign w:val="center"/>
          </w:tcPr>
          <w:p>
            <w:pPr>
              <w:pStyle w:val="TableContents"/>
              <w:spacing w:lineRule="atLeast" w:line="24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886" w:type="dxa"/>
            <w:tcBorders/>
            <w:shd w:fill="auto" w:val="clear"/>
            <w:tcMar>
              <w:bottom w:w="0" w:type="dxa"/>
            </w:tcMar>
            <w:vAlign w:val="center"/>
          </w:tcPr>
          <w:p>
            <w:pPr>
              <w:pStyle w:val="TableContents"/>
              <w:spacing w:lineRule="atLeast" w:line="24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886" w:type="dxa"/>
            <w:tcBorders/>
            <w:shd w:fill="auto" w:val="clear"/>
            <w:tcMar>
              <w:bottom w:w="0" w:type="dxa"/>
            </w:tcMar>
            <w:vAlign w:val="center"/>
          </w:tcPr>
          <w:p>
            <w:pPr>
              <w:pStyle w:val="TableContents"/>
              <w:spacing w:lineRule="atLeast" w:line="240" w:before="0" w:after="283"/>
              <w:jc w:val="right"/>
              <w:rPr/>
            </w:pPr>
            <w:r>
              <w:rPr/>
              <w:t>3,000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1066" w:type="dxa"/>
            <w:tcBorders/>
            <w:shd w:fill="auto" w:val="clear"/>
            <w:tcMar>
              <w:bottom w:w="0" w:type="dxa"/>
            </w:tcMar>
            <w:vAlign w:val="center"/>
          </w:tcPr>
          <w:p>
            <w:pPr>
              <w:pStyle w:val="TableContents"/>
              <w:spacing w:lineRule="atLeast" w:line="240" w:before="0" w:after="283"/>
              <w:jc w:val="right"/>
              <w:rPr/>
            </w:pPr>
            <w:r>
              <w:rPr/>
              <w:t>107,010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63"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921" w:type="dxa"/>
            <w:tcBorders/>
            <w:shd w:fill="auto" w:val="clear"/>
            <w:tcMar>
              <w:bottom w:w="0" w:type="dxa"/>
            </w:tcMar>
            <w:vAlign w:val="center"/>
          </w:tcPr>
          <w:p>
            <w:pPr>
              <w:pStyle w:val="TableContents"/>
              <w:spacing w:before="0" w:after="283"/>
              <w:jc w:val="right"/>
              <w:rPr/>
            </w:pPr>
            <w:r>
              <w:rPr/>
              <w:t>21,250</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jc w:val="right"/>
              <w:rPr/>
            </w:pPr>
            <w:r>
              <w:rPr/>
              <w:t>​</w:t>
            </w:r>
          </w:p>
        </w:tc>
        <w:tc>
          <w:tcPr>
            <w:tcW w:w="1037" w:type="dxa"/>
            <w:tcBorders/>
            <w:shd w:fill="auto" w:val="clear"/>
            <w:tcMar>
              <w:bottom w:w="0" w:type="dxa"/>
            </w:tcMar>
            <w:vAlign w:val="center"/>
          </w:tcPr>
          <w:p>
            <w:pPr>
              <w:pStyle w:val="TableContents"/>
              <w:spacing w:before="0" w:after="283"/>
              <w:jc w:val="right"/>
              <w:rPr/>
            </w:pPr>
            <w:r>
              <w:rPr/>
              <w:t>63,750</w:t>
            </w:r>
          </w:p>
        </w:tc>
        <w:tc>
          <w:tcPr>
            <w:tcW w:w="12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25.09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8/23/2031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2,000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71,340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63" w:type="dxa"/>
            <w:vMerge w:val="restart"/>
            <w:tcBorders/>
            <w:shd w:fill="CCEEFF" w:val="clear"/>
            <w:tcMar>
              <w:bottom w:w="0" w:type="dxa"/>
            </w:tcMar>
            <w:vAlign w:val="center"/>
          </w:tcPr>
          <w:p>
            <w:pPr>
              <w:pStyle w:val="TableContents"/>
              <w:spacing w:lineRule="atLeast" w:line="240" w:before="0" w:after="0"/>
              <w:jc w:val="left"/>
              <w:rPr>
                <w:spacing w:val="4"/>
              </w:rPr>
            </w:pPr>
            <w:r>
              <w:rPr>
                <w:spacing w:val="4"/>
              </w:rPr>
              <w:t xml:space="preserve">Jonathan Rubin, MD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lineRule="atLeast" w:line="240" w:before="0" w:after="283"/>
              <w:jc w:val="right"/>
              <w:rPr/>
            </w:pPr>
            <w:r>
              <w:rPr/>
              <w:t>​</w:t>
            </w:r>
          </w:p>
        </w:tc>
        <w:tc>
          <w:tcPr>
            <w:tcW w:w="921" w:type="dxa"/>
            <w:tcBorders/>
            <w:shd w:fill="CCEEFF" w:val="clear"/>
            <w:tcMar>
              <w:bottom w:w="0" w:type="dxa"/>
            </w:tcMar>
            <w:vAlign w:val="center"/>
          </w:tcPr>
          <w:p>
            <w:pPr>
              <w:pStyle w:val="TableContents"/>
              <w:spacing w:lineRule="atLeast" w:line="240" w:before="0" w:after="283"/>
              <w:jc w:val="right"/>
              <w:rPr/>
            </w:pPr>
            <w:r>
              <w:rPr/>
              <w:t>—</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lineRule="atLeast" w:line="240" w:before="0" w:after="283"/>
              <w:jc w:val="right"/>
              <w:rPr/>
            </w:pPr>
            <w:r>
              <w:rPr/>
              <w:t>​</w:t>
            </w:r>
          </w:p>
        </w:tc>
        <w:tc>
          <w:tcPr>
            <w:tcW w:w="1037" w:type="dxa"/>
            <w:tcBorders/>
            <w:shd w:fill="CCEEFF" w:val="clear"/>
            <w:tcMar>
              <w:bottom w:w="0" w:type="dxa"/>
            </w:tcMar>
            <w:vAlign w:val="center"/>
          </w:tcPr>
          <w:p>
            <w:pPr>
              <w:pStyle w:val="TableContents"/>
              <w:spacing w:lineRule="atLeast" w:line="240" w:before="0" w:after="283"/>
              <w:jc w:val="right"/>
              <w:rPr/>
            </w:pPr>
            <w:r>
              <w:rPr/>
              <w:t>25,000</w:t>
            </w:r>
          </w:p>
        </w:tc>
        <w:tc>
          <w:tcPr>
            <w:tcW w:w="12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646" w:type="dxa"/>
            <w:tcBorders/>
            <w:shd w:fill="CCEEFF" w:val="clear"/>
            <w:tcMar>
              <w:bottom w:w="0" w:type="dxa"/>
            </w:tcMar>
            <w:vAlign w:val="center"/>
          </w:tcPr>
          <w:p>
            <w:pPr>
              <w:pStyle w:val="TableContents"/>
              <w:spacing w:lineRule="atLeast" w:line="240" w:before="0" w:after="283"/>
              <w:jc w:val="right"/>
              <w:rPr/>
            </w:pPr>
            <w:r>
              <w:rPr/>
              <w:t>32.20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742" w:type="dxa"/>
            <w:tcBorders/>
            <w:shd w:fill="CCEEFF" w:val="clear"/>
            <w:tcMar>
              <w:bottom w:w="0" w:type="dxa"/>
            </w:tcMar>
            <w:vAlign w:val="center"/>
          </w:tcPr>
          <w:p>
            <w:pPr>
              <w:pStyle w:val="TableContents"/>
              <w:spacing w:lineRule="atLeast" w:line="240" w:before="0" w:after="283"/>
              <w:jc w:val="right"/>
              <w:rPr/>
            </w:pPr>
            <w:r>
              <w:rPr/>
              <w:t>2/22/2032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646" w:type="dxa"/>
            <w:tcBorders/>
            <w:shd w:fill="CCEEFF" w:val="clear"/>
            <w:tcMar>
              <w:bottom w:w="0" w:type="dxa"/>
            </w:tcMar>
            <w:vAlign w:val="center"/>
          </w:tcPr>
          <w:p>
            <w:pPr>
              <w:pStyle w:val="TableContents"/>
              <w:spacing w:lineRule="atLeast" w:line="240" w:before="0" w:after="283"/>
              <w:jc w:val="right"/>
              <w:rPr/>
            </w:pPr>
            <w:r>
              <w:rPr/>
              <w:t>3,000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107,010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3,000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1066" w:type="dxa"/>
            <w:tcBorders/>
            <w:shd w:fill="CCEEFF" w:val="clear"/>
            <w:tcMar>
              <w:bottom w:w="0" w:type="dxa"/>
            </w:tcMar>
            <w:vAlign w:val="center"/>
          </w:tcPr>
          <w:p>
            <w:pPr>
              <w:pStyle w:val="TableContents"/>
              <w:spacing w:lineRule="atLeast" w:line="240" w:before="0" w:after="283"/>
              <w:jc w:val="right"/>
              <w:rPr/>
            </w:pPr>
            <w:r>
              <w:rPr/>
              <w:t>107,010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6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6,250</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jc w:val="right"/>
              <w:rPr/>
            </w:pPr>
            <w:r>
              <w:rPr/>
              <w:t>​</w:t>
            </w:r>
          </w:p>
        </w:tc>
        <w:tc>
          <w:tcPr>
            <w:tcW w:w="1037" w:type="dxa"/>
            <w:tcBorders/>
            <w:shd w:fill="CCEEFF" w:val="clear"/>
            <w:tcMar>
              <w:bottom w:w="0" w:type="dxa"/>
            </w:tcMar>
            <w:vAlign w:val="center"/>
          </w:tcPr>
          <w:p>
            <w:pPr>
              <w:pStyle w:val="TableContents"/>
              <w:spacing w:before="0" w:after="283"/>
              <w:jc w:val="right"/>
              <w:rPr/>
            </w:pPr>
            <w:r>
              <w:rPr/>
              <w:t>18,750</w:t>
            </w:r>
          </w:p>
        </w:tc>
        <w:tc>
          <w:tcPr>
            <w:tcW w:w="12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29.61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2/19/2031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1,500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53,505</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6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7,500</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jc w:val="right"/>
              <w:rPr/>
            </w:pPr>
            <w:r>
              <w:rPr/>
              <w:t>​</w:t>
            </w:r>
          </w:p>
        </w:tc>
        <w:tc>
          <w:tcPr>
            <w:tcW w:w="1037" w:type="dxa"/>
            <w:tcBorders/>
            <w:shd w:fill="CCEEFF" w:val="clear"/>
            <w:tcMar>
              <w:bottom w:w="0" w:type="dxa"/>
            </w:tcMar>
            <w:vAlign w:val="center"/>
          </w:tcPr>
          <w:p>
            <w:pPr>
              <w:pStyle w:val="TableContents"/>
              <w:spacing w:before="0" w:after="283"/>
              <w:jc w:val="right"/>
              <w:rPr/>
            </w:pPr>
            <w:r>
              <w:rPr/>
              <w:t>7,500</w:t>
            </w:r>
          </w:p>
        </w:tc>
        <w:tc>
          <w:tcPr>
            <w:tcW w:w="12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23.99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2/21/2030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63" w:type="dxa"/>
            <w:vMerge w:val="restart"/>
            <w:tcBorders/>
            <w:shd w:fill="auto" w:val="clear"/>
            <w:tcMar>
              <w:bottom w:w="0" w:type="dxa"/>
            </w:tcMar>
            <w:vAlign w:val="center"/>
          </w:tcPr>
          <w:p>
            <w:pPr>
              <w:pStyle w:val="TableContents"/>
              <w:spacing w:lineRule="atLeast" w:line="240" w:before="0" w:after="0"/>
              <w:jc w:val="left"/>
              <w:rPr>
                <w:spacing w:val="4"/>
              </w:rPr>
            </w:pPr>
            <w:r>
              <w:rPr>
                <w:spacing w:val="4"/>
              </w:rPr>
              <w:t xml:space="preserve">Padmanabh P. Bhatt, Ph.D.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lineRule="atLeast" w:line="240" w:before="0" w:after="283"/>
              <w:jc w:val="right"/>
              <w:rPr/>
            </w:pPr>
            <w:r>
              <w:rPr/>
              <w:t>​</w:t>
            </w:r>
          </w:p>
        </w:tc>
        <w:tc>
          <w:tcPr>
            <w:tcW w:w="921" w:type="dxa"/>
            <w:tcBorders/>
            <w:shd w:fill="auto" w:val="clear"/>
            <w:tcMar>
              <w:bottom w:w="0" w:type="dxa"/>
            </w:tcMar>
            <w:vAlign w:val="center"/>
          </w:tcPr>
          <w:p>
            <w:pPr>
              <w:pStyle w:val="TableContents"/>
              <w:spacing w:lineRule="atLeast" w:line="240" w:before="0" w:after="283"/>
              <w:jc w:val="right"/>
              <w:rPr/>
            </w:pPr>
            <w:r>
              <w:rPr/>
              <w:t>—</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lineRule="atLeast" w:line="240" w:before="0" w:after="283"/>
              <w:jc w:val="right"/>
              <w:rPr/>
            </w:pPr>
            <w:r>
              <w:rPr/>
              <w:t>​</w:t>
            </w:r>
          </w:p>
        </w:tc>
        <w:tc>
          <w:tcPr>
            <w:tcW w:w="1037" w:type="dxa"/>
            <w:tcBorders/>
            <w:shd w:fill="auto" w:val="clear"/>
            <w:tcMar>
              <w:bottom w:w="0" w:type="dxa"/>
            </w:tcMar>
            <w:vAlign w:val="center"/>
          </w:tcPr>
          <w:p>
            <w:pPr>
              <w:pStyle w:val="TableContents"/>
              <w:spacing w:lineRule="atLeast" w:line="240" w:before="0" w:after="283"/>
              <w:jc w:val="right"/>
              <w:rPr/>
            </w:pPr>
            <w:r>
              <w:rPr/>
              <w:t>18,000</w:t>
            </w:r>
          </w:p>
        </w:tc>
        <w:tc>
          <w:tcPr>
            <w:tcW w:w="12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646" w:type="dxa"/>
            <w:tcBorders/>
            <w:shd w:fill="auto" w:val="clear"/>
            <w:tcMar>
              <w:bottom w:w="0" w:type="dxa"/>
            </w:tcMar>
            <w:vAlign w:val="center"/>
          </w:tcPr>
          <w:p>
            <w:pPr>
              <w:pStyle w:val="TableContents"/>
              <w:spacing w:lineRule="atLeast" w:line="240" w:before="0" w:after="283"/>
              <w:jc w:val="right"/>
              <w:rPr/>
            </w:pPr>
            <w:r>
              <w:rPr/>
              <w:t>32.20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742" w:type="dxa"/>
            <w:tcBorders/>
            <w:shd w:fill="auto" w:val="clear"/>
            <w:tcMar>
              <w:bottom w:w="0" w:type="dxa"/>
            </w:tcMar>
            <w:vAlign w:val="center"/>
          </w:tcPr>
          <w:p>
            <w:pPr>
              <w:pStyle w:val="TableContents"/>
              <w:spacing w:lineRule="atLeast" w:line="240" w:before="0" w:after="283"/>
              <w:jc w:val="right"/>
              <w:rPr/>
            </w:pPr>
            <w:r>
              <w:rPr/>
              <w:t>2/22/2032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646" w:type="dxa"/>
            <w:tcBorders/>
            <w:shd w:fill="auto" w:val="clear"/>
            <w:tcMar>
              <w:bottom w:w="0" w:type="dxa"/>
            </w:tcMar>
            <w:vAlign w:val="center"/>
          </w:tcPr>
          <w:p>
            <w:pPr>
              <w:pStyle w:val="TableContents"/>
              <w:spacing w:lineRule="atLeast" w:line="240" w:before="0" w:after="283"/>
              <w:jc w:val="right"/>
              <w:rPr/>
            </w:pPr>
            <w:r>
              <w:rPr/>
              <w:t>3,000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886" w:type="dxa"/>
            <w:tcBorders/>
            <w:shd w:fill="auto" w:val="clear"/>
            <w:tcMar>
              <w:bottom w:w="0" w:type="dxa"/>
            </w:tcMar>
            <w:vAlign w:val="center"/>
          </w:tcPr>
          <w:p>
            <w:pPr>
              <w:pStyle w:val="TableContents"/>
              <w:spacing w:lineRule="atLeast" w:line="240" w:before="0" w:after="283"/>
              <w:jc w:val="right"/>
              <w:rPr/>
            </w:pPr>
            <w:r>
              <w:rPr/>
              <w:t>107,010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886" w:type="dxa"/>
            <w:tcBorders/>
            <w:shd w:fill="auto" w:val="clear"/>
            <w:tcMar>
              <w:bottom w:w="0" w:type="dxa"/>
            </w:tcMar>
            <w:vAlign w:val="center"/>
          </w:tcPr>
          <w:p>
            <w:pPr>
              <w:pStyle w:val="TableContents"/>
              <w:spacing w:lineRule="atLeast" w:line="240" w:before="0" w:after="283"/>
              <w:jc w:val="right"/>
              <w:rPr/>
            </w:pPr>
            <w:r>
              <w:rPr/>
              <w:t>3,000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1066" w:type="dxa"/>
            <w:tcBorders/>
            <w:shd w:fill="auto" w:val="clear"/>
            <w:tcMar>
              <w:bottom w:w="0" w:type="dxa"/>
            </w:tcMar>
            <w:vAlign w:val="center"/>
          </w:tcPr>
          <w:p>
            <w:pPr>
              <w:pStyle w:val="TableContents"/>
              <w:spacing w:lineRule="atLeast" w:line="240" w:before="0" w:after="283"/>
              <w:jc w:val="right"/>
              <w:rPr/>
            </w:pPr>
            <w:r>
              <w:rPr/>
              <w:t>107,010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63"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921" w:type="dxa"/>
            <w:tcBorders/>
            <w:shd w:fill="auto" w:val="clear"/>
            <w:tcMar>
              <w:bottom w:w="0" w:type="dxa"/>
            </w:tcMar>
            <w:vAlign w:val="center"/>
          </w:tcPr>
          <w:p>
            <w:pPr>
              <w:pStyle w:val="TableContents"/>
              <w:spacing w:before="0" w:after="283"/>
              <w:jc w:val="right"/>
              <w:rPr/>
            </w:pPr>
            <w:r>
              <w:rPr/>
              <w:t>4,250</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jc w:val="right"/>
              <w:rPr/>
            </w:pPr>
            <w:r>
              <w:rPr/>
              <w:t>​</w:t>
            </w:r>
          </w:p>
        </w:tc>
        <w:tc>
          <w:tcPr>
            <w:tcW w:w="1037" w:type="dxa"/>
            <w:tcBorders/>
            <w:shd w:fill="auto" w:val="clear"/>
            <w:tcMar>
              <w:bottom w:w="0" w:type="dxa"/>
            </w:tcMar>
            <w:vAlign w:val="center"/>
          </w:tcPr>
          <w:p>
            <w:pPr>
              <w:pStyle w:val="TableContents"/>
              <w:spacing w:before="0" w:after="283"/>
              <w:jc w:val="right"/>
              <w:rPr/>
            </w:pPr>
            <w:r>
              <w:rPr/>
              <w:t>12,750</w:t>
            </w:r>
          </w:p>
        </w:tc>
        <w:tc>
          <w:tcPr>
            <w:tcW w:w="12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29.61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2/19/2031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750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26,753</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63"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921" w:type="dxa"/>
            <w:tcBorders/>
            <w:shd w:fill="auto" w:val="clear"/>
            <w:tcMar>
              <w:bottom w:w="0" w:type="dxa"/>
            </w:tcMar>
            <w:vAlign w:val="center"/>
          </w:tcPr>
          <w:p>
            <w:pPr>
              <w:pStyle w:val="TableContents"/>
              <w:spacing w:before="0" w:after="283"/>
              <w:jc w:val="right"/>
              <w:rPr/>
            </w:pPr>
            <w:r>
              <w:rPr/>
              <w:t>17,500</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jc w:val="right"/>
              <w:rPr/>
            </w:pPr>
            <w:r>
              <w:rPr/>
              <w:t>​</w:t>
            </w:r>
          </w:p>
        </w:tc>
        <w:tc>
          <w:tcPr>
            <w:tcW w:w="1037" w:type="dxa"/>
            <w:tcBorders/>
            <w:shd w:fill="auto" w:val="clear"/>
            <w:tcMar>
              <w:bottom w:w="0" w:type="dxa"/>
            </w:tcMar>
            <w:vAlign w:val="center"/>
          </w:tcPr>
          <w:p>
            <w:pPr>
              <w:pStyle w:val="TableContents"/>
              <w:spacing w:before="0" w:after="283"/>
              <w:jc w:val="right"/>
              <w:rPr/>
            </w:pPr>
            <w:r>
              <w:rPr/>
              <w:t>17,500</w:t>
            </w:r>
          </w:p>
        </w:tc>
        <w:tc>
          <w:tcPr>
            <w:tcW w:w="12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23.99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2/21/2030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63"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921" w:type="dxa"/>
            <w:tcBorders/>
            <w:shd w:fill="auto" w:val="clear"/>
            <w:tcMar>
              <w:bottom w:w="0" w:type="dxa"/>
            </w:tcMar>
            <w:vAlign w:val="center"/>
          </w:tcPr>
          <w:p>
            <w:pPr>
              <w:pStyle w:val="TableContents"/>
              <w:spacing w:before="0" w:after="283"/>
              <w:jc w:val="right"/>
              <w:rPr/>
            </w:pPr>
            <w:r>
              <w:rPr/>
              <w:t>26,250</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jc w:val="right"/>
              <w:rPr/>
            </w:pPr>
            <w:r>
              <w:rPr/>
              <w:t>​</w:t>
            </w:r>
          </w:p>
        </w:tc>
        <w:tc>
          <w:tcPr>
            <w:tcW w:w="1037" w:type="dxa"/>
            <w:tcBorders/>
            <w:shd w:fill="auto" w:val="clear"/>
            <w:tcMar>
              <w:bottom w:w="0" w:type="dxa"/>
            </w:tcMar>
            <w:vAlign w:val="center"/>
          </w:tcPr>
          <w:p>
            <w:pPr>
              <w:pStyle w:val="TableContents"/>
              <w:spacing w:before="0" w:after="283"/>
              <w:jc w:val="right"/>
              <w:rPr/>
            </w:pPr>
            <w:r>
              <w:rPr/>
              <w:t>8,750</w:t>
            </w:r>
          </w:p>
        </w:tc>
        <w:tc>
          <w:tcPr>
            <w:tcW w:w="12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36.75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2/22/2029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63"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921" w:type="dxa"/>
            <w:tcBorders/>
            <w:shd w:fill="auto" w:val="clear"/>
            <w:tcMar>
              <w:bottom w:w="0" w:type="dxa"/>
            </w:tcMar>
            <w:vAlign w:val="center"/>
          </w:tcPr>
          <w:p>
            <w:pPr>
              <w:pStyle w:val="TableContents"/>
              <w:spacing w:before="0" w:after="283"/>
              <w:jc w:val="right"/>
              <w:rPr/>
            </w:pPr>
            <w:r>
              <w:rPr/>
              <w:t>30,000</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jc w:val="right"/>
              <w:rPr/>
            </w:pPr>
            <w:r>
              <w:rPr/>
              <w:t>​</w:t>
            </w:r>
          </w:p>
        </w:tc>
        <w:tc>
          <w:tcPr>
            <w:tcW w:w="1037" w:type="dxa"/>
            <w:tcBorders/>
            <w:shd w:fill="auto" w:val="clear"/>
            <w:tcMar>
              <w:bottom w:w="0" w:type="dxa"/>
            </w:tcMar>
            <w:vAlign w:val="center"/>
          </w:tcPr>
          <w:p>
            <w:pPr>
              <w:pStyle w:val="TableContents"/>
              <w:spacing w:before="0" w:after="283"/>
              <w:jc w:val="right"/>
              <w:rPr/>
            </w:pPr>
            <w:r>
              <w:rPr/>
              <w:t>—</w:t>
            </w:r>
          </w:p>
        </w:tc>
        <w:tc>
          <w:tcPr>
            <w:tcW w:w="12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39.40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2/14/2028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63"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921" w:type="dxa"/>
            <w:tcBorders/>
            <w:shd w:fill="auto" w:val="clear"/>
            <w:tcMar>
              <w:bottom w:w="0" w:type="dxa"/>
            </w:tcMar>
            <w:vAlign w:val="center"/>
          </w:tcPr>
          <w:p>
            <w:pPr>
              <w:pStyle w:val="TableContents"/>
              <w:spacing w:before="0" w:after="283"/>
              <w:jc w:val="right"/>
              <w:rPr/>
            </w:pPr>
            <w:r>
              <w:rPr/>
              <w:t>40,000</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jc w:val="right"/>
              <w:rPr/>
            </w:pPr>
            <w:r>
              <w:rPr/>
              <w:t>​</w:t>
            </w:r>
          </w:p>
        </w:tc>
        <w:tc>
          <w:tcPr>
            <w:tcW w:w="1037" w:type="dxa"/>
            <w:tcBorders/>
            <w:shd w:fill="auto" w:val="clear"/>
            <w:tcMar>
              <w:bottom w:w="0" w:type="dxa"/>
            </w:tcMar>
            <w:vAlign w:val="center"/>
          </w:tcPr>
          <w:p>
            <w:pPr>
              <w:pStyle w:val="TableContents"/>
              <w:spacing w:before="0" w:after="283"/>
              <w:jc w:val="right"/>
              <w:rPr/>
            </w:pPr>
            <w:r>
              <w:rPr/>
              <w:t>—</w:t>
            </w:r>
          </w:p>
        </w:tc>
        <w:tc>
          <w:tcPr>
            <w:tcW w:w="12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25.30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2/24/2027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63"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921" w:type="dxa"/>
            <w:tcBorders/>
            <w:shd w:fill="auto" w:val="clear"/>
            <w:tcMar>
              <w:bottom w:w="0" w:type="dxa"/>
            </w:tcMar>
            <w:vAlign w:val="center"/>
          </w:tcPr>
          <w:p>
            <w:pPr>
              <w:pStyle w:val="TableContents"/>
              <w:spacing w:before="0" w:after="283"/>
              <w:jc w:val="right"/>
              <w:rPr/>
            </w:pPr>
            <w:r>
              <w:rPr/>
              <w:t>40,000</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jc w:val="right"/>
              <w:rPr/>
            </w:pPr>
            <w:r>
              <w:rPr/>
              <w:t>​</w:t>
            </w:r>
          </w:p>
        </w:tc>
        <w:tc>
          <w:tcPr>
            <w:tcW w:w="1037" w:type="dxa"/>
            <w:tcBorders/>
            <w:shd w:fill="auto" w:val="clear"/>
            <w:tcMar>
              <w:bottom w:w="0" w:type="dxa"/>
            </w:tcMar>
            <w:vAlign w:val="center"/>
          </w:tcPr>
          <w:p>
            <w:pPr>
              <w:pStyle w:val="TableContents"/>
              <w:spacing w:before="0" w:after="283"/>
              <w:jc w:val="right"/>
              <w:rPr/>
            </w:pPr>
            <w:r>
              <w:rPr/>
              <w:t>—</w:t>
            </w:r>
          </w:p>
        </w:tc>
        <w:tc>
          <w:tcPr>
            <w:tcW w:w="12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12.98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3/1/2026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63"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921" w:type="dxa"/>
            <w:tcBorders/>
            <w:shd w:fill="auto" w:val="clear"/>
            <w:tcMar>
              <w:bottom w:w="0" w:type="dxa"/>
            </w:tcMar>
            <w:vAlign w:val="center"/>
          </w:tcPr>
          <w:p>
            <w:pPr>
              <w:pStyle w:val="TableContents"/>
              <w:spacing w:before="0" w:after="283"/>
              <w:jc w:val="right"/>
              <w:rPr/>
            </w:pPr>
            <w:r>
              <w:rPr/>
              <w:t>10,000</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jc w:val="right"/>
              <w:rPr/>
            </w:pPr>
            <w:r>
              <w:rPr/>
              <w:t>​</w:t>
            </w:r>
          </w:p>
        </w:tc>
        <w:tc>
          <w:tcPr>
            <w:tcW w:w="1037" w:type="dxa"/>
            <w:tcBorders/>
            <w:shd w:fill="auto" w:val="clear"/>
            <w:tcMar>
              <w:bottom w:w="0" w:type="dxa"/>
            </w:tcMar>
            <w:vAlign w:val="center"/>
          </w:tcPr>
          <w:p>
            <w:pPr>
              <w:pStyle w:val="TableContents"/>
              <w:spacing w:before="0" w:after="283"/>
              <w:jc w:val="right"/>
              <w:rPr/>
            </w:pPr>
            <w:r>
              <w:rPr/>
              <w:t>—</w:t>
            </w:r>
          </w:p>
        </w:tc>
        <w:tc>
          <w:tcPr>
            <w:tcW w:w="12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9.13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3/3/2025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63" w:type="dxa"/>
            <w:vMerge w:val="restart"/>
            <w:tcBorders/>
            <w:shd w:fill="CCEEFF" w:val="clear"/>
            <w:tcMar>
              <w:bottom w:w="0" w:type="dxa"/>
            </w:tcMar>
            <w:vAlign w:val="center"/>
          </w:tcPr>
          <w:p>
            <w:pPr>
              <w:pStyle w:val="TableContents"/>
              <w:spacing w:lineRule="atLeast" w:line="240" w:before="0" w:after="0"/>
              <w:jc w:val="left"/>
              <w:rPr>
                <w:spacing w:val="4"/>
              </w:rPr>
            </w:pPr>
            <w:r>
              <w:rPr>
                <w:spacing w:val="4"/>
              </w:rPr>
              <w:t xml:space="preserve">Frank Mottola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lineRule="atLeast" w:line="240" w:before="0" w:after="283"/>
              <w:jc w:val="right"/>
              <w:rPr/>
            </w:pPr>
            <w:r>
              <w:rPr/>
              <w:t>​</w:t>
            </w:r>
          </w:p>
        </w:tc>
        <w:tc>
          <w:tcPr>
            <w:tcW w:w="921" w:type="dxa"/>
            <w:tcBorders/>
            <w:shd w:fill="CCEEFF" w:val="clear"/>
            <w:tcMar>
              <w:bottom w:w="0" w:type="dxa"/>
            </w:tcMar>
            <w:vAlign w:val="center"/>
          </w:tcPr>
          <w:p>
            <w:pPr>
              <w:pStyle w:val="TableContents"/>
              <w:spacing w:lineRule="atLeast" w:line="240" w:before="0" w:after="283"/>
              <w:jc w:val="right"/>
              <w:rPr/>
            </w:pPr>
            <w:r>
              <w:rPr/>
              <w:t>—</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lineRule="atLeast" w:line="240" w:before="0" w:after="283"/>
              <w:jc w:val="right"/>
              <w:rPr/>
            </w:pPr>
            <w:r>
              <w:rPr/>
              <w:t>​</w:t>
            </w:r>
          </w:p>
        </w:tc>
        <w:tc>
          <w:tcPr>
            <w:tcW w:w="1037" w:type="dxa"/>
            <w:tcBorders/>
            <w:shd w:fill="CCEEFF" w:val="clear"/>
            <w:tcMar>
              <w:bottom w:w="0" w:type="dxa"/>
            </w:tcMar>
            <w:vAlign w:val="center"/>
          </w:tcPr>
          <w:p>
            <w:pPr>
              <w:pStyle w:val="TableContents"/>
              <w:spacing w:lineRule="atLeast" w:line="240" w:before="0" w:after="283"/>
              <w:jc w:val="right"/>
              <w:rPr/>
            </w:pPr>
            <w:r>
              <w:rPr/>
              <w:t>18,000</w:t>
            </w:r>
          </w:p>
        </w:tc>
        <w:tc>
          <w:tcPr>
            <w:tcW w:w="12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646" w:type="dxa"/>
            <w:tcBorders/>
            <w:shd w:fill="CCEEFF" w:val="clear"/>
            <w:tcMar>
              <w:bottom w:w="0" w:type="dxa"/>
            </w:tcMar>
            <w:vAlign w:val="center"/>
          </w:tcPr>
          <w:p>
            <w:pPr>
              <w:pStyle w:val="TableContents"/>
              <w:spacing w:lineRule="atLeast" w:line="240" w:before="0" w:after="283"/>
              <w:jc w:val="right"/>
              <w:rPr/>
            </w:pPr>
            <w:r>
              <w:rPr/>
              <w:t>32.20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742" w:type="dxa"/>
            <w:tcBorders/>
            <w:shd w:fill="CCEEFF" w:val="clear"/>
            <w:tcMar>
              <w:bottom w:w="0" w:type="dxa"/>
            </w:tcMar>
            <w:vAlign w:val="center"/>
          </w:tcPr>
          <w:p>
            <w:pPr>
              <w:pStyle w:val="TableContents"/>
              <w:spacing w:lineRule="atLeast" w:line="240" w:before="0" w:after="283"/>
              <w:jc w:val="right"/>
              <w:rPr/>
            </w:pPr>
            <w:r>
              <w:rPr/>
              <w:t>2/22/2032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646" w:type="dxa"/>
            <w:tcBorders/>
            <w:shd w:fill="CCEEFF" w:val="clear"/>
            <w:tcMar>
              <w:bottom w:w="0" w:type="dxa"/>
            </w:tcMar>
            <w:vAlign w:val="center"/>
          </w:tcPr>
          <w:p>
            <w:pPr>
              <w:pStyle w:val="TableContents"/>
              <w:spacing w:lineRule="atLeast" w:line="240" w:before="0" w:after="283"/>
              <w:jc w:val="right"/>
              <w:rPr/>
            </w:pPr>
            <w:r>
              <w:rPr/>
              <w:t>3,000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107,010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3,000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1066" w:type="dxa"/>
            <w:tcBorders/>
            <w:shd w:fill="CCEEFF" w:val="clear"/>
            <w:tcMar>
              <w:bottom w:w="0" w:type="dxa"/>
            </w:tcMar>
            <w:vAlign w:val="center"/>
          </w:tcPr>
          <w:p>
            <w:pPr>
              <w:pStyle w:val="TableContents"/>
              <w:spacing w:lineRule="atLeast" w:line="240" w:before="0" w:after="283"/>
              <w:jc w:val="right"/>
              <w:rPr/>
            </w:pPr>
            <w:r>
              <w:rPr/>
              <w:t>107,010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6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4,250</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jc w:val="right"/>
              <w:rPr/>
            </w:pPr>
            <w:r>
              <w:rPr/>
              <w:t>​</w:t>
            </w:r>
          </w:p>
        </w:tc>
        <w:tc>
          <w:tcPr>
            <w:tcW w:w="1037" w:type="dxa"/>
            <w:tcBorders/>
            <w:shd w:fill="CCEEFF" w:val="clear"/>
            <w:tcMar>
              <w:bottom w:w="0" w:type="dxa"/>
            </w:tcMar>
            <w:vAlign w:val="center"/>
          </w:tcPr>
          <w:p>
            <w:pPr>
              <w:pStyle w:val="TableContents"/>
              <w:spacing w:before="0" w:after="283"/>
              <w:jc w:val="right"/>
              <w:rPr/>
            </w:pPr>
            <w:r>
              <w:rPr/>
              <w:t>12,750</w:t>
            </w:r>
          </w:p>
        </w:tc>
        <w:tc>
          <w:tcPr>
            <w:tcW w:w="12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29.61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2/19/2031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1,500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53,505</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6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11,000</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jc w:val="right"/>
              <w:rPr/>
            </w:pPr>
            <w:r>
              <w:rPr/>
              <w:t>​</w:t>
            </w:r>
          </w:p>
        </w:tc>
        <w:tc>
          <w:tcPr>
            <w:tcW w:w="1037" w:type="dxa"/>
            <w:tcBorders/>
            <w:shd w:fill="CCEEFF" w:val="clear"/>
            <w:tcMar>
              <w:bottom w:w="0" w:type="dxa"/>
            </w:tcMar>
            <w:vAlign w:val="center"/>
          </w:tcPr>
          <w:p>
            <w:pPr>
              <w:pStyle w:val="TableContents"/>
              <w:spacing w:before="0" w:after="283"/>
              <w:jc w:val="right"/>
              <w:rPr/>
            </w:pPr>
            <w:r>
              <w:rPr/>
              <w:t>11,000</w:t>
            </w:r>
          </w:p>
        </w:tc>
        <w:tc>
          <w:tcPr>
            <w:tcW w:w="12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23.99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2/21/2030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6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10,500</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jc w:val="right"/>
              <w:rPr/>
            </w:pPr>
            <w:r>
              <w:rPr/>
              <w:t>​</w:t>
            </w:r>
          </w:p>
        </w:tc>
        <w:tc>
          <w:tcPr>
            <w:tcW w:w="1037" w:type="dxa"/>
            <w:tcBorders/>
            <w:shd w:fill="CCEEFF" w:val="clear"/>
            <w:tcMar>
              <w:bottom w:w="0" w:type="dxa"/>
            </w:tcMar>
            <w:vAlign w:val="center"/>
          </w:tcPr>
          <w:p>
            <w:pPr>
              <w:pStyle w:val="TableContents"/>
              <w:spacing w:before="0" w:after="283"/>
              <w:jc w:val="right"/>
              <w:rPr/>
            </w:pPr>
            <w:r>
              <w:rPr/>
              <w:t>3,500</w:t>
            </w:r>
          </w:p>
        </w:tc>
        <w:tc>
          <w:tcPr>
            <w:tcW w:w="12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36.75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2/22/2029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6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10,000</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jc w:val="right"/>
              <w:rPr/>
            </w:pPr>
            <w:r>
              <w:rPr/>
              <w:t>​</w:t>
            </w:r>
          </w:p>
        </w:tc>
        <w:tc>
          <w:tcPr>
            <w:tcW w:w="1037" w:type="dxa"/>
            <w:tcBorders/>
            <w:shd w:fill="CCEEFF" w:val="clear"/>
            <w:tcMar>
              <w:bottom w:w="0" w:type="dxa"/>
            </w:tcMar>
            <w:vAlign w:val="center"/>
          </w:tcPr>
          <w:p>
            <w:pPr>
              <w:pStyle w:val="TableContents"/>
              <w:spacing w:before="0" w:after="283"/>
              <w:jc w:val="right"/>
              <w:rPr/>
            </w:pPr>
            <w:r>
              <w:rPr/>
              <w:t>—</w:t>
            </w:r>
          </w:p>
        </w:tc>
        <w:tc>
          <w:tcPr>
            <w:tcW w:w="12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39.40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2/14/2028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6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15,000</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jc w:val="right"/>
              <w:rPr/>
            </w:pPr>
            <w:r>
              <w:rPr/>
              <w:t>​</w:t>
            </w:r>
          </w:p>
        </w:tc>
        <w:tc>
          <w:tcPr>
            <w:tcW w:w="1037" w:type="dxa"/>
            <w:tcBorders/>
            <w:shd w:fill="CCEEFF" w:val="clear"/>
            <w:tcMar>
              <w:bottom w:w="0" w:type="dxa"/>
            </w:tcMar>
            <w:vAlign w:val="center"/>
          </w:tcPr>
          <w:p>
            <w:pPr>
              <w:pStyle w:val="TableContents"/>
              <w:spacing w:before="0" w:after="283"/>
              <w:jc w:val="right"/>
              <w:rPr/>
            </w:pPr>
            <w:r>
              <w:rPr/>
              <w:t>—</w:t>
            </w:r>
          </w:p>
        </w:tc>
        <w:tc>
          <w:tcPr>
            <w:tcW w:w="12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25.30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2/24/2027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6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14,000</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jc w:val="right"/>
              <w:rPr/>
            </w:pPr>
            <w:r>
              <w:rPr/>
              <w:t>​</w:t>
            </w:r>
          </w:p>
        </w:tc>
        <w:tc>
          <w:tcPr>
            <w:tcW w:w="1037" w:type="dxa"/>
            <w:tcBorders/>
            <w:shd w:fill="CCEEFF" w:val="clear"/>
            <w:tcMar>
              <w:bottom w:w="0" w:type="dxa"/>
            </w:tcMar>
            <w:vAlign w:val="center"/>
          </w:tcPr>
          <w:p>
            <w:pPr>
              <w:pStyle w:val="TableContents"/>
              <w:spacing w:before="0" w:after="283"/>
              <w:jc w:val="right"/>
              <w:rPr/>
            </w:pPr>
            <w:r>
              <w:rPr/>
              <w:t>—</w:t>
            </w:r>
          </w:p>
        </w:tc>
        <w:tc>
          <w:tcPr>
            <w:tcW w:w="12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12.98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3/1/2026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6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15,000</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jc w:val="right"/>
              <w:rPr/>
            </w:pPr>
            <w:r>
              <w:rPr/>
              <w:t>​</w:t>
            </w:r>
          </w:p>
        </w:tc>
        <w:tc>
          <w:tcPr>
            <w:tcW w:w="1037" w:type="dxa"/>
            <w:tcBorders/>
            <w:shd w:fill="CCEEFF" w:val="clear"/>
            <w:tcMar>
              <w:bottom w:w="0" w:type="dxa"/>
            </w:tcMar>
            <w:vAlign w:val="center"/>
          </w:tcPr>
          <w:p>
            <w:pPr>
              <w:pStyle w:val="TableContents"/>
              <w:spacing w:before="0" w:after="283"/>
              <w:jc w:val="right"/>
              <w:rPr/>
            </w:pPr>
            <w:r>
              <w:rPr/>
              <w:t>—</w:t>
            </w:r>
          </w:p>
        </w:tc>
        <w:tc>
          <w:tcPr>
            <w:tcW w:w="12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9.13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3/3/2025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6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2,000</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jc w:val="right"/>
              <w:rPr/>
            </w:pPr>
            <w:r>
              <w:rPr/>
              <w:t>​</w:t>
            </w:r>
          </w:p>
        </w:tc>
        <w:tc>
          <w:tcPr>
            <w:tcW w:w="1037" w:type="dxa"/>
            <w:tcBorders/>
            <w:shd w:fill="CCEEFF" w:val="clear"/>
            <w:tcMar>
              <w:bottom w:w="0" w:type="dxa"/>
            </w:tcMar>
            <w:vAlign w:val="center"/>
          </w:tcPr>
          <w:p>
            <w:pPr>
              <w:pStyle w:val="TableContents"/>
              <w:spacing w:before="0" w:after="283"/>
              <w:jc w:val="right"/>
              <w:rPr/>
            </w:pPr>
            <w:r>
              <w:rPr/>
              <w:t>—</w:t>
            </w:r>
          </w:p>
        </w:tc>
        <w:tc>
          <w:tcPr>
            <w:tcW w:w="12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9.24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1/24/2024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stock options and grants of restricted stock units vest over four years in four equal installments of 25% each on the first four anniversaries of the date of grant. </w:t>
      </w:r>
      <w:r>
        <mc:AlternateContent>
          <mc:Choice Requires="wps">
            <w:drawing>
              <wp:anchor behindDoc="0" distT="83820" distB="0" distL="0" distR="0" simplePos="0" locked="0" layoutInCell="1" allowOverlap="1" relativeHeight="158">
                <wp:simplePos x="0" y="0"/>
                <wp:positionH relativeFrom="column">
                  <wp:align>left</wp:align>
                </wp:positionH>
                <wp:positionV relativeFrom="line">
                  <wp:align>top</wp:align>
                </wp:positionV>
                <wp:extent cx="254000" cy="350520"/>
                <wp:effectExtent l="0" t="0" r="0" b="0"/>
                <wp:wrapSquare wrapText="largest"/>
                <wp:docPr id="151" name="Frame15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Equals the closing market price of our common stock on the date of grant. </w:t>
      </w:r>
      <w:r>
        <mc:AlternateContent>
          <mc:Choice Requires="wps">
            <w:drawing>
              <wp:anchor behindDoc="0" distT="33020" distB="0" distL="0" distR="0" simplePos="0" locked="0" layoutInCell="1" allowOverlap="1" relativeHeight="159">
                <wp:simplePos x="0" y="0"/>
                <wp:positionH relativeFrom="column">
                  <wp:align>left</wp:align>
                </wp:positionH>
                <wp:positionV relativeFrom="line">
                  <wp:align>top</wp:align>
                </wp:positionV>
                <wp:extent cx="254000" cy="350520"/>
                <wp:effectExtent l="0" t="0" r="0" b="0"/>
                <wp:wrapSquare wrapText="largest"/>
                <wp:docPr id="152" name="Frame15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closing market price of our common stock on December 30, 2022. </w:t>
      </w:r>
      <w:r>
        <mc:AlternateContent>
          <mc:Choice Requires="wps">
            <w:drawing>
              <wp:anchor behindDoc="0" distT="0" distB="0" distL="0" distR="0" simplePos="0" locked="0" layoutInCell="1" allowOverlap="1" relativeHeight="160">
                <wp:simplePos x="0" y="0"/>
                <wp:positionH relativeFrom="column">
                  <wp:align>left</wp:align>
                </wp:positionH>
                <wp:positionV relativeFrom="line">
                  <wp:posOffset>635</wp:posOffset>
                </wp:positionV>
                <wp:extent cx="254000" cy="350520"/>
                <wp:effectExtent l="0" t="0" r="0" b="0"/>
                <wp:wrapSquare wrapText="largest"/>
                <wp:docPr id="153" name="Frame15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performance share units vest, if at all, upon the achievement of specific individual performance objectives, which are designed to support the long-term performance of the Company. </w:t>
      </w:r>
      <w:r>
        <mc:AlternateContent>
          <mc:Choice Requires="wps">
            <w:drawing>
              <wp:anchor behindDoc="0" distT="63500" distB="0" distL="0" distR="0" simplePos="0" locked="0" layoutInCell="1" allowOverlap="1" relativeHeight="161">
                <wp:simplePos x="0" y="0"/>
                <wp:positionH relativeFrom="column">
                  <wp:align>left</wp:align>
                </wp:positionH>
                <wp:positionV relativeFrom="line">
                  <wp:align>top</wp:align>
                </wp:positionV>
                <wp:extent cx="254000" cy="350520"/>
                <wp:effectExtent l="0" t="0" r="0" b="0"/>
                <wp:wrapSquare wrapText="largest"/>
                <wp:docPr id="154" name="Frame15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 Exercises and Stock Vested</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28" w:type="dxa"/>
          <w:right w:w="0" w:type="dxa"/>
        </w:tblCellMar>
      </w:tblPr>
      <w:tblGrid>
        <w:gridCol w:w="1960"/>
        <w:gridCol w:w="109"/>
        <w:gridCol w:w="109"/>
        <w:gridCol w:w="133"/>
        <w:gridCol w:w="133"/>
        <w:gridCol w:w="1091"/>
        <w:gridCol w:w="133"/>
        <w:gridCol w:w="109"/>
        <w:gridCol w:w="109"/>
        <w:gridCol w:w="109"/>
        <w:gridCol w:w="109"/>
        <w:gridCol w:w="1186"/>
        <w:gridCol w:w="109"/>
        <w:gridCol w:w="109"/>
        <w:gridCol w:w="109"/>
        <w:gridCol w:w="142"/>
        <w:gridCol w:w="142"/>
        <w:gridCol w:w="999"/>
        <w:gridCol w:w="142"/>
        <w:gridCol w:w="109"/>
        <w:gridCol w:w="109"/>
        <w:gridCol w:w="109"/>
        <w:gridCol w:w="109"/>
        <w:gridCol w:w="1066"/>
        <w:gridCol w:w="109"/>
        <w:gridCol w:w="159"/>
      </w:tblGrid>
      <w:tr>
        <w:trPr/>
        <w:tc>
          <w:tcPr>
            <w:tcW w:w="1960"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221" w:type="dxa"/>
            <w:gridSpan w:val="1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Option Awards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036" w:type="dxa"/>
            <w:gridSpan w:val="1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Stock Awards </w:t>
            </w:r>
          </w:p>
        </w:tc>
        <w:tc>
          <w:tcPr>
            <w:tcW w:w="159" w:type="dxa"/>
            <w:tcBorders>
              <w:bottom w:val="single" w:sz="2" w:space="0" w:color="FFFFFF"/>
            </w:tcBorders>
            <w:shd w:fill="auto" w:val="clear"/>
            <w:vAlign w:val="center"/>
          </w:tcPr>
          <w:p>
            <w:pPr>
              <w:pStyle w:val="TableContents"/>
              <w:spacing w:before="0" w:after="283"/>
              <w:rPr/>
            </w:pPr>
            <w:r>
              <w:rPr/>
              <w:t>​</w:t>
            </w:r>
          </w:p>
        </w:tc>
      </w:tr>
      <w:tr>
        <w:trPr/>
        <w:tc>
          <w:tcPr>
            <w:tcW w:w="1960" w:type="dxa"/>
            <w:tcBorders>
              <w:bottom w:val="single" w:sz="2" w:space="0" w:color="000000"/>
            </w:tcBorders>
            <w:shd w:fill="auto" w:val="clear"/>
            <w:tcMar>
              <w:bottom w:w="43" w:type="dxa"/>
            </w:tcM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90"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Number of Shares </w:t>
              <w:br/>
              <w:t xml:space="preserve">Acquired On </w:t>
              <w:br/>
              <w:t xml:space="preserve">Exercise (#)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Value </w:t>
              <w:br/>
              <w:t xml:space="preserve">Realized On </w:t>
              <w:br/>
              <w:t xml:space="preserve">Exercise ($)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25"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Number of Shares </w:t>
              <w:br/>
              <w:t xml:space="preserve">Acquired On </w:t>
              <w:br/>
              <w:t xml:space="preserve">Vesting (#)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Value </w:t>
              <w:br/>
              <w:t xml:space="preserve">Realized On </w:t>
              <w:br/>
              <w:t xml:space="preserve">Vesting ($) </w:t>
            </w:r>
          </w:p>
        </w:tc>
        <w:tc>
          <w:tcPr>
            <w:tcW w:w="159" w:type="dxa"/>
            <w:tcBorders>
              <w:bottom w:val="single" w:sz="2" w:space="0" w:color="FFFFFF"/>
            </w:tcBorders>
            <w:shd w:fill="auto" w:val="clear"/>
            <w:vAlign w:val="center"/>
          </w:tcPr>
          <w:p>
            <w:pPr>
              <w:pStyle w:val="TableContents"/>
              <w:spacing w:before="0" w:after="283"/>
              <w:rPr/>
            </w:pPr>
            <w:r>
              <w:rPr/>
              <w:t>​</w:t>
            </w:r>
          </w:p>
        </w:tc>
      </w:tr>
      <w:tr>
        <w:trPr/>
        <w:tc>
          <w:tcPr>
            <w:tcW w:w="1960" w:type="dxa"/>
            <w:tcBorders/>
            <w:shd w:fill="CCEEFF" w:val="clear"/>
            <w:tcMar>
              <w:bottom w:w="0" w:type="dxa"/>
            </w:tcMar>
            <w:vAlign w:val="center"/>
          </w:tcPr>
          <w:p>
            <w:pPr>
              <w:pStyle w:val="TableContents"/>
              <w:spacing w:before="0" w:after="0"/>
              <w:jc w:val="left"/>
              <w:rPr>
                <w:spacing w:val="4"/>
              </w:rPr>
            </w:pPr>
            <w:r>
              <w:rPr>
                <w:spacing w:val="4"/>
              </w:rPr>
              <w:t xml:space="preserve">Jack A. Khattar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3" w:type="dxa"/>
            <w:tcBorders/>
            <w:shd w:fill="CCEEFF" w:val="clear"/>
            <w:tcMar>
              <w:bottom w:w="0" w:type="dxa"/>
            </w:tcMar>
            <w:vAlign w:val="center"/>
          </w:tcPr>
          <w:p>
            <w:pPr>
              <w:pStyle w:val="TableContents"/>
              <w:spacing w:before="0" w:after="283"/>
              <w:rPr/>
            </w:pPr>
            <w:r>
              <w:rPr/>
              <w:t>​</w:t>
            </w:r>
          </w:p>
        </w:tc>
        <w:tc>
          <w:tcPr>
            <w:tcW w:w="133" w:type="dxa"/>
            <w:tcBorders/>
            <w:shd w:fill="CCEEFF" w:val="clear"/>
            <w:tcMar>
              <w:bottom w:w="0" w:type="dxa"/>
            </w:tcMar>
            <w:vAlign w:val="center"/>
          </w:tcPr>
          <w:p>
            <w:pPr>
              <w:pStyle w:val="TableContents"/>
              <w:spacing w:before="0" w:after="283"/>
              <w:jc w:val="right"/>
              <w:rPr/>
            </w:pPr>
            <w:r>
              <w:rPr/>
              <w:t>​</w:t>
            </w:r>
          </w:p>
        </w:tc>
        <w:tc>
          <w:tcPr>
            <w:tcW w:w="1091" w:type="dxa"/>
            <w:tcBorders/>
            <w:shd w:fill="CCEEFF" w:val="clear"/>
            <w:tcMar>
              <w:bottom w:w="0" w:type="dxa"/>
            </w:tcMar>
            <w:vAlign w:val="center"/>
          </w:tcPr>
          <w:p>
            <w:pPr>
              <w:pStyle w:val="TableContents"/>
              <w:spacing w:before="0" w:after="283"/>
              <w:jc w:val="right"/>
              <w:rPr/>
            </w:pPr>
            <w:r>
              <w:rPr/>
              <w:t>442,000</w:t>
            </w:r>
          </w:p>
        </w:tc>
        <w:tc>
          <w:tcPr>
            <w:tcW w:w="13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10,792,910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2" w:type="dxa"/>
            <w:tcBorders/>
            <w:shd w:fill="CCEEFF" w:val="clear"/>
            <w:tcMar>
              <w:bottom w:w="0" w:type="dxa"/>
            </w:tcMar>
            <w:vAlign w:val="center"/>
          </w:tcPr>
          <w:p>
            <w:pPr>
              <w:pStyle w:val="TableContents"/>
              <w:spacing w:before="0" w:after="283"/>
              <w:rPr/>
            </w:pPr>
            <w:r>
              <w:rPr/>
              <w:t>​</w:t>
            </w:r>
          </w:p>
        </w:tc>
        <w:tc>
          <w:tcPr>
            <w:tcW w:w="142" w:type="dxa"/>
            <w:tcBorders/>
            <w:shd w:fill="CCEEFF" w:val="clear"/>
            <w:tcMar>
              <w:bottom w:w="0" w:type="dxa"/>
            </w:tcMar>
            <w:vAlign w:val="center"/>
          </w:tcPr>
          <w:p>
            <w:pPr>
              <w:pStyle w:val="TableContents"/>
              <w:spacing w:before="0" w:after="283"/>
              <w:jc w:val="right"/>
              <w:rPr/>
            </w:pPr>
            <w:r>
              <w:rPr/>
              <w:t>​</w:t>
            </w:r>
          </w:p>
        </w:tc>
        <w:tc>
          <w:tcPr>
            <w:tcW w:w="999" w:type="dxa"/>
            <w:tcBorders/>
            <w:shd w:fill="CCEEFF" w:val="clear"/>
            <w:tcMar>
              <w:bottom w:w="0" w:type="dxa"/>
            </w:tcMar>
            <w:vAlign w:val="center"/>
          </w:tcPr>
          <w:p>
            <w:pPr>
              <w:pStyle w:val="TableContents"/>
              <w:spacing w:before="0" w:after="283"/>
              <w:jc w:val="right"/>
              <w:rPr/>
            </w:pPr>
            <w:r>
              <w:rPr/>
              <w:t>35,625</w:t>
            </w:r>
          </w:p>
        </w:tc>
        <w:tc>
          <w:tcPr>
            <w:tcW w:w="14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1,194,469</w:t>
            </w:r>
          </w:p>
        </w:tc>
        <w:tc>
          <w:tcPr>
            <w:tcW w:w="109"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r>
      <w:tr>
        <w:trPr/>
        <w:tc>
          <w:tcPr>
            <w:tcW w:w="1960" w:type="dxa"/>
            <w:tcBorders/>
            <w:shd w:fill="auto" w:val="clear"/>
            <w:tcMar>
              <w:bottom w:w="0" w:type="dxa"/>
            </w:tcMar>
            <w:vAlign w:val="center"/>
          </w:tcPr>
          <w:p>
            <w:pPr>
              <w:pStyle w:val="TableContents"/>
              <w:spacing w:before="0" w:after="0"/>
              <w:jc w:val="left"/>
              <w:rPr>
                <w:spacing w:val="4"/>
              </w:rPr>
            </w:pPr>
            <w:r>
              <w:rPr>
                <w:spacing w:val="4"/>
              </w:rPr>
              <w:t xml:space="preserve">Timothy C. Dec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3" w:type="dxa"/>
            <w:tcBorders/>
            <w:shd w:fill="auto" w:val="clear"/>
            <w:tcMar>
              <w:bottom w:w="0" w:type="dxa"/>
            </w:tcMar>
            <w:vAlign w:val="center"/>
          </w:tcPr>
          <w:p>
            <w:pPr>
              <w:pStyle w:val="TableContents"/>
              <w:spacing w:before="0" w:after="283"/>
              <w:rPr/>
            </w:pPr>
            <w:r>
              <w:rPr/>
              <w:t>​</w:t>
            </w:r>
          </w:p>
        </w:tc>
        <w:tc>
          <w:tcPr>
            <w:tcW w:w="133" w:type="dxa"/>
            <w:tcBorders/>
            <w:shd w:fill="auto" w:val="clear"/>
            <w:tcMar>
              <w:bottom w:w="0" w:type="dxa"/>
            </w:tcMar>
            <w:vAlign w:val="center"/>
          </w:tcPr>
          <w:p>
            <w:pPr>
              <w:pStyle w:val="TableContents"/>
              <w:spacing w:before="0" w:after="283"/>
              <w:jc w:val="right"/>
              <w:rPr/>
            </w:pPr>
            <w:r>
              <w:rPr/>
              <w:t>​</w:t>
            </w:r>
          </w:p>
        </w:tc>
        <w:tc>
          <w:tcPr>
            <w:tcW w:w="1091" w:type="dxa"/>
            <w:tcBorders/>
            <w:shd w:fill="auto" w:val="clear"/>
            <w:tcMar>
              <w:bottom w:w="0" w:type="dxa"/>
            </w:tcMar>
            <w:vAlign w:val="center"/>
          </w:tcPr>
          <w:p>
            <w:pPr>
              <w:pStyle w:val="TableContents"/>
              <w:spacing w:before="0" w:after="283"/>
              <w:jc w:val="right"/>
              <w:rPr/>
            </w:pPr>
            <w:r>
              <w:rPr/>
              <w:t>—</w:t>
            </w:r>
          </w:p>
        </w:tc>
        <w:tc>
          <w:tcPr>
            <w:tcW w:w="13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2" w:type="dxa"/>
            <w:tcBorders/>
            <w:shd w:fill="auto" w:val="clear"/>
            <w:tcMar>
              <w:bottom w:w="0" w:type="dxa"/>
            </w:tcMar>
            <w:vAlign w:val="center"/>
          </w:tcPr>
          <w:p>
            <w:pPr>
              <w:pStyle w:val="TableContents"/>
              <w:spacing w:before="0" w:after="283"/>
              <w:rPr/>
            </w:pPr>
            <w:r>
              <w:rPr/>
              <w:t>​</w:t>
            </w:r>
          </w:p>
        </w:tc>
        <w:tc>
          <w:tcPr>
            <w:tcW w:w="142" w:type="dxa"/>
            <w:tcBorders/>
            <w:shd w:fill="auto" w:val="clear"/>
            <w:tcMar>
              <w:bottom w:w="0" w:type="dxa"/>
            </w:tcMar>
            <w:vAlign w:val="center"/>
          </w:tcPr>
          <w:p>
            <w:pPr>
              <w:pStyle w:val="TableContents"/>
              <w:spacing w:before="0" w:after="283"/>
              <w:jc w:val="right"/>
              <w:rPr/>
            </w:pPr>
            <w:r>
              <w:rPr/>
              <w:t>​</w:t>
            </w:r>
          </w:p>
        </w:tc>
        <w:tc>
          <w:tcPr>
            <w:tcW w:w="999" w:type="dxa"/>
            <w:tcBorders/>
            <w:shd w:fill="auto" w:val="clear"/>
            <w:tcMar>
              <w:bottom w:w="0" w:type="dxa"/>
            </w:tcMar>
            <w:vAlign w:val="center"/>
          </w:tcPr>
          <w:p>
            <w:pPr>
              <w:pStyle w:val="TableContents"/>
              <w:spacing w:before="0" w:after="283"/>
              <w:jc w:val="right"/>
              <w:rPr/>
            </w:pPr>
            <w:r>
              <w:rPr/>
              <w:t>—</w:t>
            </w:r>
          </w:p>
        </w:tc>
        <w:tc>
          <w:tcPr>
            <w:tcW w:w="14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rPr/>
            </w:pPr>
            <w:r>
              <w:rPr/>
              <w:t>​</w:t>
            </w:r>
          </w:p>
        </w:tc>
      </w:tr>
      <w:tr>
        <w:trPr/>
        <w:tc>
          <w:tcPr>
            <w:tcW w:w="1960" w:type="dxa"/>
            <w:tcBorders/>
            <w:shd w:fill="CCEEFF" w:val="clear"/>
            <w:tcMar>
              <w:bottom w:w="0" w:type="dxa"/>
            </w:tcMar>
            <w:vAlign w:val="center"/>
          </w:tcPr>
          <w:p>
            <w:pPr>
              <w:pStyle w:val="TableContents"/>
              <w:spacing w:before="0" w:after="0"/>
              <w:jc w:val="left"/>
              <w:rPr>
                <w:spacing w:val="4"/>
              </w:rPr>
            </w:pPr>
            <w:r>
              <w:rPr>
                <w:spacing w:val="4"/>
              </w:rPr>
              <w:t xml:space="preserve">Jonathan Rubin, MD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3" w:type="dxa"/>
            <w:tcBorders/>
            <w:shd w:fill="CCEEFF" w:val="clear"/>
            <w:tcMar>
              <w:bottom w:w="0" w:type="dxa"/>
            </w:tcMar>
            <w:vAlign w:val="center"/>
          </w:tcPr>
          <w:p>
            <w:pPr>
              <w:pStyle w:val="TableContents"/>
              <w:spacing w:before="0" w:after="283"/>
              <w:rPr/>
            </w:pPr>
            <w:r>
              <w:rPr/>
              <w:t>​</w:t>
            </w:r>
          </w:p>
        </w:tc>
        <w:tc>
          <w:tcPr>
            <w:tcW w:w="133" w:type="dxa"/>
            <w:tcBorders/>
            <w:shd w:fill="CCEEFF" w:val="clear"/>
            <w:tcMar>
              <w:bottom w:w="0" w:type="dxa"/>
            </w:tcMar>
            <w:vAlign w:val="center"/>
          </w:tcPr>
          <w:p>
            <w:pPr>
              <w:pStyle w:val="TableContents"/>
              <w:spacing w:before="0" w:after="283"/>
              <w:jc w:val="right"/>
              <w:rPr/>
            </w:pPr>
            <w:r>
              <w:rPr/>
              <w:t>​</w:t>
            </w:r>
          </w:p>
        </w:tc>
        <w:tc>
          <w:tcPr>
            <w:tcW w:w="1091" w:type="dxa"/>
            <w:tcBorders/>
            <w:shd w:fill="CCEEFF" w:val="clear"/>
            <w:tcMar>
              <w:bottom w:w="0" w:type="dxa"/>
            </w:tcMar>
            <w:vAlign w:val="center"/>
          </w:tcPr>
          <w:p>
            <w:pPr>
              <w:pStyle w:val="TableContents"/>
              <w:spacing w:before="0" w:after="283"/>
              <w:jc w:val="right"/>
              <w:rPr/>
            </w:pPr>
            <w:r>
              <w:rPr/>
              <w:t>—</w:t>
            </w:r>
          </w:p>
        </w:tc>
        <w:tc>
          <w:tcPr>
            <w:tcW w:w="13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2" w:type="dxa"/>
            <w:tcBorders/>
            <w:shd w:fill="CCEEFF" w:val="clear"/>
            <w:tcMar>
              <w:bottom w:w="0" w:type="dxa"/>
            </w:tcMar>
            <w:vAlign w:val="center"/>
          </w:tcPr>
          <w:p>
            <w:pPr>
              <w:pStyle w:val="TableContents"/>
              <w:spacing w:before="0" w:after="283"/>
              <w:rPr/>
            </w:pPr>
            <w:r>
              <w:rPr/>
              <w:t>​</w:t>
            </w:r>
          </w:p>
        </w:tc>
        <w:tc>
          <w:tcPr>
            <w:tcW w:w="142" w:type="dxa"/>
            <w:tcBorders/>
            <w:shd w:fill="CCEEFF" w:val="clear"/>
            <w:tcMar>
              <w:bottom w:w="0" w:type="dxa"/>
            </w:tcMar>
            <w:vAlign w:val="center"/>
          </w:tcPr>
          <w:p>
            <w:pPr>
              <w:pStyle w:val="TableContents"/>
              <w:spacing w:before="0" w:after="283"/>
              <w:jc w:val="right"/>
              <w:rPr/>
            </w:pPr>
            <w:r>
              <w:rPr/>
              <w:t>​</w:t>
            </w:r>
          </w:p>
        </w:tc>
        <w:tc>
          <w:tcPr>
            <w:tcW w:w="999" w:type="dxa"/>
            <w:tcBorders/>
            <w:shd w:fill="CCEEFF" w:val="clear"/>
            <w:tcMar>
              <w:bottom w:w="0" w:type="dxa"/>
            </w:tcMar>
            <w:vAlign w:val="center"/>
          </w:tcPr>
          <w:p>
            <w:pPr>
              <w:pStyle w:val="TableContents"/>
              <w:spacing w:before="0" w:after="283"/>
              <w:jc w:val="right"/>
              <w:rPr/>
            </w:pPr>
            <w:r>
              <w:rPr/>
              <w:t>—</w:t>
            </w:r>
          </w:p>
        </w:tc>
        <w:tc>
          <w:tcPr>
            <w:tcW w:w="14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r>
      <w:tr>
        <w:trPr/>
        <w:tc>
          <w:tcPr>
            <w:tcW w:w="1960" w:type="dxa"/>
            <w:tcBorders/>
            <w:shd w:fill="auto" w:val="clear"/>
            <w:tcMar>
              <w:bottom w:w="0" w:type="dxa"/>
            </w:tcMar>
            <w:vAlign w:val="center"/>
          </w:tcPr>
          <w:p>
            <w:pPr>
              <w:pStyle w:val="TableContents"/>
              <w:spacing w:before="0" w:after="0"/>
              <w:jc w:val="left"/>
              <w:rPr>
                <w:spacing w:val="4"/>
              </w:rPr>
            </w:pPr>
            <w:r>
              <w:rPr>
                <w:spacing w:val="4"/>
              </w:rPr>
              <w:t xml:space="preserve">Padmanabh P. Bhatt, Ph.D.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3" w:type="dxa"/>
            <w:tcBorders/>
            <w:shd w:fill="auto" w:val="clear"/>
            <w:tcMar>
              <w:bottom w:w="0" w:type="dxa"/>
            </w:tcMar>
            <w:vAlign w:val="center"/>
          </w:tcPr>
          <w:p>
            <w:pPr>
              <w:pStyle w:val="TableContents"/>
              <w:spacing w:before="0" w:after="283"/>
              <w:rPr/>
            </w:pPr>
            <w:r>
              <w:rPr/>
              <w:t>​</w:t>
            </w:r>
          </w:p>
        </w:tc>
        <w:tc>
          <w:tcPr>
            <w:tcW w:w="133" w:type="dxa"/>
            <w:tcBorders/>
            <w:shd w:fill="auto" w:val="clear"/>
            <w:tcMar>
              <w:bottom w:w="0" w:type="dxa"/>
            </w:tcMar>
            <w:vAlign w:val="center"/>
          </w:tcPr>
          <w:p>
            <w:pPr>
              <w:pStyle w:val="TableContents"/>
              <w:spacing w:before="0" w:after="283"/>
              <w:jc w:val="right"/>
              <w:rPr/>
            </w:pPr>
            <w:r>
              <w:rPr/>
              <w:t>​</w:t>
            </w:r>
          </w:p>
        </w:tc>
        <w:tc>
          <w:tcPr>
            <w:tcW w:w="1091" w:type="dxa"/>
            <w:tcBorders/>
            <w:shd w:fill="auto" w:val="clear"/>
            <w:tcMar>
              <w:bottom w:w="0" w:type="dxa"/>
            </w:tcMar>
            <w:vAlign w:val="center"/>
          </w:tcPr>
          <w:p>
            <w:pPr>
              <w:pStyle w:val="TableContents"/>
              <w:spacing w:before="0" w:after="283"/>
              <w:jc w:val="right"/>
              <w:rPr/>
            </w:pPr>
            <w:r>
              <w:rPr/>
              <w:t>12,500</w:t>
            </w:r>
          </w:p>
        </w:tc>
        <w:tc>
          <w:tcPr>
            <w:tcW w:w="13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334,602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2" w:type="dxa"/>
            <w:tcBorders/>
            <w:shd w:fill="auto" w:val="clear"/>
            <w:tcMar>
              <w:bottom w:w="0" w:type="dxa"/>
            </w:tcMar>
            <w:vAlign w:val="center"/>
          </w:tcPr>
          <w:p>
            <w:pPr>
              <w:pStyle w:val="TableContents"/>
              <w:spacing w:before="0" w:after="283"/>
              <w:rPr/>
            </w:pPr>
            <w:r>
              <w:rPr/>
              <w:t>​</w:t>
            </w:r>
          </w:p>
        </w:tc>
        <w:tc>
          <w:tcPr>
            <w:tcW w:w="142" w:type="dxa"/>
            <w:tcBorders/>
            <w:shd w:fill="auto" w:val="clear"/>
            <w:tcMar>
              <w:bottom w:w="0" w:type="dxa"/>
            </w:tcMar>
            <w:vAlign w:val="center"/>
          </w:tcPr>
          <w:p>
            <w:pPr>
              <w:pStyle w:val="TableContents"/>
              <w:spacing w:before="0" w:after="283"/>
              <w:jc w:val="right"/>
              <w:rPr/>
            </w:pPr>
            <w:r>
              <w:rPr/>
              <w:t>​</w:t>
            </w:r>
          </w:p>
        </w:tc>
        <w:tc>
          <w:tcPr>
            <w:tcW w:w="999" w:type="dxa"/>
            <w:tcBorders/>
            <w:shd w:fill="auto" w:val="clear"/>
            <w:tcMar>
              <w:bottom w:w="0" w:type="dxa"/>
            </w:tcMar>
            <w:vAlign w:val="center"/>
          </w:tcPr>
          <w:p>
            <w:pPr>
              <w:pStyle w:val="TableContents"/>
              <w:spacing w:before="0" w:after="283"/>
              <w:jc w:val="right"/>
              <w:rPr/>
            </w:pPr>
            <w:r>
              <w:rPr/>
              <w:t>750</w:t>
            </w:r>
          </w:p>
        </w:tc>
        <w:tc>
          <w:tcPr>
            <w:tcW w:w="14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22,583</w:t>
            </w:r>
          </w:p>
        </w:tc>
        <w:tc>
          <w:tcPr>
            <w:tcW w:w="109"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rPr/>
            </w:pPr>
            <w:r>
              <w:rPr/>
              <w:t>​</w:t>
            </w:r>
          </w:p>
        </w:tc>
      </w:tr>
      <w:tr>
        <w:trPr/>
        <w:tc>
          <w:tcPr>
            <w:tcW w:w="1960" w:type="dxa"/>
            <w:tcBorders/>
            <w:shd w:fill="CCEEFF" w:val="clear"/>
            <w:tcMar>
              <w:bottom w:w="0" w:type="dxa"/>
            </w:tcMar>
            <w:vAlign w:val="center"/>
          </w:tcPr>
          <w:p>
            <w:pPr>
              <w:pStyle w:val="TableContents"/>
              <w:spacing w:before="0" w:after="0"/>
              <w:jc w:val="left"/>
              <w:rPr>
                <w:spacing w:val="4"/>
              </w:rPr>
            </w:pPr>
            <w:r>
              <w:rPr>
                <w:spacing w:val="4"/>
              </w:rPr>
              <w:t xml:space="preserve">Frank Mottola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3" w:type="dxa"/>
            <w:tcBorders/>
            <w:shd w:fill="CCEEFF" w:val="clear"/>
            <w:tcMar>
              <w:bottom w:w="0" w:type="dxa"/>
            </w:tcMar>
            <w:vAlign w:val="center"/>
          </w:tcPr>
          <w:p>
            <w:pPr>
              <w:pStyle w:val="TableContents"/>
              <w:spacing w:before="0" w:after="283"/>
              <w:rPr/>
            </w:pPr>
            <w:r>
              <w:rPr/>
              <w:t>​</w:t>
            </w:r>
          </w:p>
        </w:tc>
        <w:tc>
          <w:tcPr>
            <w:tcW w:w="133" w:type="dxa"/>
            <w:tcBorders/>
            <w:shd w:fill="CCEEFF" w:val="clear"/>
            <w:tcMar>
              <w:bottom w:w="0" w:type="dxa"/>
            </w:tcMar>
            <w:vAlign w:val="center"/>
          </w:tcPr>
          <w:p>
            <w:pPr>
              <w:pStyle w:val="TableContents"/>
              <w:spacing w:before="0" w:after="283"/>
              <w:jc w:val="right"/>
              <w:rPr/>
            </w:pPr>
            <w:r>
              <w:rPr/>
              <w:t>​</w:t>
            </w:r>
          </w:p>
        </w:tc>
        <w:tc>
          <w:tcPr>
            <w:tcW w:w="1091" w:type="dxa"/>
            <w:tcBorders/>
            <w:shd w:fill="CCEEFF" w:val="clear"/>
            <w:tcMar>
              <w:bottom w:w="0" w:type="dxa"/>
            </w:tcMar>
            <w:vAlign w:val="center"/>
          </w:tcPr>
          <w:p>
            <w:pPr>
              <w:pStyle w:val="TableContents"/>
              <w:spacing w:before="0" w:after="283"/>
              <w:jc w:val="right"/>
              <w:rPr/>
            </w:pPr>
            <w:r>
              <w:rPr/>
              <w:t>—</w:t>
            </w:r>
          </w:p>
        </w:tc>
        <w:tc>
          <w:tcPr>
            <w:tcW w:w="13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2" w:type="dxa"/>
            <w:tcBorders/>
            <w:shd w:fill="CCEEFF" w:val="clear"/>
            <w:tcMar>
              <w:bottom w:w="0" w:type="dxa"/>
            </w:tcMar>
            <w:vAlign w:val="center"/>
          </w:tcPr>
          <w:p>
            <w:pPr>
              <w:pStyle w:val="TableContents"/>
              <w:spacing w:before="0" w:after="283"/>
              <w:rPr/>
            </w:pPr>
            <w:r>
              <w:rPr/>
              <w:t>​</w:t>
            </w:r>
          </w:p>
        </w:tc>
        <w:tc>
          <w:tcPr>
            <w:tcW w:w="142" w:type="dxa"/>
            <w:tcBorders/>
            <w:shd w:fill="CCEEFF" w:val="clear"/>
            <w:tcMar>
              <w:bottom w:w="0" w:type="dxa"/>
            </w:tcMar>
            <w:vAlign w:val="center"/>
          </w:tcPr>
          <w:p>
            <w:pPr>
              <w:pStyle w:val="TableContents"/>
              <w:spacing w:before="0" w:after="283"/>
              <w:jc w:val="right"/>
              <w:rPr/>
            </w:pPr>
            <w:r>
              <w:rPr/>
              <w:t>​</w:t>
            </w:r>
          </w:p>
        </w:tc>
        <w:tc>
          <w:tcPr>
            <w:tcW w:w="999" w:type="dxa"/>
            <w:tcBorders/>
            <w:shd w:fill="CCEEFF" w:val="clear"/>
            <w:tcMar>
              <w:bottom w:w="0" w:type="dxa"/>
            </w:tcMar>
            <w:vAlign w:val="center"/>
          </w:tcPr>
          <w:p>
            <w:pPr>
              <w:pStyle w:val="TableContents"/>
              <w:spacing w:before="0" w:after="283"/>
              <w:jc w:val="right"/>
              <w:rPr/>
            </w:pPr>
            <w:r>
              <w:rPr/>
              <w:t>—</w:t>
            </w:r>
          </w:p>
        </w:tc>
        <w:tc>
          <w:tcPr>
            <w:tcW w:w="14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254"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Potential Payments upon Termination or Change in Control</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Mr. Khattar’s employment is terminated without cause or he resigns for good reason, or he resigns for good reason after a change of control, each such term as defined in Mr. Khattar’s employment agreement, on December 31, 2022, the estimated values of payments and benefits to Mr. Khattar are set forth in the following table. Assuming Messrs. Dec’s or Mottola’s or Dr. Rubin’s respective employment is terminated without cause or any of them resigns for good reason, or resigns for good reason after a change of control, each such term as defined in the Executive Retention Agreement, the estimated values of payments and benefits to these executives on December 31, 2022, are set forth in the following table. In addition, the following table also sets forth the amount payable upon a restructuring of Supernus that results in the elimination of Dr. Bhatt’s position assuming the restructuring occurred on December 31, 2022. </w:t>
      </w:r>
    </w:p>
    <w:tbl>
      <w:tblPr>
        <w:tblW w:w="8812" w:type="dxa"/>
        <w:jc w:val="left"/>
        <w:tblInd w:w="1393" w:type="dxa"/>
        <w:tblCellMar>
          <w:top w:w="0" w:type="dxa"/>
          <w:left w:w="0" w:type="dxa"/>
          <w:bottom w:w="43" w:type="dxa"/>
          <w:right w:w="0" w:type="dxa"/>
        </w:tblCellMar>
      </w:tblPr>
      <w:tblGrid>
        <w:gridCol w:w="1596"/>
        <w:gridCol w:w="109"/>
        <w:gridCol w:w="109"/>
        <w:gridCol w:w="1652"/>
        <w:gridCol w:w="109"/>
        <w:gridCol w:w="109"/>
        <w:gridCol w:w="109"/>
        <w:gridCol w:w="226"/>
        <w:gridCol w:w="1066"/>
        <w:gridCol w:w="109"/>
        <w:gridCol w:w="109"/>
        <w:gridCol w:w="109"/>
        <w:gridCol w:w="109"/>
        <w:gridCol w:w="227"/>
        <w:gridCol w:w="1071"/>
        <w:gridCol w:w="109"/>
        <w:gridCol w:w="109"/>
        <w:gridCol w:w="109"/>
        <w:gridCol w:w="109"/>
        <w:gridCol w:w="226"/>
        <w:gridCol w:w="1066"/>
        <w:gridCol w:w="109"/>
        <w:gridCol w:w="156"/>
      </w:tblGrid>
      <w:tr>
        <w:trPr/>
        <w:tc>
          <w:tcPr>
            <w:tcW w:w="1596"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652" w:type="dxa"/>
            <w:tcBorders>
              <w:bottom w:val="single" w:sz="2" w:space="0" w:color="000000"/>
            </w:tcBorders>
            <w:shd w:fill="auto" w:val="clear"/>
            <w:vAlign w:val="center"/>
          </w:tcPr>
          <w:p>
            <w:pPr>
              <w:pStyle w:val="TableContents"/>
              <w:spacing w:before="0" w:after="0"/>
              <w:jc w:val="center"/>
              <w:rPr>
                <w:spacing w:val="-3"/>
              </w:rPr>
            </w:pPr>
            <w:r>
              <w:rPr>
                <w:spacing w:val="-3"/>
              </w:rPr>
              <w:t xml:space="preserve">Benefit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Termination </w:t>
              <w:br/>
              <w:t xml:space="preserve">Upon a </w:t>
              <w:br/>
              <w:t xml:space="preserve">Restructuring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6"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Termination </w:t>
              <w:br/>
              <w:t xml:space="preserve">Without Cause </w:t>
              <w:br/>
              <w:t xml:space="preserve">or Resignation </w:t>
              <w:br/>
              <w:t xml:space="preserve">for Good </w:t>
              <w:br/>
              <w:t xml:space="preserve">Reason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Resignation </w:t>
              <w:br/>
              <w:t xml:space="preserve">for Good </w:t>
              <w:br/>
              <w:t xml:space="preserve">Reason After </w:t>
              <w:br/>
              <w:t xml:space="preserve">a Change </w:t>
              <w:br/>
              <w:t xml:space="preserve">of Control </w:t>
            </w:r>
          </w:p>
        </w:tc>
        <w:tc>
          <w:tcPr>
            <w:tcW w:w="156"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596" w:type="dxa"/>
            <w:vMerge w:val="restart"/>
            <w:tcBorders/>
            <w:shd w:fill="CCEEFF" w:val="clear"/>
            <w:tcMar>
              <w:bottom w:w="0" w:type="dxa"/>
            </w:tcMar>
            <w:vAlign w:val="center"/>
          </w:tcPr>
          <w:p>
            <w:pPr>
              <w:pStyle w:val="TableContents"/>
              <w:spacing w:lineRule="atLeast" w:line="240" w:before="0" w:after="0"/>
              <w:jc w:val="left"/>
              <w:rPr>
                <w:spacing w:val="4"/>
              </w:rPr>
            </w:pPr>
            <w:r>
              <w:rPr>
                <w:spacing w:val="4"/>
              </w:rPr>
              <w:t xml:space="preserve">Jack A. Khattar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52" w:type="dxa"/>
            <w:tcBorders/>
            <w:shd w:fill="CCEEFF" w:val="clear"/>
            <w:tcMar>
              <w:bottom w:w="0" w:type="dxa"/>
            </w:tcMar>
            <w:vAlign w:val="center"/>
          </w:tcPr>
          <w:p>
            <w:pPr>
              <w:pStyle w:val="TableContents"/>
              <w:spacing w:lineRule="atLeast" w:line="240" w:before="0" w:after="0"/>
              <w:jc w:val="left"/>
              <w:rPr>
                <w:spacing w:val="4"/>
              </w:rPr>
            </w:pPr>
            <w:r>
              <w:rPr>
                <w:spacing w:val="4"/>
              </w:rPr>
              <w:t xml:space="preserve">Base salary continuation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1066" w:type="dxa"/>
            <w:tcBorders/>
            <w:shd w:fill="CCEEFF" w:val="clear"/>
            <w:tcMar>
              <w:bottom w:w="0" w:type="dxa"/>
            </w:tcMar>
            <w:vAlign w:val="center"/>
          </w:tcPr>
          <w:p>
            <w:pPr>
              <w:pStyle w:val="TableContents"/>
              <w:spacing w:lineRule="atLeast" w:line="240" w:before="0" w:after="283"/>
              <w:jc w:val="right"/>
              <w:rPr/>
            </w:pPr>
            <w:r>
              <w:rPr/>
              <w:t>1,370,250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7" w:type="dxa"/>
            <w:tcBorders/>
            <w:shd w:fill="CCEEFF" w:val="clear"/>
            <w:tcMar>
              <w:bottom w:w="0" w:type="dxa"/>
            </w:tcMar>
            <w:vAlign w:val="center"/>
          </w:tcPr>
          <w:p>
            <w:pPr>
              <w:pStyle w:val="TableContents"/>
              <w:spacing w:lineRule="atLeast" w:line="240" w:before="0" w:after="283"/>
              <w:jc w:val="right"/>
              <w:rPr/>
            </w:pPr>
            <w:r>
              <w:rPr/>
              <w:t>$</w:t>
            </w:r>
          </w:p>
        </w:tc>
        <w:tc>
          <w:tcPr>
            <w:tcW w:w="1071" w:type="dxa"/>
            <w:tcBorders/>
            <w:shd w:fill="CCEEFF" w:val="clear"/>
            <w:tcMar>
              <w:bottom w:w="0" w:type="dxa"/>
            </w:tcMar>
            <w:vAlign w:val="center"/>
          </w:tcPr>
          <w:p>
            <w:pPr>
              <w:pStyle w:val="TableContents"/>
              <w:spacing w:lineRule="atLeast" w:line="240" w:before="0" w:after="283"/>
              <w:jc w:val="right"/>
              <w:rPr/>
            </w:pPr>
            <w:r>
              <w:rPr/>
              <w:t>1,370,250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1066" w:type="dxa"/>
            <w:tcBorders/>
            <w:shd w:fill="CCEEFF" w:val="clear"/>
            <w:tcMar>
              <w:bottom w:w="0" w:type="dxa"/>
            </w:tcMar>
            <w:vAlign w:val="center"/>
          </w:tcPr>
          <w:p>
            <w:pPr>
              <w:pStyle w:val="TableContents"/>
              <w:spacing w:lineRule="atLeast" w:line="240" w:before="0" w:after="283"/>
              <w:jc w:val="right"/>
              <w:rPr/>
            </w:pPr>
            <w:r>
              <w:rPr/>
              <w:t>1,370,250</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1596"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652" w:type="dxa"/>
            <w:tcBorders/>
            <w:shd w:fill="CCEEFF" w:val="clear"/>
            <w:tcMar>
              <w:bottom w:w="0" w:type="dxa"/>
            </w:tcMar>
            <w:vAlign w:val="center"/>
          </w:tcPr>
          <w:p>
            <w:pPr>
              <w:pStyle w:val="TableContents"/>
              <w:spacing w:before="0" w:after="283"/>
              <w:jc w:val="left"/>
              <w:rPr/>
            </w:pPr>
            <w:r>
              <w:rPr>
                <w:spacing w:val="4"/>
              </w:rPr>
              <w:t>Bonus</w:t>
            </w:r>
            <w:r>
              <w:rPr>
                <w:spacing w:val="3"/>
                <w:sz w:val="13"/>
              </w:rPr>
              <w:t>(1)</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887,400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7" w:type="dxa"/>
            <w:tcBorders/>
            <w:shd w:fill="CCEEFF" w:val="clear"/>
            <w:tcMar>
              <w:bottom w:w="0" w:type="dxa"/>
            </w:tcMar>
            <w:vAlign w:val="center"/>
          </w:tcPr>
          <w:p>
            <w:pPr>
              <w:pStyle w:val="TableContents"/>
              <w:spacing w:before="0" w:after="283"/>
              <w:jc w:val="right"/>
              <w:rPr/>
            </w:pPr>
            <w:r>
              <w:rPr/>
              <w:t>$</w:t>
            </w:r>
          </w:p>
        </w:tc>
        <w:tc>
          <w:tcPr>
            <w:tcW w:w="1071" w:type="dxa"/>
            <w:tcBorders/>
            <w:shd w:fill="CCEEFF" w:val="clear"/>
            <w:tcMar>
              <w:bottom w:w="0" w:type="dxa"/>
            </w:tcMar>
            <w:vAlign w:val="center"/>
          </w:tcPr>
          <w:p>
            <w:pPr>
              <w:pStyle w:val="TableContents"/>
              <w:spacing w:before="0" w:after="283"/>
              <w:jc w:val="right"/>
              <w:rPr/>
            </w:pPr>
            <w:r>
              <w:rPr/>
              <w:t>887,400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887,400</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1596"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652" w:type="dxa"/>
            <w:tcBorders>
              <w:bottom w:val="single" w:sz="2" w:space="0" w:color="CCEEFF"/>
            </w:tcBorders>
            <w:shd w:fill="CCEEFF" w:val="clear"/>
            <w:tcMar>
              <w:bottom w:w="50" w:type="dxa"/>
            </w:tcMar>
            <w:vAlign w:val="center"/>
          </w:tcPr>
          <w:p>
            <w:pPr>
              <w:pStyle w:val="TableContents"/>
              <w:spacing w:before="0" w:after="283"/>
              <w:jc w:val="left"/>
              <w:rPr/>
            </w:pPr>
            <w:r>
              <w:rPr>
                <w:spacing w:val="4"/>
              </w:rPr>
              <w:t>Continuation of benefits</w:t>
            </w:r>
            <w:r>
              <w:rPr>
                <w:spacing w:val="3"/>
                <w:sz w:val="13"/>
              </w:rPr>
              <w:t>(2)</w:t>
            </w:r>
            <w:r>
              <w:rPr/>
              <w:t xml:space="preserve">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226" w:type="dxa"/>
            <w:tcBorders>
              <w:bottom w:val="single" w:sz="2" w:space="0" w:color="CCEEFF"/>
            </w:tcBorders>
            <w:shd w:fill="CCEEFF" w:val="clear"/>
            <w:tcMar>
              <w:bottom w:w="50" w:type="dxa"/>
            </w:tcMar>
            <w:vAlign w:val="center"/>
          </w:tcPr>
          <w:p>
            <w:pPr>
              <w:pStyle w:val="TableContents"/>
              <w:spacing w:before="0" w:after="283"/>
              <w:jc w:val="right"/>
              <w:rPr/>
            </w:pPr>
            <w:r>
              <w:rPr/>
              <w:t>$</w:t>
            </w:r>
          </w:p>
        </w:tc>
        <w:tc>
          <w:tcPr>
            <w:tcW w:w="1066" w:type="dxa"/>
            <w:tcBorders>
              <w:bottom w:val="single" w:sz="2" w:space="0" w:color="CCEEFF"/>
            </w:tcBorders>
            <w:shd w:fill="CCEEFF" w:val="clear"/>
            <w:tcMar>
              <w:bottom w:w="50" w:type="dxa"/>
            </w:tcMar>
            <w:vAlign w:val="center"/>
          </w:tcPr>
          <w:p>
            <w:pPr>
              <w:pStyle w:val="TableContents"/>
              <w:spacing w:before="0" w:after="283"/>
              <w:jc w:val="right"/>
              <w:rPr/>
            </w:pPr>
            <w:r>
              <w:rPr/>
              <w:t>30,766</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227"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071" w:type="dxa"/>
            <w:tcBorders>
              <w:bottom w:val="single" w:sz="2" w:space="0" w:color="000000"/>
            </w:tcBorders>
            <w:shd w:fill="CCEEFF" w:val="clear"/>
            <w:tcMar>
              <w:bottom w:w="50" w:type="dxa"/>
            </w:tcMar>
            <w:vAlign w:val="center"/>
          </w:tcPr>
          <w:p>
            <w:pPr>
              <w:pStyle w:val="TableContents"/>
              <w:spacing w:before="0" w:after="283"/>
              <w:jc w:val="right"/>
              <w:rPr/>
            </w:pPr>
            <w:r>
              <w:rPr/>
              <w:t>30,766</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226"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spacing w:before="0" w:after="283"/>
              <w:jc w:val="right"/>
              <w:rPr/>
            </w:pPr>
            <w:r>
              <w:rPr/>
              <w:t>30,766</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6"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1596"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652" w:type="dxa"/>
            <w:tcBorders/>
            <w:shd w:fill="CCEEFF" w:val="clear"/>
            <w:tcMar>
              <w:bottom w:w="0" w:type="dxa"/>
            </w:tcMar>
            <w:vAlign w:val="center"/>
          </w:tcPr>
          <w:p>
            <w:pPr>
              <w:pStyle w:val="TableContents"/>
              <w:spacing w:before="0" w:after="283"/>
              <w:jc w:val="left"/>
              <w:rPr>
                <w:spacing w:val="4"/>
              </w:rPr>
            </w:pPr>
            <w:r>
              <w:rPr>
                <w:spacing w:val="4"/>
              </w:rPr>
              <w:t xml:space="preserve">Total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7"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071" w:type="dxa"/>
            <w:tcBorders>
              <w:bottom w:val="double" w:sz="8" w:space="0" w:color="000000"/>
            </w:tcBorders>
            <w:shd w:fill="CCEEFF" w:val="clear"/>
            <w:tcMar>
              <w:bottom w:w="50" w:type="dxa"/>
            </w:tcMar>
            <w:vAlign w:val="center"/>
          </w:tcPr>
          <w:p>
            <w:pPr>
              <w:pStyle w:val="TableContents"/>
              <w:spacing w:before="0" w:after="283"/>
              <w:jc w:val="right"/>
              <w:rPr/>
            </w:pPr>
            <w:r>
              <w:rPr/>
              <w:t>2,288,415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066" w:type="dxa"/>
            <w:tcBorders>
              <w:bottom w:val="double" w:sz="8" w:space="0" w:color="000000"/>
            </w:tcBorders>
            <w:shd w:fill="CCEEFF" w:val="clear"/>
            <w:tcMar>
              <w:bottom w:w="50" w:type="dxa"/>
            </w:tcMar>
            <w:vAlign w:val="center"/>
          </w:tcPr>
          <w:p>
            <w:pPr>
              <w:pStyle w:val="TableContents"/>
              <w:spacing w:before="0" w:after="283"/>
              <w:jc w:val="right"/>
              <w:rPr/>
            </w:pPr>
            <w:r>
              <w:rPr/>
              <w:t>2,288,415</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1596" w:type="dxa"/>
            <w:vMerge w:val="restart"/>
            <w:tcBorders/>
            <w:shd w:fill="auto" w:val="clear"/>
            <w:tcMar>
              <w:bottom w:w="0" w:type="dxa"/>
            </w:tcMar>
            <w:vAlign w:val="center"/>
          </w:tcPr>
          <w:p>
            <w:pPr>
              <w:pStyle w:val="TableContents"/>
              <w:spacing w:lineRule="atLeast" w:line="240" w:before="0" w:after="0"/>
              <w:jc w:val="left"/>
              <w:rPr>
                <w:spacing w:val="4"/>
              </w:rPr>
            </w:pPr>
            <w:r>
              <w:rPr>
                <w:spacing w:val="4"/>
              </w:rPr>
              <w:t xml:space="preserve">Timothy C. Dec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52" w:type="dxa"/>
            <w:tcBorders/>
            <w:shd w:fill="auto" w:val="clear"/>
            <w:tcMar>
              <w:bottom w:w="0" w:type="dxa"/>
            </w:tcMar>
            <w:vAlign w:val="center"/>
          </w:tcPr>
          <w:p>
            <w:pPr>
              <w:pStyle w:val="TableContents"/>
              <w:spacing w:lineRule="atLeast" w:line="240" w:before="0" w:after="0"/>
              <w:jc w:val="left"/>
              <w:rPr>
                <w:spacing w:val="4"/>
              </w:rPr>
            </w:pPr>
            <w:r>
              <w:rPr>
                <w:spacing w:val="4"/>
              </w:rPr>
              <w:t xml:space="preserve">Base salary continuation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240" w:before="0" w:after="283"/>
              <w:jc w:val="right"/>
              <w:rPr/>
            </w:pPr>
            <w:r>
              <w:rPr/>
              <w:t>$</w:t>
            </w:r>
          </w:p>
        </w:tc>
        <w:tc>
          <w:tcPr>
            <w:tcW w:w="1066" w:type="dxa"/>
            <w:tcBorders/>
            <w:shd w:fill="auto" w:val="clear"/>
            <w:tcMar>
              <w:bottom w:w="0" w:type="dxa"/>
            </w:tcMar>
            <w:vAlign w:val="center"/>
          </w:tcPr>
          <w:p>
            <w:pPr>
              <w:pStyle w:val="TableContents"/>
              <w:spacing w:lineRule="atLeast" w:line="240" w:before="0" w:after="283"/>
              <w:jc w:val="right"/>
              <w:rPr/>
            </w:pPr>
            <w:r>
              <w:rPr/>
              <w:t>412,500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7" w:type="dxa"/>
            <w:tcBorders/>
            <w:shd w:fill="auto" w:val="clear"/>
            <w:tcMar>
              <w:bottom w:w="0" w:type="dxa"/>
            </w:tcMar>
            <w:vAlign w:val="center"/>
          </w:tcPr>
          <w:p>
            <w:pPr>
              <w:pStyle w:val="TableContents"/>
              <w:spacing w:lineRule="atLeast" w:line="240" w:before="0" w:after="283"/>
              <w:jc w:val="right"/>
              <w:rPr/>
            </w:pPr>
            <w:r>
              <w:rPr/>
              <w:t>$</w:t>
            </w:r>
          </w:p>
        </w:tc>
        <w:tc>
          <w:tcPr>
            <w:tcW w:w="1071" w:type="dxa"/>
            <w:tcBorders/>
            <w:shd w:fill="auto" w:val="clear"/>
            <w:tcMar>
              <w:bottom w:w="0" w:type="dxa"/>
            </w:tcMar>
            <w:vAlign w:val="center"/>
          </w:tcPr>
          <w:p>
            <w:pPr>
              <w:pStyle w:val="TableContents"/>
              <w:spacing w:lineRule="atLeast" w:line="240" w:before="0" w:after="283"/>
              <w:jc w:val="right"/>
              <w:rPr/>
            </w:pPr>
            <w:r>
              <w:rPr/>
              <w:t>412,500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240" w:before="0" w:after="283"/>
              <w:jc w:val="right"/>
              <w:rPr/>
            </w:pPr>
            <w:r>
              <w:rPr/>
              <w:t>$</w:t>
            </w:r>
          </w:p>
        </w:tc>
        <w:tc>
          <w:tcPr>
            <w:tcW w:w="1066" w:type="dxa"/>
            <w:tcBorders/>
            <w:shd w:fill="auto" w:val="clear"/>
            <w:tcMar>
              <w:bottom w:w="0" w:type="dxa"/>
            </w:tcMar>
            <w:vAlign w:val="center"/>
          </w:tcPr>
          <w:p>
            <w:pPr>
              <w:pStyle w:val="TableContents"/>
              <w:spacing w:lineRule="atLeast" w:line="240" w:before="0" w:after="283"/>
              <w:jc w:val="right"/>
              <w:rPr/>
            </w:pPr>
            <w:r>
              <w:rPr/>
              <w:t>412,500</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1596"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652" w:type="dxa"/>
            <w:tcBorders/>
            <w:shd w:fill="auto" w:val="clear"/>
            <w:tcMar>
              <w:bottom w:w="0" w:type="dxa"/>
            </w:tcMar>
            <w:vAlign w:val="center"/>
          </w:tcPr>
          <w:p>
            <w:pPr>
              <w:pStyle w:val="TableContents"/>
              <w:spacing w:before="0" w:after="283"/>
              <w:jc w:val="left"/>
              <w:rPr/>
            </w:pPr>
            <w:r>
              <w:rPr>
                <w:spacing w:val="4"/>
              </w:rPr>
              <w:t>Bonus</w:t>
            </w:r>
            <w:r>
              <w:rPr>
                <w:spacing w:val="3"/>
                <w:sz w:val="13"/>
              </w:rPr>
              <w:t>(3)</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72,300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7" w:type="dxa"/>
            <w:tcBorders/>
            <w:shd w:fill="auto" w:val="clear"/>
            <w:tcMar>
              <w:bottom w:w="0" w:type="dxa"/>
            </w:tcMar>
            <w:vAlign w:val="center"/>
          </w:tcPr>
          <w:p>
            <w:pPr>
              <w:pStyle w:val="TableContents"/>
              <w:spacing w:before="0" w:after="283"/>
              <w:jc w:val="right"/>
              <w:rPr/>
            </w:pPr>
            <w:r>
              <w:rPr/>
              <w:t>$</w:t>
            </w:r>
          </w:p>
        </w:tc>
        <w:tc>
          <w:tcPr>
            <w:tcW w:w="1071" w:type="dxa"/>
            <w:tcBorders/>
            <w:shd w:fill="auto" w:val="clear"/>
            <w:tcMar>
              <w:bottom w:w="0" w:type="dxa"/>
            </w:tcMar>
            <w:vAlign w:val="center"/>
          </w:tcPr>
          <w:p>
            <w:pPr>
              <w:pStyle w:val="TableContents"/>
              <w:spacing w:before="0" w:after="283"/>
              <w:jc w:val="right"/>
              <w:rPr/>
            </w:pPr>
            <w:r>
              <w:rPr/>
              <w:t>72,300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72,300</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1596"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652" w:type="dxa"/>
            <w:tcBorders>
              <w:bottom w:val="single" w:sz="2" w:space="0" w:color="FFFFFF"/>
            </w:tcBorders>
            <w:shd w:fill="auto" w:val="clear"/>
            <w:tcMar>
              <w:bottom w:w="50" w:type="dxa"/>
            </w:tcMar>
            <w:vAlign w:val="center"/>
          </w:tcPr>
          <w:p>
            <w:pPr>
              <w:pStyle w:val="TableContents"/>
              <w:spacing w:before="0" w:after="283"/>
              <w:jc w:val="left"/>
              <w:rPr/>
            </w:pPr>
            <w:r>
              <w:rPr>
                <w:spacing w:val="4"/>
              </w:rPr>
              <w:t>Continuation of benefits</w:t>
            </w:r>
            <w:r>
              <w:rPr>
                <w:spacing w:val="3"/>
                <w:sz w:val="13"/>
              </w:rPr>
              <w:t>(4)</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26" w:type="dxa"/>
            <w:tcBorders>
              <w:bottom w:val="single" w:sz="2" w:space="0" w:color="FFFFFF"/>
            </w:tcBorders>
            <w:shd w:fill="auto" w:val="clear"/>
            <w:tcMar>
              <w:bottom w:w="50" w:type="dxa"/>
            </w:tcMar>
            <w:vAlign w:val="center"/>
          </w:tcPr>
          <w:p>
            <w:pPr>
              <w:pStyle w:val="TableContents"/>
              <w:spacing w:before="0" w:after="283"/>
              <w:jc w:val="right"/>
              <w:rPr/>
            </w:pPr>
            <w:r>
              <w:rPr/>
              <w:t>$</w:t>
            </w:r>
          </w:p>
        </w:tc>
        <w:tc>
          <w:tcPr>
            <w:tcW w:w="1066" w:type="dxa"/>
            <w:tcBorders>
              <w:bottom w:val="single" w:sz="2" w:space="0" w:color="FFFFFF"/>
            </w:tcBorders>
            <w:shd w:fill="auto" w:val="clear"/>
            <w:tcMar>
              <w:bottom w:w="50" w:type="dxa"/>
            </w:tcMar>
            <w:vAlign w:val="center"/>
          </w:tcPr>
          <w:p>
            <w:pPr>
              <w:pStyle w:val="TableContents"/>
              <w:spacing w:before="0" w:after="283"/>
              <w:jc w:val="right"/>
              <w:rPr/>
            </w:pPr>
            <w:r>
              <w:rPr/>
              <w:t>25,704</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27"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71" w:type="dxa"/>
            <w:tcBorders>
              <w:bottom w:val="single" w:sz="2" w:space="0" w:color="000000"/>
            </w:tcBorders>
            <w:shd w:fill="auto" w:val="clear"/>
            <w:tcMar>
              <w:bottom w:w="50" w:type="dxa"/>
            </w:tcMar>
            <w:vAlign w:val="center"/>
          </w:tcPr>
          <w:p>
            <w:pPr>
              <w:pStyle w:val="TableContents"/>
              <w:spacing w:before="0" w:after="283"/>
              <w:jc w:val="right"/>
              <w:rPr/>
            </w:pPr>
            <w:r>
              <w:rPr/>
              <w:t>25,704</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66" w:type="dxa"/>
            <w:tcBorders>
              <w:bottom w:val="single" w:sz="2" w:space="0" w:color="000000"/>
            </w:tcBorders>
            <w:shd w:fill="auto" w:val="clear"/>
            <w:tcMar>
              <w:bottom w:w="50" w:type="dxa"/>
            </w:tcMar>
            <w:vAlign w:val="center"/>
          </w:tcPr>
          <w:p>
            <w:pPr>
              <w:pStyle w:val="TableContents"/>
              <w:spacing w:before="0" w:after="283"/>
              <w:jc w:val="right"/>
              <w:rPr/>
            </w:pPr>
            <w:r>
              <w:rPr/>
              <w:t>25,704</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6"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596"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652" w:type="dxa"/>
            <w:tcBorders/>
            <w:shd w:fill="auto" w:val="clear"/>
            <w:tcMar>
              <w:bottom w:w="0" w:type="dxa"/>
            </w:tcMar>
            <w:vAlign w:val="center"/>
          </w:tcPr>
          <w:p>
            <w:pPr>
              <w:pStyle w:val="TableContents"/>
              <w:spacing w:before="0" w:after="283"/>
              <w:jc w:val="left"/>
              <w:rPr>
                <w:spacing w:val="4"/>
              </w:rPr>
            </w:pPr>
            <w:r>
              <w:rPr>
                <w:spacing w:val="4"/>
              </w:rPr>
              <w:t xml:space="preserve">Total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7"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071" w:type="dxa"/>
            <w:tcBorders>
              <w:bottom w:val="double" w:sz="8" w:space="0" w:color="000000"/>
            </w:tcBorders>
            <w:shd w:fill="auto" w:val="clear"/>
            <w:tcMar>
              <w:bottom w:w="50" w:type="dxa"/>
            </w:tcMar>
            <w:vAlign w:val="center"/>
          </w:tcPr>
          <w:p>
            <w:pPr>
              <w:pStyle w:val="TableContents"/>
              <w:spacing w:before="0" w:after="283"/>
              <w:jc w:val="right"/>
              <w:rPr/>
            </w:pPr>
            <w:r>
              <w:rPr/>
              <w:t>510,504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066" w:type="dxa"/>
            <w:tcBorders>
              <w:bottom w:val="double" w:sz="8" w:space="0" w:color="000000"/>
            </w:tcBorders>
            <w:shd w:fill="auto" w:val="clear"/>
            <w:tcMar>
              <w:bottom w:w="50" w:type="dxa"/>
            </w:tcMar>
            <w:vAlign w:val="center"/>
          </w:tcPr>
          <w:p>
            <w:pPr>
              <w:pStyle w:val="TableContents"/>
              <w:spacing w:before="0" w:after="283"/>
              <w:jc w:val="right"/>
              <w:rPr/>
            </w:pPr>
            <w:r>
              <w:rPr/>
              <w:t>510,504</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1596" w:type="dxa"/>
            <w:vMerge w:val="restart"/>
            <w:tcBorders/>
            <w:shd w:fill="CCEEFF" w:val="clear"/>
            <w:tcMar>
              <w:bottom w:w="0" w:type="dxa"/>
            </w:tcMar>
            <w:vAlign w:val="center"/>
          </w:tcPr>
          <w:p>
            <w:pPr>
              <w:pStyle w:val="TableContents"/>
              <w:spacing w:lineRule="atLeast" w:line="240" w:before="0" w:after="0"/>
              <w:jc w:val="left"/>
              <w:rPr>
                <w:spacing w:val="4"/>
              </w:rPr>
            </w:pPr>
            <w:r>
              <w:rPr>
                <w:spacing w:val="4"/>
              </w:rPr>
              <w:t xml:space="preserve">Jonathan Rubin, MD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52" w:type="dxa"/>
            <w:tcBorders/>
            <w:shd w:fill="CCEEFF" w:val="clear"/>
            <w:tcMar>
              <w:bottom w:w="0" w:type="dxa"/>
            </w:tcMar>
            <w:vAlign w:val="center"/>
          </w:tcPr>
          <w:p>
            <w:pPr>
              <w:pStyle w:val="TableContents"/>
              <w:spacing w:lineRule="atLeast" w:line="240" w:before="0" w:after="0"/>
              <w:jc w:val="left"/>
              <w:rPr>
                <w:spacing w:val="4"/>
              </w:rPr>
            </w:pPr>
            <w:r>
              <w:rPr>
                <w:spacing w:val="4"/>
              </w:rPr>
              <w:t xml:space="preserve">Base salary continuation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1066" w:type="dxa"/>
            <w:tcBorders/>
            <w:shd w:fill="CCEEFF" w:val="clear"/>
            <w:tcMar>
              <w:bottom w:w="0" w:type="dxa"/>
            </w:tcMar>
            <w:vAlign w:val="center"/>
          </w:tcPr>
          <w:p>
            <w:pPr>
              <w:pStyle w:val="TableContents"/>
              <w:spacing w:lineRule="atLeast" w:line="240" w:before="0" w:after="283"/>
              <w:jc w:val="right"/>
              <w:rPr/>
            </w:pPr>
            <w:r>
              <w:rPr/>
              <w:t>412,000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7" w:type="dxa"/>
            <w:tcBorders/>
            <w:shd w:fill="CCEEFF" w:val="clear"/>
            <w:tcMar>
              <w:bottom w:w="0" w:type="dxa"/>
            </w:tcMar>
            <w:vAlign w:val="center"/>
          </w:tcPr>
          <w:p>
            <w:pPr>
              <w:pStyle w:val="TableContents"/>
              <w:spacing w:lineRule="atLeast" w:line="240" w:before="0" w:after="283"/>
              <w:jc w:val="right"/>
              <w:rPr/>
            </w:pPr>
            <w:r>
              <w:rPr/>
              <w:t>$</w:t>
            </w:r>
          </w:p>
        </w:tc>
        <w:tc>
          <w:tcPr>
            <w:tcW w:w="1071" w:type="dxa"/>
            <w:tcBorders/>
            <w:shd w:fill="CCEEFF" w:val="clear"/>
            <w:tcMar>
              <w:bottom w:w="0" w:type="dxa"/>
            </w:tcMar>
            <w:vAlign w:val="center"/>
          </w:tcPr>
          <w:p>
            <w:pPr>
              <w:pStyle w:val="TableContents"/>
              <w:spacing w:lineRule="atLeast" w:line="240" w:before="0" w:after="283"/>
              <w:jc w:val="right"/>
              <w:rPr/>
            </w:pPr>
            <w:r>
              <w:rPr/>
              <w:t>412,000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1066" w:type="dxa"/>
            <w:tcBorders/>
            <w:shd w:fill="CCEEFF" w:val="clear"/>
            <w:tcMar>
              <w:bottom w:w="0" w:type="dxa"/>
            </w:tcMar>
            <w:vAlign w:val="center"/>
          </w:tcPr>
          <w:p>
            <w:pPr>
              <w:pStyle w:val="TableContents"/>
              <w:spacing w:lineRule="atLeast" w:line="240" w:before="0" w:after="283"/>
              <w:jc w:val="right"/>
              <w:rPr/>
            </w:pPr>
            <w:r>
              <w:rPr/>
              <w:t>412,000</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1596"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652" w:type="dxa"/>
            <w:tcBorders/>
            <w:shd w:fill="CCEEFF" w:val="clear"/>
            <w:tcMar>
              <w:bottom w:w="0" w:type="dxa"/>
            </w:tcMar>
            <w:vAlign w:val="center"/>
          </w:tcPr>
          <w:p>
            <w:pPr>
              <w:pStyle w:val="TableContents"/>
              <w:spacing w:before="0" w:after="283"/>
              <w:jc w:val="left"/>
              <w:rPr/>
            </w:pPr>
            <w:r>
              <w:rPr>
                <w:spacing w:val="4"/>
              </w:rPr>
              <w:t>Bonus</w:t>
            </w:r>
            <w:r>
              <w:rPr>
                <w:spacing w:val="3"/>
                <w:sz w:val="13"/>
              </w:rPr>
              <w:t>(3)</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143,700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7" w:type="dxa"/>
            <w:tcBorders/>
            <w:shd w:fill="CCEEFF" w:val="clear"/>
            <w:tcMar>
              <w:bottom w:w="0" w:type="dxa"/>
            </w:tcMar>
            <w:vAlign w:val="center"/>
          </w:tcPr>
          <w:p>
            <w:pPr>
              <w:pStyle w:val="TableContents"/>
              <w:spacing w:before="0" w:after="283"/>
              <w:jc w:val="right"/>
              <w:rPr/>
            </w:pPr>
            <w:r>
              <w:rPr/>
              <w:t>$</w:t>
            </w:r>
          </w:p>
        </w:tc>
        <w:tc>
          <w:tcPr>
            <w:tcW w:w="1071" w:type="dxa"/>
            <w:tcBorders/>
            <w:shd w:fill="CCEEFF" w:val="clear"/>
            <w:tcMar>
              <w:bottom w:w="0" w:type="dxa"/>
            </w:tcMar>
            <w:vAlign w:val="center"/>
          </w:tcPr>
          <w:p>
            <w:pPr>
              <w:pStyle w:val="TableContents"/>
              <w:spacing w:before="0" w:after="283"/>
              <w:jc w:val="right"/>
              <w:rPr/>
            </w:pPr>
            <w:r>
              <w:rPr/>
              <w:t>143,700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143,700</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1596"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652" w:type="dxa"/>
            <w:tcBorders>
              <w:bottom w:val="single" w:sz="2" w:space="0" w:color="CCEEFF"/>
            </w:tcBorders>
            <w:shd w:fill="CCEEFF" w:val="clear"/>
            <w:tcMar>
              <w:bottom w:w="50" w:type="dxa"/>
            </w:tcMar>
            <w:vAlign w:val="center"/>
          </w:tcPr>
          <w:p>
            <w:pPr>
              <w:pStyle w:val="TableContents"/>
              <w:spacing w:before="0" w:after="283"/>
              <w:jc w:val="left"/>
              <w:rPr/>
            </w:pPr>
            <w:r>
              <w:rPr>
                <w:spacing w:val="4"/>
              </w:rPr>
              <w:t>Continuation of benefits</w:t>
            </w:r>
            <w:r>
              <w:rPr>
                <w:spacing w:val="3"/>
                <w:sz w:val="13"/>
              </w:rPr>
              <w:t>(4)</w:t>
            </w:r>
            <w:r>
              <w:rPr/>
              <w:t xml:space="preserve">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226" w:type="dxa"/>
            <w:tcBorders>
              <w:bottom w:val="single" w:sz="2" w:space="0" w:color="CCEEFF"/>
            </w:tcBorders>
            <w:shd w:fill="CCEEFF" w:val="clear"/>
            <w:tcMar>
              <w:bottom w:w="50" w:type="dxa"/>
            </w:tcMar>
            <w:vAlign w:val="center"/>
          </w:tcPr>
          <w:p>
            <w:pPr>
              <w:pStyle w:val="TableContents"/>
              <w:spacing w:before="0" w:after="283"/>
              <w:jc w:val="right"/>
              <w:rPr/>
            </w:pPr>
            <w:r>
              <w:rPr/>
              <w:t>$</w:t>
            </w:r>
          </w:p>
        </w:tc>
        <w:tc>
          <w:tcPr>
            <w:tcW w:w="1066" w:type="dxa"/>
            <w:tcBorders>
              <w:bottom w:val="single" w:sz="2" w:space="0" w:color="CCEEFF"/>
            </w:tcBorders>
            <w:shd w:fill="CCEEFF" w:val="clear"/>
            <w:tcMar>
              <w:bottom w:w="50" w:type="dxa"/>
            </w:tcMar>
            <w:vAlign w:val="center"/>
          </w:tcPr>
          <w:p>
            <w:pPr>
              <w:pStyle w:val="TableContents"/>
              <w:spacing w:before="0" w:after="283"/>
              <w:jc w:val="right"/>
              <w:rPr/>
            </w:pPr>
            <w:r>
              <w:rPr/>
              <w:t>20,513</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227"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071" w:type="dxa"/>
            <w:tcBorders>
              <w:bottom w:val="single" w:sz="2" w:space="0" w:color="000000"/>
            </w:tcBorders>
            <w:shd w:fill="CCEEFF" w:val="clear"/>
            <w:tcMar>
              <w:bottom w:w="50" w:type="dxa"/>
            </w:tcMar>
            <w:vAlign w:val="center"/>
          </w:tcPr>
          <w:p>
            <w:pPr>
              <w:pStyle w:val="TableContents"/>
              <w:spacing w:before="0" w:after="283"/>
              <w:jc w:val="right"/>
              <w:rPr/>
            </w:pPr>
            <w:r>
              <w:rPr/>
              <w:t>20,513</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226"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spacing w:before="0" w:after="283"/>
              <w:jc w:val="right"/>
              <w:rPr/>
            </w:pPr>
            <w:r>
              <w:rPr/>
              <w:t>20,513</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6"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1596"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652" w:type="dxa"/>
            <w:tcBorders/>
            <w:shd w:fill="CCEEFF" w:val="clear"/>
            <w:tcMar>
              <w:bottom w:w="0" w:type="dxa"/>
            </w:tcMar>
            <w:vAlign w:val="center"/>
          </w:tcPr>
          <w:p>
            <w:pPr>
              <w:pStyle w:val="TableContents"/>
              <w:spacing w:before="0" w:after="283"/>
              <w:jc w:val="left"/>
              <w:rPr>
                <w:spacing w:val="4"/>
              </w:rPr>
            </w:pPr>
            <w:r>
              <w:rPr>
                <w:spacing w:val="4"/>
              </w:rPr>
              <w:t xml:space="preserve">Total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7"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071" w:type="dxa"/>
            <w:tcBorders>
              <w:bottom w:val="double" w:sz="8" w:space="0" w:color="000000"/>
            </w:tcBorders>
            <w:shd w:fill="CCEEFF" w:val="clear"/>
            <w:tcMar>
              <w:bottom w:w="50" w:type="dxa"/>
            </w:tcMar>
            <w:vAlign w:val="center"/>
          </w:tcPr>
          <w:p>
            <w:pPr>
              <w:pStyle w:val="TableContents"/>
              <w:spacing w:before="0" w:after="283"/>
              <w:jc w:val="right"/>
              <w:rPr/>
            </w:pPr>
            <w:r>
              <w:rPr/>
              <w:t>576,212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066" w:type="dxa"/>
            <w:tcBorders>
              <w:bottom w:val="double" w:sz="8" w:space="0" w:color="000000"/>
            </w:tcBorders>
            <w:shd w:fill="CCEEFF" w:val="clear"/>
            <w:tcMar>
              <w:bottom w:w="50" w:type="dxa"/>
            </w:tcMar>
            <w:vAlign w:val="center"/>
          </w:tcPr>
          <w:p>
            <w:pPr>
              <w:pStyle w:val="TableContents"/>
              <w:spacing w:before="0" w:after="283"/>
              <w:jc w:val="right"/>
              <w:rPr/>
            </w:pPr>
            <w:r>
              <w:rPr/>
              <w:t xml:space="preserve">576,212 </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1596" w:type="dxa"/>
            <w:tcBorders/>
            <w:shd w:fill="auto" w:val="clear"/>
            <w:tcMar>
              <w:bottom w:w="0" w:type="dxa"/>
            </w:tcMar>
            <w:vAlign w:val="center"/>
          </w:tcPr>
          <w:p>
            <w:pPr>
              <w:pStyle w:val="TableContents"/>
              <w:spacing w:before="0" w:after="0"/>
              <w:jc w:val="left"/>
              <w:rPr>
                <w:spacing w:val="4"/>
              </w:rPr>
            </w:pPr>
            <w:r>
              <w:rPr>
                <w:spacing w:val="4"/>
              </w:rPr>
              <w:t xml:space="preserve">Padmanabh P. Bhatt, Ph.D.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52" w:type="dxa"/>
            <w:tcBorders/>
            <w:shd w:fill="auto" w:val="clear"/>
            <w:tcMar>
              <w:bottom w:w="0" w:type="dxa"/>
            </w:tcMar>
            <w:vAlign w:val="center"/>
          </w:tcPr>
          <w:p>
            <w:pPr>
              <w:pStyle w:val="TableContents"/>
              <w:spacing w:before="0" w:after="283"/>
              <w:jc w:val="left"/>
              <w:rPr>
                <w:spacing w:val="4"/>
              </w:rPr>
            </w:pPr>
            <w:r>
              <w:rPr>
                <w:spacing w:val="4"/>
              </w:rPr>
              <w:t xml:space="preserve">Severance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207,600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7" w:type="dxa"/>
            <w:tcBorders/>
            <w:shd w:fill="auto" w:val="clear"/>
            <w:tcMar>
              <w:bottom w:w="0" w:type="dxa"/>
            </w:tcMar>
            <w:vAlign w:val="center"/>
          </w:tcPr>
          <w:p>
            <w:pPr>
              <w:pStyle w:val="TableContents"/>
              <w:spacing w:before="0" w:after="283"/>
              <w:jc w:val="right"/>
              <w:rPr/>
            </w:pPr>
            <w:r>
              <w:rPr/>
              <w:t>​</w:t>
            </w:r>
          </w:p>
        </w:tc>
        <w:tc>
          <w:tcPr>
            <w:tcW w:w="107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1596" w:type="dxa"/>
            <w:vMerge w:val="restart"/>
            <w:tcBorders/>
            <w:shd w:fill="CCEEFF" w:val="clear"/>
            <w:tcMar>
              <w:bottom w:w="0" w:type="dxa"/>
            </w:tcMar>
            <w:vAlign w:val="center"/>
          </w:tcPr>
          <w:p>
            <w:pPr>
              <w:pStyle w:val="TableContents"/>
              <w:spacing w:lineRule="atLeast" w:line="240" w:before="0" w:after="0"/>
              <w:jc w:val="left"/>
              <w:rPr>
                <w:spacing w:val="4"/>
              </w:rPr>
            </w:pPr>
            <w:r>
              <w:rPr>
                <w:spacing w:val="4"/>
              </w:rPr>
              <w:t xml:space="preserve">Frank Mottola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52" w:type="dxa"/>
            <w:tcBorders/>
            <w:shd w:fill="CCEEFF" w:val="clear"/>
            <w:tcMar>
              <w:bottom w:w="0" w:type="dxa"/>
            </w:tcMar>
            <w:vAlign w:val="center"/>
          </w:tcPr>
          <w:p>
            <w:pPr>
              <w:pStyle w:val="TableContents"/>
              <w:spacing w:lineRule="atLeast" w:line="240" w:before="0" w:after="0"/>
              <w:jc w:val="left"/>
              <w:rPr>
                <w:spacing w:val="4"/>
              </w:rPr>
            </w:pPr>
            <w:r>
              <w:rPr>
                <w:spacing w:val="4"/>
              </w:rPr>
              <w:t xml:space="preserve">Base salary continuation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1066" w:type="dxa"/>
            <w:tcBorders/>
            <w:shd w:fill="CCEEFF" w:val="clear"/>
            <w:tcMar>
              <w:bottom w:w="0" w:type="dxa"/>
            </w:tcMar>
            <w:vAlign w:val="center"/>
          </w:tcPr>
          <w:p>
            <w:pPr>
              <w:pStyle w:val="TableContents"/>
              <w:spacing w:lineRule="atLeast" w:line="240" w:before="0" w:after="283"/>
              <w:jc w:val="right"/>
              <w:rPr/>
            </w:pPr>
            <w:r>
              <w:rPr/>
              <w:t>342,401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7" w:type="dxa"/>
            <w:tcBorders/>
            <w:shd w:fill="CCEEFF" w:val="clear"/>
            <w:tcMar>
              <w:bottom w:w="0" w:type="dxa"/>
            </w:tcMar>
            <w:vAlign w:val="center"/>
          </w:tcPr>
          <w:p>
            <w:pPr>
              <w:pStyle w:val="TableContents"/>
              <w:spacing w:lineRule="atLeast" w:line="240" w:before="0" w:after="283"/>
              <w:jc w:val="right"/>
              <w:rPr/>
            </w:pPr>
            <w:r>
              <w:rPr/>
              <w:t>$</w:t>
            </w:r>
          </w:p>
        </w:tc>
        <w:tc>
          <w:tcPr>
            <w:tcW w:w="1071" w:type="dxa"/>
            <w:tcBorders/>
            <w:shd w:fill="CCEEFF" w:val="clear"/>
            <w:tcMar>
              <w:bottom w:w="0" w:type="dxa"/>
            </w:tcMar>
            <w:vAlign w:val="center"/>
          </w:tcPr>
          <w:p>
            <w:pPr>
              <w:pStyle w:val="TableContents"/>
              <w:spacing w:lineRule="atLeast" w:line="240" w:before="0" w:after="283"/>
              <w:jc w:val="right"/>
              <w:rPr/>
            </w:pPr>
            <w:r>
              <w:rPr/>
              <w:t>342,401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1066" w:type="dxa"/>
            <w:tcBorders/>
            <w:shd w:fill="CCEEFF" w:val="clear"/>
            <w:tcMar>
              <w:bottom w:w="0" w:type="dxa"/>
            </w:tcMar>
            <w:vAlign w:val="center"/>
          </w:tcPr>
          <w:p>
            <w:pPr>
              <w:pStyle w:val="TableContents"/>
              <w:spacing w:lineRule="atLeast" w:line="240" w:before="0" w:after="283"/>
              <w:jc w:val="right"/>
              <w:rPr/>
            </w:pPr>
            <w:r>
              <w:rPr/>
              <w:t>342,401</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1596"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652" w:type="dxa"/>
            <w:tcBorders/>
            <w:shd w:fill="CCEEFF" w:val="clear"/>
            <w:tcMar>
              <w:bottom w:w="0" w:type="dxa"/>
            </w:tcMar>
            <w:vAlign w:val="center"/>
          </w:tcPr>
          <w:p>
            <w:pPr>
              <w:pStyle w:val="TableContents"/>
              <w:spacing w:before="0" w:after="283"/>
              <w:jc w:val="left"/>
              <w:rPr/>
            </w:pPr>
            <w:r>
              <w:rPr>
                <w:spacing w:val="4"/>
              </w:rPr>
              <w:t>Bonus</w:t>
            </w:r>
            <w:r>
              <w:rPr>
                <w:spacing w:val="3"/>
                <w:sz w:val="13"/>
              </w:rPr>
              <w:t>(3)</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131,900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7" w:type="dxa"/>
            <w:tcBorders/>
            <w:shd w:fill="CCEEFF" w:val="clear"/>
            <w:tcMar>
              <w:bottom w:w="0" w:type="dxa"/>
            </w:tcMar>
            <w:vAlign w:val="center"/>
          </w:tcPr>
          <w:p>
            <w:pPr>
              <w:pStyle w:val="TableContents"/>
              <w:spacing w:before="0" w:after="283"/>
              <w:jc w:val="right"/>
              <w:rPr/>
            </w:pPr>
            <w:r>
              <w:rPr/>
              <w:t>$</w:t>
            </w:r>
          </w:p>
        </w:tc>
        <w:tc>
          <w:tcPr>
            <w:tcW w:w="1071" w:type="dxa"/>
            <w:tcBorders/>
            <w:shd w:fill="CCEEFF" w:val="clear"/>
            <w:tcMar>
              <w:bottom w:w="0" w:type="dxa"/>
            </w:tcMar>
            <w:vAlign w:val="center"/>
          </w:tcPr>
          <w:p>
            <w:pPr>
              <w:pStyle w:val="TableContents"/>
              <w:spacing w:before="0" w:after="283"/>
              <w:jc w:val="right"/>
              <w:rPr/>
            </w:pPr>
            <w:r>
              <w:rPr/>
              <w:t>131,900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131,900</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1596"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652" w:type="dxa"/>
            <w:tcBorders>
              <w:bottom w:val="single" w:sz="2" w:space="0" w:color="CCEEFF"/>
            </w:tcBorders>
            <w:shd w:fill="CCEEFF" w:val="clear"/>
            <w:tcMar>
              <w:bottom w:w="50" w:type="dxa"/>
            </w:tcMar>
            <w:vAlign w:val="center"/>
          </w:tcPr>
          <w:p>
            <w:pPr>
              <w:pStyle w:val="TableContents"/>
              <w:spacing w:before="0" w:after="283"/>
              <w:jc w:val="left"/>
              <w:rPr/>
            </w:pPr>
            <w:r>
              <w:rPr>
                <w:spacing w:val="4"/>
              </w:rPr>
              <w:t>Continuation of benefits</w:t>
            </w:r>
            <w:r>
              <w:rPr>
                <w:spacing w:val="3"/>
                <w:sz w:val="13"/>
              </w:rPr>
              <w:t>(4)</w:t>
            </w:r>
            <w:r>
              <w:rPr/>
              <w:t xml:space="preserve">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226" w:type="dxa"/>
            <w:tcBorders>
              <w:bottom w:val="single" w:sz="2" w:space="0" w:color="CCEEFF"/>
            </w:tcBorders>
            <w:shd w:fill="CCEEFF" w:val="clear"/>
            <w:tcMar>
              <w:bottom w:w="50" w:type="dxa"/>
            </w:tcMar>
            <w:vAlign w:val="center"/>
          </w:tcPr>
          <w:p>
            <w:pPr>
              <w:pStyle w:val="TableContents"/>
              <w:spacing w:before="0" w:after="283"/>
              <w:jc w:val="right"/>
              <w:rPr/>
            </w:pPr>
            <w:r>
              <w:rPr/>
              <w:t>$</w:t>
            </w:r>
          </w:p>
        </w:tc>
        <w:tc>
          <w:tcPr>
            <w:tcW w:w="1066" w:type="dxa"/>
            <w:tcBorders>
              <w:bottom w:val="single" w:sz="2" w:space="0" w:color="CCEEFF"/>
            </w:tcBorders>
            <w:shd w:fill="CCEEFF" w:val="clear"/>
            <w:tcMar>
              <w:bottom w:w="50" w:type="dxa"/>
            </w:tcMar>
            <w:vAlign w:val="center"/>
          </w:tcPr>
          <w:p>
            <w:pPr>
              <w:pStyle w:val="TableContents"/>
              <w:spacing w:before="0" w:after="283"/>
              <w:jc w:val="right"/>
              <w:rPr/>
            </w:pPr>
            <w:r>
              <w:rPr/>
              <w:t>30,467</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227"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071" w:type="dxa"/>
            <w:tcBorders>
              <w:bottom w:val="single" w:sz="2" w:space="0" w:color="000000"/>
            </w:tcBorders>
            <w:shd w:fill="CCEEFF" w:val="clear"/>
            <w:tcMar>
              <w:bottom w:w="50" w:type="dxa"/>
            </w:tcMar>
            <w:vAlign w:val="center"/>
          </w:tcPr>
          <w:p>
            <w:pPr>
              <w:pStyle w:val="TableContents"/>
              <w:spacing w:before="0" w:after="283"/>
              <w:jc w:val="right"/>
              <w:rPr/>
            </w:pPr>
            <w:r>
              <w:rPr/>
              <w:t>30,467</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226"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spacing w:before="0" w:after="283"/>
              <w:jc w:val="right"/>
              <w:rPr/>
            </w:pPr>
            <w:r>
              <w:rPr/>
              <w:t>30,467</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6"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1596"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652" w:type="dxa"/>
            <w:tcBorders/>
            <w:shd w:fill="CCEEFF" w:val="clear"/>
            <w:tcMar>
              <w:bottom w:w="0" w:type="dxa"/>
            </w:tcMar>
            <w:vAlign w:val="center"/>
          </w:tcPr>
          <w:p>
            <w:pPr>
              <w:pStyle w:val="TableContents"/>
              <w:spacing w:before="0" w:after="283"/>
              <w:jc w:val="left"/>
              <w:rPr>
                <w:spacing w:val="4"/>
              </w:rPr>
            </w:pPr>
            <w:r>
              <w:rPr>
                <w:spacing w:val="4"/>
              </w:rPr>
              <w:t xml:space="preserve">Total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7"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071" w:type="dxa"/>
            <w:tcBorders>
              <w:bottom w:val="double" w:sz="8" w:space="0" w:color="000000"/>
            </w:tcBorders>
            <w:shd w:fill="CCEEFF" w:val="clear"/>
            <w:tcMar>
              <w:bottom w:w="50" w:type="dxa"/>
            </w:tcMar>
            <w:vAlign w:val="center"/>
          </w:tcPr>
          <w:p>
            <w:pPr>
              <w:pStyle w:val="TableContents"/>
              <w:spacing w:before="0" w:after="283"/>
              <w:jc w:val="right"/>
              <w:rPr/>
            </w:pPr>
            <w:r>
              <w:rPr/>
              <w:t>504,767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066" w:type="dxa"/>
            <w:tcBorders>
              <w:bottom w:val="double" w:sz="8" w:space="0" w:color="000000"/>
            </w:tcBorders>
            <w:shd w:fill="CCEEFF" w:val="clear"/>
            <w:tcMar>
              <w:bottom w:w="50" w:type="dxa"/>
            </w:tcMar>
            <w:vAlign w:val="center"/>
          </w:tcPr>
          <w:p>
            <w:pPr>
              <w:pStyle w:val="TableContents"/>
              <w:spacing w:before="0" w:after="283"/>
              <w:jc w:val="right"/>
              <w:rPr/>
            </w:pPr>
            <w:r>
              <w:rPr/>
              <w:t>504,767</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 shown for bonus in connection with a change in control represents the bonus payment Mr. Khattar would have earned under his employment agreement based on the assumption that his employment terminated as of the last day of fiscal year 2022. The amount set forth in the table reflects the bonus paid to Mr. Khattar during 2022 under our annual cash incentive plan, which pertained to the 2021 fiscal year. </w:t>
      </w:r>
      <w:r>
        <mc:AlternateContent>
          <mc:Choice Requires="wps">
            <w:drawing>
              <wp:anchor behindDoc="0" distT="101600" distB="0" distL="0" distR="0" simplePos="0" locked="0" layoutInCell="1" allowOverlap="1" relativeHeight="162">
                <wp:simplePos x="0" y="0"/>
                <wp:positionH relativeFrom="column">
                  <wp:align>left</wp:align>
                </wp:positionH>
                <wp:positionV relativeFrom="line">
                  <wp:align>top</wp:align>
                </wp:positionV>
                <wp:extent cx="254000" cy="350520"/>
                <wp:effectExtent l="0" t="0" r="0" b="0"/>
                <wp:wrapSquare wrapText="largest"/>
                <wp:docPr id="155" name="Frame15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shown for continuation of benefits represent estimates for the continuation of COBRA insurance benefits afforded to Mr. Khattar and eligible family members in accordance with his employment agreement. </w:t>
      </w:r>
      <w:r>
        <mc:AlternateContent>
          <mc:Choice Requires="wps">
            <w:drawing>
              <wp:anchor behindDoc="0" distT="50800" distB="0" distL="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largest"/>
                <wp:docPr id="156" name="Frame15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shown for bonus in connection with the Executive Retention Agreement represent the bonus payment to the executive based on a lump-sum payment equal to the most recent annual bonus received by the executive. The amount set forth in the table reflects the bonus paid to each executive during 2022 under our annual cash incentive plan, which pertained to the 2021 fiscal year. </w:t>
      </w:r>
      <w:r>
        <mc:AlternateContent>
          <mc:Choice Requires="wps">
            <w:drawing>
              <wp:anchor behindDoc="0" distT="50800" distB="0" distL="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largest"/>
                <wp:docPr id="157" name="Frame15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shown for continuation of benefits represent estimates for the continuation of COBRA insurance benefits afforded to the executive officer and eligible family members in accordance with the Executive Retention Agreement. </w:t>
      </w:r>
      <w:r>
        <mc:AlternateContent>
          <mc:Choice Requires="wps">
            <w:drawing>
              <wp:anchor behindDoc="0" distT="50800" distB="0" distL="0" distR="0" simplePos="0" locked="0" layoutInCell="1" allowOverlap="1" relativeHeight="165">
                <wp:simplePos x="0" y="0"/>
                <wp:positionH relativeFrom="column">
                  <wp:align>left</wp:align>
                </wp:positionH>
                <wp:positionV relativeFrom="line">
                  <wp:align>top</wp:align>
                </wp:positionV>
                <wp:extent cx="254000" cy="350520"/>
                <wp:effectExtent l="0" t="0" r="0" b="0"/>
                <wp:wrapSquare wrapText="largest"/>
                <wp:docPr id="158" name="Frame15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CEO Pay Ratio</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953(b) of the Dodd-Frank Wall Street Reform and Consumer Protection Act and Item 402(u) of Regulation S-K, we are required to disclose the ratio of our principal executive officer to the annual total compensation of our median employee. During fiscal year 2022, the principal executive officer of Supernus was our President and Chief Executive Officer, Jack Khattar. For 2022, the annual total compensation of Mr. Khattar, as disclosed in the Summary Compensation Table, was $10,012,717, and for our median employee was $164,299, resulting in a pay ratio of approximately 61:1.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Item 402(u) of Regulation S-K, with the assistance of Aon we identified the median employee as of December 31, 2021 by (i) aggregating for each applicable employee (A) annual base salary, (B) the target bonus and commissions and (C) the estimated grant date fair value of equity granted in 2022, and (ii) ranking this compensation measure for our employees from lowest to highest. This calculation was performed for all employees of Supernus, excluding Mr. Khattar.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pay ratio reported above is a reasonable estimate calculated in a manner consistent with SEC rules based on our internal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Therefore,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 VERSUS PERFORMANCE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rules adopted by the Securities and Exchange Commission pursuant to the Dodd-Frank Wall Street Reform and Consumer Protection Act of 2010, we provide the following disclosure regarding executive compensation for our principal executive officer (“PEO”) and Non-PEO NEOs and Company performance for the fiscal years listed below. The Compensation Committee did not consider the pay versus performance disclosure below in making its pay decisions for any of the years shown.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3019" w:type="dxa"/>
        <w:jc w:val="left"/>
        <w:tblInd w:w="1393" w:type="dxa"/>
        <w:tblCellMar>
          <w:top w:w="0" w:type="dxa"/>
          <w:left w:w="0" w:type="dxa"/>
          <w:bottom w:w="43" w:type="dxa"/>
          <w:right w:w="0" w:type="dxa"/>
        </w:tblCellMar>
      </w:tblPr>
      <w:tblGrid>
        <w:gridCol w:w="613"/>
        <w:gridCol w:w="109"/>
        <w:gridCol w:w="109"/>
        <w:gridCol w:w="109"/>
        <w:gridCol w:w="109"/>
        <w:gridCol w:w="1186"/>
        <w:gridCol w:w="109"/>
        <w:gridCol w:w="109"/>
        <w:gridCol w:w="109"/>
        <w:gridCol w:w="109"/>
        <w:gridCol w:w="109"/>
        <w:gridCol w:w="1186"/>
        <w:gridCol w:w="109"/>
        <w:gridCol w:w="109"/>
        <w:gridCol w:w="109"/>
        <w:gridCol w:w="112"/>
        <w:gridCol w:w="112"/>
        <w:gridCol w:w="1100"/>
        <w:gridCol w:w="114"/>
        <w:gridCol w:w="109"/>
        <w:gridCol w:w="109"/>
        <w:gridCol w:w="112"/>
        <w:gridCol w:w="112"/>
        <w:gridCol w:w="1100"/>
        <w:gridCol w:w="114"/>
        <w:gridCol w:w="109"/>
        <w:gridCol w:w="109"/>
        <w:gridCol w:w="121"/>
        <w:gridCol w:w="121"/>
        <w:gridCol w:w="852"/>
        <w:gridCol w:w="122"/>
        <w:gridCol w:w="109"/>
        <w:gridCol w:w="109"/>
        <w:gridCol w:w="109"/>
        <w:gridCol w:w="109"/>
        <w:gridCol w:w="766"/>
        <w:gridCol w:w="109"/>
        <w:gridCol w:w="109"/>
        <w:gridCol w:w="109"/>
        <w:gridCol w:w="152"/>
        <w:gridCol w:w="152"/>
        <w:gridCol w:w="652"/>
        <w:gridCol w:w="155"/>
        <w:gridCol w:w="109"/>
        <w:gridCol w:w="109"/>
        <w:gridCol w:w="132"/>
        <w:gridCol w:w="132"/>
        <w:gridCol w:w="787"/>
        <w:gridCol w:w="135"/>
        <w:gridCol w:w="154"/>
      </w:tblGrid>
      <w:tr>
        <w:trPr/>
        <w:tc>
          <w:tcPr>
            <w:tcW w:w="613" w:type="dxa"/>
            <w:vMerge w:val="restart"/>
            <w:tcBorders>
              <w:bottom w:val="single" w:sz="2" w:space="0" w:color="000000"/>
            </w:tcBorders>
            <w:shd w:fill="auto" w:val="clear"/>
            <w:vAlign w:val="center"/>
          </w:tcPr>
          <w:p>
            <w:pPr>
              <w:pStyle w:val="TableContents"/>
              <w:spacing w:lineRule="atLeast" w:line="180" w:before="0" w:after="0"/>
              <w:jc w:val="left"/>
              <w:rPr>
                <w:spacing w:val="-3"/>
              </w:rPr>
            </w:pPr>
            <w:r>
              <w:rPr>
                <w:spacing w:val="-3"/>
              </w:rPr>
              <w:t xml:space="preserve">Year </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513" w:type="dxa"/>
            <w:gridSpan w:val="4"/>
            <w:vMerge w:val="restart"/>
            <w:tcBorders>
              <w:bottom w:val="single" w:sz="2" w:space="0" w:color="000000"/>
            </w:tcBorders>
            <w:shd w:fill="auto" w:val="clear"/>
            <w:vAlign w:val="center"/>
          </w:tcPr>
          <w:p>
            <w:pPr>
              <w:pStyle w:val="TableContents"/>
              <w:spacing w:lineRule="atLeast" w:line="180" w:before="0" w:after="0"/>
              <w:jc w:val="center"/>
              <w:rPr/>
            </w:pPr>
            <w:r>
              <w:rPr>
                <w:spacing w:val="-3"/>
              </w:rPr>
              <w:t xml:space="preserve">Summary </w:t>
              <w:br/>
              <w:t xml:space="preserve">Compensation </w:t>
              <w:br/>
              <w:t xml:space="preserve">Table Total </w:t>
              <w:br/>
              <w:t xml:space="preserve">for Jack </w:t>
              <w:br/>
              <w:t>Khattar</w:t>
            </w:r>
            <w:r>
              <w:rPr>
                <w:spacing w:val="-2"/>
                <w:sz w:val="10"/>
              </w:rPr>
              <w:t>(1)</w:t>
            </w:r>
            <w:r>
              <w:rPr/>
              <w:t xml:space="preserve"> </w:t>
              <w:br/>
            </w:r>
            <w:r>
              <w:rPr>
                <w:spacing w:val="-3"/>
              </w:rPr>
              <w:t xml:space="preserve">($) </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513" w:type="dxa"/>
            <w:gridSpan w:val="4"/>
            <w:vMerge w:val="restart"/>
            <w:tcBorders>
              <w:bottom w:val="single" w:sz="2" w:space="0" w:color="000000"/>
            </w:tcBorders>
            <w:shd w:fill="auto" w:val="clear"/>
            <w:vAlign w:val="center"/>
          </w:tcPr>
          <w:p>
            <w:pPr>
              <w:pStyle w:val="TableContents"/>
              <w:spacing w:lineRule="atLeast" w:line="180" w:before="0" w:after="0"/>
              <w:jc w:val="center"/>
              <w:rPr/>
            </w:pPr>
            <w:r>
              <w:rPr>
                <w:spacing w:val="-3"/>
              </w:rPr>
              <w:t xml:space="preserve">Compensation </w:t>
              <w:br/>
              <w:t xml:space="preserve">Actually </w:t>
              <w:br/>
              <w:t xml:space="preserve">Paid to </w:t>
              <w:br/>
              <w:t xml:space="preserve">Jack </w:t>
              <w:br/>
              <w:t>Khattar</w:t>
            </w:r>
            <w:r>
              <w:rPr>
                <w:spacing w:val="-2"/>
                <w:sz w:val="10"/>
              </w:rPr>
              <w:t>(1)(2)(3)</w:t>
            </w:r>
            <w:r>
              <w:rPr/>
              <w:t xml:space="preserve"> </w:t>
              <w:br/>
            </w:r>
            <w:r>
              <w:rPr>
                <w:spacing w:val="-3"/>
              </w:rPr>
              <w:t xml:space="preserve">($) </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438" w:type="dxa"/>
            <w:gridSpan w:val="4"/>
            <w:vMerge w:val="restart"/>
            <w:tcBorders>
              <w:bottom w:val="single" w:sz="2" w:space="0" w:color="000000"/>
            </w:tcBorders>
            <w:shd w:fill="auto" w:val="clear"/>
            <w:vAlign w:val="center"/>
          </w:tcPr>
          <w:p>
            <w:pPr>
              <w:pStyle w:val="TableContents"/>
              <w:spacing w:lineRule="atLeast" w:line="180" w:before="0" w:after="0"/>
              <w:jc w:val="center"/>
              <w:rPr/>
            </w:pPr>
            <w:r>
              <w:rPr>
                <w:spacing w:val="-3"/>
              </w:rPr>
              <w:t xml:space="preserve">Average </w:t>
              <w:br/>
              <w:t xml:space="preserve">Summary </w:t>
              <w:br/>
              <w:t xml:space="preserve">Compensation </w:t>
              <w:br/>
              <w:t xml:space="preserve">Table Total </w:t>
              <w:br/>
              <w:t xml:space="preserve">for Non-PEO </w:t>
              <w:br/>
              <w:t>NEOs</w:t>
            </w:r>
            <w:r>
              <w:rPr>
                <w:spacing w:val="-2"/>
                <w:sz w:val="10"/>
              </w:rPr>
              <w:t>(1)</w:t>
            </w:r>
            <w:r>
              <w:rPr/>
              <w:t xml:space="preserve"> </w:t>
              <w:br/>
            </w:r>
            <w:r>
              <w:rPr>
                <w:spacing w:val="-3"/>
              </w:rPr>
              <w:t xml:space="preserve">($) </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438" w:type="dxa"/>
            <w:gridSpan w:val="4"/>
            <w:vMerge w:val="restart"/>
            <w:tcBorders>
              <w:bottom w:val="single" w:sz="2" w:space="0" w:color="000000"/>
            </w:tcBorders>
            <w:shd w:fill="auto" w:val="clear"/>
            <w:vAlign w:val="center"/>
          </w:tcPr>
          <w:p>
            <w:pPr>
              <w:pStyle w:val="TableContents"/>
              <w:spacing w:lineRule="atLeast" w:line="180" w:before="0" w:after="0"/>
              <w:jc w:val="center"/>
              <w:rPr/>
            </w:pPr>
            <w:r>
              <w:rPr>
                <w:spacing w:val="-3"/>
              </w:rPr>
              <w:t xml:space="preserve">Average </w:t>
              <w:br/>
              <w:t xml:space="preserve">Compensation </w:t>
              <w:br/>
              <w:t xml:space="preserve">Actually </w:t>
              <w:br/>
              <w:t xml:space="preserve">Paid to </w:t>
              <w:br/>
              <w:t xml:space="preserve">Non-PEO </w:t>
              <w:br/>
              <w:t>NEOs</w:t>
            </w:r>
            <w:r>
              <w:rPr>
                <w:spacing w:val="-2"/>
                <w:sz w:val="10"/>
              </w:rPr>
              <w:t>(1)(2)(3)</w:t>
            </w:r>
            <w:r>
              <w:rPr/>
              <w:t xml:space="preserve"> </w:t>
              <w:br/>
            </w:r>
            <w:r>
              <w:rPr>
                <w:spacing w:val="-3"/>
              </w:rPr>
              <w:t xml:space="preserve">($) </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527" w:type="dxa"/>
            <w:gridSpan w:val="10"/>
            <w:tcBorders>
              <w:bottom w:val="single" w:sz="2" w:space="0" w:color="000000"/>
            </w:tcBorders>
            <w:shd w:fill="auto" w:val="clear"/>
            <w:vAlign w:val="center"/>
          </w:tcPr>
          <w:p>
            <w:pPr>
              <w:pStyle w:val="TableContents"/>
              <w:spacing w:lineRule="atLeast" w:line="141" w:before="0" w:after="0"/>
              <w:jc w:val="center"/>
              <w:rPr/>
            </w:pPr>
            <w:r>
              <w:rPr>
                <w:spacing w:val="-3"/>
              </w:rPr>
              <w:t xml:space="preserve">Value of Initial Fixed </w:t>
              <w:br/>
              <w:t xml:space="preserve">$100 Investment </w:t>
              <w:br/>
              <w:t>based on:</w:t>
            </w:r>
            <w:r>
              <w:rPr>
                <w:spacing w:val="-2"/>
                <w:sz w:val="10"/>
              </w:rPr>
              <w:t>(4)</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111" w:type="dxa"/>
            <w:gridSpan w:val="4"/>
            <w:vMerge w:val="restart"/>
            <w:tcBorders>
              <w:bottom w:val="single" w:sz="2" w:space="0" w:color="000000"/>
            </w:tcBorders>
            <w:shd w:fill="auto" w:val="clear"/>
            <w:vAlign w:val="center"/>
          </w:tcPr>
          <w:p>
            <w:pPr>
              <w:pStyle w:val="TableContents"/>
              <w:spacing w:lineRule="atLeast" w:line="180" w:before="0" w:after="0"/>
              <w:jc w:val="center"/>
              <w:rPr>
                <w:spacing w:val="-3"/>
              </w:rPr>
            </w:pPr>
            <w:r>
              <w:rPr>
                <w:spacing w:val="-3"/>
              </w:rPr>
              <w:t xml:space="preserve">Net </w:t>
              <w:br/>
              <w:t xml:space="preserve">Income </w:t>
              <w:br/>
              <w:t xml:space="preserve">($ Millions) </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186" w:type="dxa"/>
            <w:gridSpan w:val="4"/>
            <w:vMerge w:val="restart"/>
            <w:tcBorders>
              <w:bottom w:val="single" w:sz="2" w:space="0" w:color="000000"/>
            </w:tcBorders>
            <w:shd w:fill="auto" w:val="clear"/>
            <w:vAlign w:val="center"/>
          </w:tcPr>
          <w:p>
            <w:pPr>
              <w:pStyle w:val="TableContents"/>
              <w:spacing w:lineRule="atLeast" w:line="141" w:before="0" w:after="0"/>
              <w:jc w:val="center"/>
              <w:rPr/>
            </w:pPr>
            <w:r>
              <w:rPr>
                <w:spacing w:val="-3"/>
              </w:rPr>
              <w:t xml:space="preserve">Gross </w:t>
              <w:br/>
              <w:t xml:space="preserve">Product </w:t>
              <w:br/>
              <w:t xml:space="preserve">Sales </w:t>
              <w:br/>
              <w:t>($ Millions)</w:t>
            </w:r>
            <w:r>
              <w:rPr>
                <w:spacing w:val="-2"/>
                <w:sz w:val="10"/>
              </w:rPr>
              <w:t>(5)</w:t>
            </w:r>
            <w:r>
              <w:rPr/>
              <w:t xml:space="preserve"> </w:t>
            </w:r>
          </w:p>
        </w:tc>
        <w:tc>
          <w:tcPr>
            <w:tcW w:w="154"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613" w:type="dxa"/>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513" w:type="dxa"/>
            <w:gridSpan w:val="4"/>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513" w:type="dxa"/>
            <w:gridSpan w:val="4"/>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438" w:type="dxa"/>
            <w:gridSpan w:val="4"/>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438" w:type="dxa"/>
            <w:gridSpan w:val="4"/>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16"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Total </w:t>
              <w:br/>
              <w:t xml:space="preserve">Shareholder </w:t>
              <w:br/>
              <w:t xml:space="preserve">Return </w:t>
              <w:br/>
              <w:t xml:space="preserve">(“TSR”) </w:t>
              <w:b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Peer </w:t>
              <w:br/>
              <w:t xml:space="preserve">Group </w:t>
              <w:br/>
              <w:t xml:space="preserve">TSR </w:t>
              <w:b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111" w:type="dxa"/>
            <w:gridSpan w:val="4"/>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186" w:type="dxa"/>
            <w:gridSpan w:val="4"/>
            <w:vMerge w:val="continue"/>
            <w:tcBorders>
              <w:bottom w:val="single" w:sz="2" w:space="0" w:color="000000"/>
            </w:tcBorders>
            <w:shd w:fill="auto" w:val="clear"/>
            <w:vAlign w:val="center"/>
          </w:tcPr>
          <w:p>
            <w:pPr>
              <w:pStyle w:val="Normal"/>
              <w:rPr/>
            </w:pPr>
            <w:r>
              <w:rPr/>
            </w:r>
          </w:p>
        </w:tc>
        <w:tc>
          <w:tcPr>
            <w:tcW w:w="154" w:type="dxa"/>
            <w:vMerge w:val="continue"/>
            <w:tcBorders>
              <w:bottom w:val="single" w:sz="2" w:space="0" w:color="FFFFFF"/>
            </w:tcBorders>
            <w:shd w:fill="auto" w:val="clear"/>
            <w:tcMar>
              <w:bottom w:w="28" w:type="dxa"/>
            </w:tcMar>
            <w:vAlign w:val="center"/>
          </w:tcPr>
          <w:p>
            <w:pPr>
              <w:pStyle w:val="Normal"/>
              <w:rPr/>
            </w:pPr>
            <w:r>
              <w:rPr/>
            </w:r>
          </w:p>
        </w:tc>
      </w:tr>
      <w:tr>
        <w:trPr/>
        <w:tc>
          <w:tcPr>
            <w:tcW w:w="613" w:type="dxa"/>
            <w:tcBorders/>
            <w:shd w:fill="auto" w:val="clear"/>
            <w:tcMar>
              <w:bottom w:w="0" w:type="dxa"/>
            </w:tcMar>
            <w:vAlign w:val="center"/>
          </w:tcPr>
          <w:p>
            <w:pPr>
              <w:pStyle w:val="TableContents"/>
              <w:spacing w:before="0" w:after="0"/>
              <w:jc w:val="left"/>
              <w:rPr>
                <w:spacing w:val="-3"/>
              </w:rPr>
            </w:pPr>
            <w:r>
              <w:rPr>
                <w:spacing w:val="-3"/>
              </w:rPr>
              <w:t xml:space="preserve">(a)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13" w:type="dxa"/>
            <w:gridSpan w:val="4"/>
            <w:tcBorders/>
            <w:shd w:fill="auto" w:val="clear"/>
            <w:tcMar>
              <w:bottom w:w="0" w:type="dxa"/>
            </w:tcMar>
            <w:vAlign w:val="center"/>
          </w:tcPr>
          <w:p>
            <w:pPr>
              <w:pStyle w:val="TableContents"/>
              <w:spacing w:before="0" w:after="0"/>
              <w:jc w:val="center"/>
              <w:rPr>
                <w:spacing w:val="-3"/>
              </w:rPr>
            </w:pPr>
            <w:r>
              <w:rPr>
                <w:spacing w:val="-3"/>
              </w:rPr>
              <w:t xml:space="preserve">(b)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13" w:type="dxa"/>
            <w:gridSpan w:val="4"/>
            <w:tcBorders/>
            <w:shd w:fill="auto" w:val="clear"/>
            <w:tcMar>
              <w:bottom w:w="0" w:type="dxa"/>
            </w:tcMar>
            <w:vAlign w:val="center"/>
          </w:tcPr>
          <w:p>
            <w:pPr>
              <w:pStyle w:val="TableContents"/>
              <w:spacing w:before="0" w:after="0"/>
              <w:jc w:val="center"/>
              <w:rPr>
                <w:spacing w:val="-3"/>
              </w:rPr>
            </w:pPr>
            <w:r>
              <w:rPr>
                <w:spacing w:val="-3"/>
              </w:rPr>
              <w:t xml:space="preserve">(c)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38" w:type="dxa"/>
            <w:gridSpan w:val="4"/>
            <w:tcBorders/>
            <w:shd w:fill="auto" w:val="clear"/>
            <w:tcMar>
              <w:bottom w:w="0" w:type="dxa"/>
            </w:tcMar>
            <w:vAlign w:val="center"/>
          </w:tcPr>
          <w:p>
            <w:pPr>
              <w:pStyle w:val="TableContents"/>
              <w:spacing w:before="0" w:after="0"/>
              <w:jc w:val="center"/>
              <w:rPr>
                <w:spacing w:val="-3"/>
              </w:rPr>
            </w:pPr>
            <w:r>
              <w:rPr>
                <w:spacing w:val="-3"/>
              </w:rPr>
              <w:t xml:space="preserve">(d)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38" w:type="dxa"/>
            <w:gridSpan w:val="4"/>
            <w:tcBorders/>
            <w:shd w:fill="auto" w:val="clear"/>
            <w:tcMar>
              <w:bottom w:w="0" w:type="dxa"/>
            </w:tcMar>
            <w:vAlign w:val="center"/>
          </w:tcPr>
          <w:p>
            <w:pPr>
              <w:pStyle w:val="TableContents"/>
              <w:spacing w:before="0" w:after="0"/>
              <w:jc w:val="center"/>
              <w:rPr>
                <w:spacing w:val="-3"/>
              </w:rPr>
            </w:pPr>
            <w:r>
              <w:rPr>
                <w:spacing w:val="-3"/>
              </w:rPr>
              <w:t xml:space="preserve">(e)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16" w:type="dxa"/>
            <w:gridSpan w:val="4"/>
            <w:tcBorders/>
            <w:shd w:fill="auto" w:val="clear"/>
            <w:tcMar>
              <w:bottom w:w="0" w:type="dxa"/>
            </w:tcMar>
            <w:vAlign w:val="center"/>
          </w:tcPr>
          <w:p>
            <w:pPr>
              <w:pStyle w:val="TableContents"/>
              <w:spacing w:before="0" w:after="0"/>
              <w:jc w:val="center"/>
              <w:rPr>
                <w:spacing w:val="-3"/>
              </w:rPr>
            </w:pPr>
            <w:r>
              <w:rPr>
                <w:spacing w:val="-3"/>
              </w:rPr>
              <w:t xml:space="preserve">(f)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3" w:type="dxa"/>
            <w:gridSpan w:val="4"/>
            <w:tcBorders/>
            <w:shd w:fill="auto" w:val="clear"/>
            <w:tcMar>
              <w:bottom w:w="0" w:type="dxa"/>
            </w:tcMar>
            <w:vAlign w:val="center"/>
          </w:tcPr>
          <w:p>
            <w:pPr>
              <w:pStyle w:val="TableContents"/>
              <w:spacing w:before="0" w:after="0"/>
              <w:jc w:val="center"/>
              <w:rPr>
                <w:spacing w:val="-3"/>
              </w:rPr>
            </w:pPr>
            <w:r>
              <w:rPr>
                <w:spacing w:val="-3"/>
              </w:rPr>
              <w:t xml:space="preserve">(g)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1" w:type="dxa"/>
            <w:gridSpan w:val="4"/>
            <w:tcBorders/>
            <w:shd w:fill="auto" w:val="clear"/>
            <w:tcMar>
              <w:bottom w:w="0" w:type="dxa"/>
            </w:tcMar>
            <w:vAlign w:val="center"/>
          </w:tcPr>
          <w:p>
            <w:pPr>
              <w:pStyle w:val="TableContents"/>
              <w:spacing w:before="0" w:after="0"/>
              <w:jc w:val="center"/>
              <w:rPr>
                <w:spacing w:val="-3"/>
              </w:rPr>
            </w:pPr>
            <w:r>
              <w:rPr>
                <w:spacing w:val="-3"/>
              </w:rPr>
              <w:t xml:space="preserve">(h)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86" w:type="dxa"/>
            <w:gridSpan w:val="4"/>
            <w:tcBorders/>
            <w:shd w:fill="auto" w:val="clear"/>
            <w:tcMar>
              <w:bottom w:w="0" w:type="dxa"/>
            </w:tcMar>
            <w:vAlign w:val="center"/>
          </w:tcPr>
          <w:p>
            <w:pPr>
              <w:pStyle w:val="TableContents"/>
              <w:spacing w:before="0" w:after="0"/>
              <w:jc w:val="center"/>
              <w:rPr>
                <w:spacing w:val="-3"/>
              </w:rPr>
            </w:pPr>
            <w:r>
              <w:rPr>
                <w:spacing w:val="-3"/>
              </w:rPr>
              <w:t xml:space="preserve">(i) </w:t>
            </w:r>
          </w:p>
        </w:tc>
        <w:tc>
          <w:tcPr>
            <w:tcW w:w="154" w:type="dxa"/>
            <w:tcBorders/>
            <w:shd w:fill="auto" w:val="clear"/>
            <w:tcMar>
              <w:bottom w:w="0" w:type="dxa"/>
            </w:tcMar>
            <w:vAlign w:val="center"/>
          </w:tcPr>
          <w:p>
            <w:pPr>
              <w:pStyle w:val="TableContents"/>
              <w:spacing w:before="0" w:after="283"/>
              <w:rPr/>
            </w:pPr>
            <w:r>
              <w:rPr/>
              <w:t>​</w:t>
            </w:r>
          </w:p>
        </w:tc>
      </w:tr>
      <w:tr>
        <w:trPr/>
        <w:tc>
          <w:tcPr>
            <w:tcW w:w="613" w:type="dxa"/>
            <w:tcBorders/>
            <w:shd w:fill="CCEEFF" w:val="clear"/>
            <w:tcMar>
              <w:bottom w:w="0" w:type="dxa"/>
            </w:tcMar>
            <w:vAlign w:val="center"/>
          </w:tcPr>
          <w:p>
            <w:pPr>
              <w:pStyle w:val="TableContents"/>
              <w:spacing w:before="0" w:after="0"/>
              <w:jc w:val="left"/>
              <w:rPr>
                <w:spacing w:val="4"/>
              </w:rPr>
            </w:pPr>
            <w:r>
              <w:rPr>
                <w:spacing w:val="4"/>
              </w:rPr>
              <w:t xml:space="preserve">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10,012,717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11,056,323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1100" w:type="dxa"/>
            <w:tcBorders/>
            <w:shd w:fill="CCEEFF" w:val="clear"/>
            <w:tcMar>
              <w:bottom w:w="0" w:type="dxa"/>
            </w:tcMar>
            <w:vAlign w:val="center"/>
          </w:tcPr>
          <w:p>
            <w:pPr>
              <w:pStyle w:val="TableContents"/>
              <w:spacing w:before="0" w:after="283"/>
              <w:jc w:val="right"/>
              <w:rPr/>
            </w:pPr>
            <w:r>
              <w:rPr/>
              <w:t>1,167,214</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1100" w:type="dxa"/>
            <w:tcBorders/>
            <w:shd w:fill="CCEEFF" w:val="clear"/>
            <w:tcMar>
              <w:bottom w:w="0" w:type="dxa"/>
            </w:tcMar>
            <w:vAlign w:val="center"/>
          </w:tcPr>
          <w:p>
            <w:pPr>
              <w:pStyle w:val="TableContents"/>
              <w:spacing w:before="0" w:after="283"/>
              <w:jc w:val="right"/>
              <w:rPr/>
            </w:pPr>
            <w:r>
              <w:rPr/>
              <w:t>1,433,071</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1" w:type="dxa"/>
            <w:tcBorders/>
            <w:shd w:fill="CCEEFF" w:val="clear"/>
            <w:tcMar>
              <w:bottom w:w="0" w:type="dxa"/>
            </w:tcMar>
            <w:vAlign w:val="center"/>
          </w:tcPr>
          <w:p>
            <w:pPr>
              <w:pStyle w:val="TableContents"/>
              <w:spacing w:before="0" w:after="283"/>
              <w:rPr/>
            </w:pPr>
            <w:r>
              <w:rPr/>
              <w:t>​</w:t>
            </w:r>
          </w:p>
        </w:tc>
        <w:tc>
          <w:tcPr>
            <w:tcW w:w="121" w:type="dxa"/>
            <w:tcBorders/>
            <w:shd w:fill="CCEEFF" w:val="clear"/>
            <w:tcMar>
              <w:bottom w:w="0" w:type="dxa"/>
            </w:tcMar>
            <w:vAlign w:val="center"/>
          </w:tcPr>
          <w:p>
            <w:pPr>
              <w:pStyle w:val="TableContents"/>
              <w:spacing w:before="0" w:after="283"/>
              <w:jc w:val="right"/>
              <w:rPr/>
            </w:pPr>
            <w:r>
              <w:rPr/>
              <w:t>​</w:t>
            </w:r>
          </w:p>
        </w:tc>
        <w:tc>
          <w:tcPr>
            <w:tcW w:w="852" w:type="dxa"/>
            <w:tcBorders/>
            <w:shd w:fill="CCEEFF" w:val="clear"/>
            <w:tcMar>
              <w:bottom w:w="0" w:type="dxa"/>
            </w:tcMar>
            <w:vAlign w:val="center"/>
          </w:tcPr>
          <w:p>
            <w:pPr>
              <w:pStyle w:val="TableContents"/>
              <w:spacing w:before="0" w:after="283"/>
              <w:jc w:val="right"/>
              <w:rPr/>
            </w:pPr>
            <w:r>
              <w:rPr/>
              <w:t>150.38</w:t>
            </w:r>
          </w:p>
        </w:tc>
        <w:tc>
          <w:tcPr>
            <w:tcW w:w="12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113.65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2" w:type="dxa"/>
            <w:tcBorders/>
            <w:shd w:fill="CCEEFF" w:val="clear"/>
            <w:tcMar>
              <w:bottom w:w="0" w:type="dxa"/>
            </w:tcMar>
            <w:vAlign w:val="center"/>
          </w:tcPr>
          <w:p>
            <w:pPr>
              <w:pStyle w:val="TableContents"/>
              <w:spacing w:before="0" w:after="283"/>
              <w:rPr/>
            </w:pPr>
            <w:r>
              <w:rPr/>
              <w:t>​</w:t>
            </w:r>
          </w:p>
        </w:tc>
        <w:tc>
          <w:tcPr>
            <w:tcW w:w="152" w:type="dxa"/>
            <w:tcBorders/>
            <w:shd w:fill="CCEEFF" w:val="clear"/>
            <w:tcMar>
              <w:bottom w:w="0" w:type="dxa"/>
            </w:tcMar>
            <w:vAlign w:val="center"/>
          </w:tcPr>
          <w:p>
            <w:pPr>
              <w:pStyle w:val="TableContents"/>
              <w:spacing w:before="0" w:after="283"/>
              <w:jc w:val="right"/>
              <w:rPr/>
            </w:pPr>
            <w:r>
              <w:rPr/>
              <w:t>​</w:t>
            </w:r>
          </w:p>
        </w:tc>
        <w:tc>
          <w:tcPr>
            <w:tcW w:w="652" w:type="dxa"/>
            <w:tcBorders/>
            <w:shd w:fill="CCEEFF" w:val="clear"/>
            <w:tcMar>
              <w:bottom w:w="0" w:type="dxa"/>
            </w:tcMar>
            <w:vAlign w:val="center"/>
          </w:tcPr>
          <w:p>
            <w:pPr>
              <w:pStyle w:val="TableContents"/>
              <w:spacing w:before="0" w:after="283"/>
              <w:jc w:val="right"/>
              <w:rPr/>
            </w:pPr>
            <w:r>
              <w:rPr/>
              <w:t>61</w:t>
            </w:r>
          </w:p>
        </w:tc>
        <w:tc>
          <w:tcPr>
            <w:tcW w:w="15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jc w:val="right"/>
              <w:rPr/>
            </w:pPr>
            <w:r>
              <w:rPr/>
              <w:t>​</w:t>
            </w:r>
          </w:p>
        </w:tc>
        <w:tc>
          <w:tcPr>
            <w:tcW w:w="787" w:type="dxa"/>
            <w:tcBorders/>
            <w:shd w:fill="CCEEFF" w:val="clear"/>
            <w:tcMar>
              <w:bottom w:w="0" w:type="dxa"/>
            </w:tcMar>
            <w:vAlign w:val="center"/>
          </w:tcPr>
          <w:p>
            <w:pPr>
              <w:pStyle w:val="TableContents"/>
              <w:spacing w:before="0" w:after="283"/>
              <w:jc w:val="right"/>
              <w:rPr/>
            </w:pPr>
            <w:r>
              <w:rPr/>
              <w:t>1,181</w:t>
            </w:r>
          </w:p>
        </w:tc>
        <w:tc>
          <w:tcPr>
            <w:tcW w:w="135"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13" w:type="dxa"/>
            <w:tcBorders/>
            <w:shd w:fill="auto" w:val="clear"/>
            <w:tcMar>
              <w:bottom w:w="0" w:type="dxa"/>
            </w:tcMar>
            <w:vAlign w:val="center"/>
          </w:tcPr>
          <w:p>
            <w:pPr>
              <w:pStyle w:val="TableContents"/>
              <w:spacing w:before="0" w:after="0"/>
              <w:jc w:val="left"/>
              <w:rPr>
                <w:spacing w:val="4"/>
              </w:rPr>
            </w:pPr>
            <w:r>
              <w:rPr>
                <w:spacing w:val="4"/>
              </w:rPr>
              <w:t xml:space="preserve">2021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8,116,721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7,914,950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1100" w:type="dxa"/>
            <w:tcBorders/>
            <w:shd w:fill="auto" w:val="clear"/>
            <w:tcMar>
              <w:bottom w:w="0" w:type="dxa"/>
            </w:tcMar>
            <w:vAlign w:val="center"/>
          </w:tcPr>
          <w:p>
            <w:pPr>
              <w:pStyle w:val="TableContents"/>
              <w:spacing w:before="0" w:after="283"/>
              <w:jc w:val="right"/>
              <w:rPr/>
            </w:pPr>
            <w:r>
              <w:rPr/>
              <w:t>979,005</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1100" w:type="dxa"/>
            <w:tcBorders/>
            <w:shd w:fill="auto" w:val="clear"/>
            <w:tcMar>
              <w:bottom w:w="0" w:type="dxa"/>
            </w:tcMar>
            <w:vAlign w:val="center"/>
          </w:tcPr>
          <w:p>
            <w:pPr>
              <w:pStyle w:val="TableContents"/>
              <w:spacing w:before="0" w:after="283"/>
              <w:jc w:val="right"/>
              <w:rPr/>
            </w:pPr>
            <w:r>
              <w:rPr/>
              <w:t>601,468</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1" w:type="dxa"/>
            <w:tcBorders/>
            <w:shd w:fill="auto" w:val="clear"/>
            <w:tcMar>
              <w:bottom w:w="0" w:type="dxa"/>
            </w:tcMar>
            <w:vAlign w:val="center"/>
          </w:tcPr>
          <w:p>
            <w:pPr>
              <w:pStyle w:val="TableContents"/>
              <w:spacing w:before="0" w:after="283"/>
              <w:rPr/>
            </w:pPr>
            <w:r>
              <w:rPr/>
              <w:t>​</w:t>
            </w:r>
          </w:p>
        </w:tc>
        <w:tc>
          <w:tcPr>
            <w:tcW w:w="121" w:type="dxa"/>
            <w:tcBorders/>
            <w:shd w:fill="auto" w:val="clear"/>
            <w:tcMar>
              <w:bottom w:w="0" w:type="dxa"/>
            </w:tcMar>
            <w:vAlign w:val="center"/>
          </w:tcPr>
          <w:p>
            <w:pPr>
              <w:pStyle w:val="TableContents"/>
              <w:spacing w:before="0" w:after="283"/>
              <w:jc w:val="right"/>
              <w:rPr/>
            </w:pPr>
            <w:r>
              <w:rPr/>
              <w:t>​</w:t>
            </w:r>
          </w:p>
        </w:tc>
        <w:tc>
          <w:tcPr>
            <w:tcW w:w="852" w:type="dxa"/>
            <w:tcBorders/>
            <w:shd w:fill="auto" w:val="clear"/>
            <w:tcMar>
              <w:bottom w:w="0" w:type="dxa"/>
            </w:tcMar>
            <w:vAlign w:val="center"/>
          </w:tcPr>
          <w:p>
            <w:pPr>
              <w:pStyle w:val="TableContents"/>
              <w:spacing w:before="0" w:after="283"/>
              <w:jc w:val="right"/>
              <w:rPr/>
            </w:pPr>
            <w:r>
              <w:rPr/>
              <w:t>122.93</w:t>
            </w:r>
          </w:p>
        </w:tc>
        <w:tc>
          <w:tcPr>
            <w:tcW w:w="12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126.45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2" w:type="dxa"/>
            <w:tcBorders/>
            <w:shd w:fill="auto" w:val="clear"/>
            <w:tcMar>
              <w:bottom w:w="0" w:type="dxa"/>
            </w:tcMar>
            <w:vAlign w:val="center"/>
          </w:tcPr>
          <w:p>
            <w:pPr>
              <w:pStyle w:val="TableContents"/>
              <w:spacing w:before="0" w:after="283"/>
              <w:rPr/>
            </w:pPr>
            <w:r>
              <w:rPr/>
              <w:t>​</w:t>
            </w:r>
          </w:p>
        </w:tc>
        <w:tc>
          <w:tcPr>
            <w:tcW w:w="152" w:type="dxa"/>
            <w:tcBorders/>
            <w:shd w:fill="auto" w:val="clear"/>
            <w:tcMar>
              <w:bottom w:w="0" w:type="dxa"/>
            </w:tcMar>
            <w:vAlign w:val="center"/>
          </w:tcPr>
          <w:p>
            <w:pPr>
              <w:pStyle w:val="TableContents"/>
              <w:spacing w:before="0" w:after="283"/>
              <w:jc w:val="right"/>
              <w:rPr/>
            </w:pPr>
            <w:r>
              <w:rPr/>
              <w:t>​</w:t>
            </w:r>
          </w:p>
        </w:tc>
        <w:tc>
          <w:tcPr>
            <w:tcW w:w="652" w:type="dxa"/>
            <w:tcBorders/>
            <w:shd w:fill="auto" w:val="clear"/>
            <w:tcMar>
              <w:bottom w:w="0" w:type="dxa"/>
            </w:tcMar>
            <w:vAlign w:val="center"/>
          </w:tcPr>
          <w:p>
            <w:pPr>
              <w:pStyle w:val="TableContents"/>
              <w:spacing w:before="0" w:after="283"/>
              <w:jc w:val="right"/>
              <w:rPr/>
            </w:pPr>
            <w:r>
              <w:rPr/>
              <w:t>53</w:t>
            </w:r>
          </w:p>
        </w:tc>
        <w:tc>
          <w:tcPr>
            <w:tcW w:w="15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283"/>
              <w:jc w:val="right"/>
              <w:rPr/>
            </w:pPr>
            <w:r>
              <w:rPr/>
              <w:t>​</w:t>
            </w:r>
          </w:p>
        </w:tc>
        <w:tc>
          <w:tcPr>
            <w:tcW w:w="787" w:type="dxa"/>
            <w:tcBorders/>
            <w:shd w:fill="auto" w:val="clear"/>
            <w:tcMar>
              <w:bottom w:w="0" w:type="dxa"/>
            </w:tcMar>
            <w:vAlign w:val="center"/>
          </w:tcPr>
          <w:p>
            <w:pPr>
              <w:pStyle w:val="TableContents"/>
              <w:spacing w:before="0" w:after="283"/>
              <w:jc w:val="right"/>
              <w:rPr/>
            </w:pPr>
            <w:r>
              <w:rPr/>
              <w:t>1,021</w:t>
            </w:r>
          </w:p>
        </w:tc>
        <w:tc>
          <w:tcPr>
            <w:tcW w:w="135"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13" w:type="dxa"/>
            <w:tcBorders/>
            <w:shd w:fill="CCEEFF" w:val="clear"/>
            <w:tcMar>
              <w:bottom w:w="0" w:type="dxa"/>
            </w:tcMar>
            <w:vAlign w:val="center"/>
          </w:tcPr>
          <w:p>
            <w:pPr>
              <w:pStyle w:val="TableContents"/>
              <w:spacing w:before="0" w:after="0"/>
              <w:jc w:val="left"/>
              <w:rPr>
                <w:spacing w:val="4"/>
              </w:rPr>
            </w:pPr>
            <w:r>
              <w:rPr>
                <w:spacing w:val="4"/>
              </w:rPr>
              <w:t xml:space="preserve">2020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6,669,046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6,134,966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1100" w:type="dxa"/>
            <w:tcBorders/>
            <w:shd w:fill="CCEEFF" w:val="clear"/>
            <w:tcMar>
              <w:bottom w:w="0" w:type="dxa"/>
            </w:tcMar>
            <w:vAlign w:val="center"/>
          </w:tcPr>
          <w:p>
            <w:pPr>
              <w:pStyle w:val="TableContents"/>
              <w:spacing w:before="0" w:after="283"/>
              <w:jc w:val="right"/>
              <w:rPr/>
            </w:pPr>
            <w:r>
              <w:rPr/>
              <w:t>1,204,624</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1100" w:type="dxa"/>
            <w:tcBorders/>
            <w:shd w:fill="CCEEFF" w:val="clear"/>
            <w:tcMar>
              <w:bottom w:w="0" w:type="dxa"/>
            </w:tcMar>
            <w:vAlign w:val="center"/>
          </w:tcPr>
          <w:p>
            <w:pPr>
              <w:pStyle w:val="TableContents"/>
              <w:spacing w:before="0" w:after="283"/>
              <w:jc w:val="right"/>
              <w:rPr/>
            </w:pPr>
            <w:r>
              <w:rPr/>
              <w:t>939,602</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1" w:type="dxa"/>
            <w:tcBorders/>
            <w:shd w:fill="CCEEFF" w:val="clear"/>
            <w:tcMar>
              <w:bottom w:w="0" w:type="dxa"/>
            </w:tcMar>
            <w:vAlign w:val="center"/>
          </w:tcPr>
          <w:p>
            <w:pPr>
              <w:pStyle w:val="TableContents"/>
              <w:spacing w:before="0" w:after="283"/>
              <w:rPr/>
            </w:pPr>
            <w:r>
              <w:rPr/>
              <w:t>​</w:t>
            </w:r>
          </w:p>
        </w:tc>
        <w:tc>
          <w:tcPr>
            <w:tcW w:w="121" w:type="dxa"/>
            <w:tcBorders/>
            <w:shd w:fill="CCEEFF" w:val="clear"/>
            <w:tcMar>
              <w:bottom w:w="0" w:type="dxa"/>
            </w:tcMar>
            <w:vAlign w:val="center"/>
          </w:tcPr>
          <w:p>
            <w:pPr>
              <w:pStyle w:val="TableContents"/>
              <w:spacing w:before="0" w:after="283"/>
              <w:jc w:val="right"/>
              <w:rPr/>
            </w:pPr>
            <w:r>
              <w:rPr/>
              <w:t>​</w:t>
            </w:r>
          </w:p>
        </w:tc>
        <w:tc>
          <w:tcPr>
            <w:tcW w:w="852" w:type="dxa"/>
            <w:tcBorders/>
            <w:shd w:fill="CCEEFF" w:val="clear"/>
            <w:tcMar>
              <w:bottom w:w="0" w:type="dxa"/>
            </w:tcMar>
            <w:vAlign w:val="center"/>
          </w:tcPr>
          <w:p>
            <w:pPr>
              <w:pStyle w:val="TableContents"/>
              <w:spacing w:before="0" w:after="283"/>
              <w:jc w:val="right"/>
              <w:rPr/>
            </w:pPr>
            <w:r>
              <w:rPr/>
              <w:t>106.07</w:t>
            </w:r>
          </w:p>
        </w:tc>
        <w:tc>
          <w:tcPr>
            <w:tcW w:w="12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126.42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2" w:type="dxa"/>
            <w:tcBorders/>
            <w:shd w:fill="CCEEFF" w:val="clear"/>
            <w:tcMar>
              <w:bottom w:w="0" w:type="dxa"/>
            </w:tcMar>
            <w:vAlign w:val="center"/>
          </w:tcPr>
          <w:p>
            <w:pPr>
              <w:pStyle w:val="TableContents"/>
              <w:spacing w:before="0" w:after="283"/>
              <w:rPr/>
            </w:pPr>
            <w:r>
              <w:rPr/>
              <w:t>​</w:t>
            </w:r>
          </w:p>
        </w:tc>
        <w:tc>
          <w:tcPr>
            <w:tcW w:w="152" w:type="dxa"/>
            <w:tcBorders/>
            <w:shd w:fill="CCEEFF" w:val="clear"/>
            <w:tcMar>
              <w:bottom w:w="0" w:type="dxa"/>
            </w:tcMar>
            <w:vAlign w:val="center"/>
          </w:tcPr>
          <w:p>
            <w:pPr>
              <w:pStyle w:val="TableContents"/>
              <w:spacing w:before="0" w:after="283"/>
              <w:jc w:val="right"/>
              <w:rPr/>
            </w:pPr>
            <w:r>
              <w:rPr/>
              <w:t>​</w:t>
            </w:r>
          </w:p>
        </w:tc>
        <w:tc>
          <w:tcPr>
            <w:tcW w:w="652" w:type="dxa"/>
            <w:tcBorders/>
            <w:shd w:fill="CCEEFF" w:val="clear"/>
            <w:tcMar>
              <w:bottom w:w="0" w:type="dxa"/>
            </w:tcMar>
            <w:vAlign w:val="center"/>
          </w:tcPr>
          <w:p>
            <w:pPr>
              <w:pStyle w:val="TableContents"/>
              <w:spacing w:before="0" w:after="283"/>
              <w:jc w:val="right"/>
              <w:rPr/>
            </w:pPr>
            <w:r>
              <w:rPr/>
              <w:t>127</w:t>
            </w:r>
          </w:p>
        </w:tc>
        <w:tc>
          <w:tcPr>
            <w:tcW w:w="15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jc w:val="right"/>
              <w:rPr/>
            </w:pPr>
            <w:r>
              <w:rPr/>
              <w:t>​</w:t>
            </w:r>
          </w:p>
        </w:tc>
        <w:tc>
          <w:tcPr>
            <w:tcW w:w="787" w:type="dxa"/>
            <w:tcBorders/>
            <w:shd w:fill="CCEEFF" w:val="clear"/>
            <w:tcMar>
              <w:bottom w:w="0" w:type="dxa"/>
            </w:tcMar>
            <w:vAlign w:val="center"/>
          </w:tcPr>
          <w:p>
            <w:pPr>
              <w:pStyle w:val="TableContents"/>
              <w:spacing w:before="0" w:after="283"/>
              <w:jc w:val="right"/>
              <w:rPr/>
            </w:pPr>
            <w:r>
              <w:rPr/>
              <w:t>951</w:t>
            </w:r>
          </w:p>
        </w:tc>
        <w:tc>
          <w:tcPr>
            <w:tcW w:w="135"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50" w:before="18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Jack Khattar was our PEO for each year presented. The individuals comprising the Non-PEO NEOs for each year presented are listed below. </w:t>
      </w:r>
    </w:p>
    <w:tbl>
      <w:tblPr>
        <w:tblW w:w="8812" w:type="dxa"/>
        <w:jc w:val="left"/>
        <w:tblInd w:w="1393" w:type="dxa"/>
        <w:tblCellMar>
          <w:top w:w="0" w:type="dxa"/>
          <w:left w:w="0" w:type="dxa"/>
          <w:bottom w:w="28" w:type="dxa"/>
          <w:right w:w="0" w:type="dxa"/>
        </w:tblCellMar>
      </w:tblPr>
      <w:tblGrid>
        <w:gridCol w:w="124"/>
        <w:gridCol w:w="2831"/>
        <w:gridCol w:w="109"/>
        <w:gridCol w:w="109"/>
        <w:gridCol w:w="2935"/>
        <w:gridCol w:w="109"/>
        <w:gridCol w:w="109"/>
        <w:gridCol w:w="2330"/>
        <w:gridCol w:w="156"/>
      </w:tblGrid>
      <w:tr>
        <w:trPr/>
        <w:tc>
          <w:tcPr>
            <w:tcW w:w="124" w:type="dxa"/>
            <w:tcBorders>
              <w:bottom w:val="single" w:sz="2" w:space="0" w:color="FFFFFF"/>
            </w:tcBorders>
            <w:shd w:fill="auto" w:val="clear"/>
            <w:vAlign w:val="center"/>
          </w:tcPr>
          <w:p>
            <w:pPr>
              <w:pStyle w:val="TableContents"/>
              <w:spacing w:before="0" w:after="283"/>
              <w:rPr/>
            </w:pPr>
            <w:r>
              <w:rPr/>
              <w:t>​</w:t>
            </w:r>
          </w:p>
        </w:tc>
        <w:tc>
          <w:tcPr>
            <w:tcW w:w="2831" w:type="dxa"/>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2020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935" w:type="dxa"/>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2021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330" w:type="dxa"/>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2022 </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2831" w:type="dxa"/>
            <w:tcBorders/>
            <w:shd w:fill="CCEEFF" w:val="clear"/>
            <w:tcMar>
              <w:bottom w:w="0" w:type="dxa"/>
            </w:tcMar>
            <w:vAlign w:val="center"/>
          </w:tcPr>
          <w:p>
            <w:pPr>
              <w:pStyle w:val="TableContents"/>
              <w:spacing w:before="0" w:after="0"/>
              <w:ind w:left="200" w:right="0" w:hanging="200"/>
              <w:jc w:val="center"/>
              <w:rPr/>
            </w:pPr>
            <w:r>
              <w:rPr>
                <w:spacing w:val="4"/>
              </w:rPr>
              <w:t>James P. Kelly</w:t>
            </w:r>
            <w:r>
              <w:rPr>
                <w:spacing w:val="3"/>
                <w:sz w:val="13"/>
              </w:rPr>
              <w:t>1</w:t>
            </w:r>
            <w:r>
              <w:rPr>
                <w:spacing w:val="4"/>
              </w:rPr>
              <w:t xml:space="preserve"> and Gregory S. </w:t>
              <w:br/>
              <w:t>Patrick</w:t>
            </w:r>
            <w:r>
              <w:rPr>
                <w:spacing w:val="3"/>
                <w:szCs w:val="13"/>
              </w:rPr>
              <w:t>﻿</w:t>
            </w:r>
            <w:r>
              <w:rPr>
                <w:spacing w:val="3"/>
                <w:sz w:val="13"/>
              </w:rPr>
              <w:t>2</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935" w:type="dxa"/>
            <w:tcBorders/>
            <w:shd w:fill="CCEEFF" w:val="clear"/>
            <w:tcMar>
              <w:bottom w:w="0" w:type="dxa"/>
            </w:tcMar>
            <w:vAlign w:val="center"/>
          </w:tcPr>
          <w:p>
            <w:pPr>
              <w:pStyle w:val="TableContents"/>
              <w:spacing w:before="0" w:after="0"/>
              <w:jc w:val="center"/>
              <w:rPr/>
            </w:pPr>
            <w:r>
              <w:rPr>
                <w:spacing w:val="4"/>
              </w:rPr>
              <w:t>Timothy C. Dec</w:t>
            </w:r>
            <w:r>
              <w:rPr>
                <w:spacing w:val="3"/>
                <w:sz w:val="13"/>
              </w:rPr>
              <w:t>3</w:t>
            </w:r>
            <w:r>
              <w:rPr>
                <w:spacing w:val="4"/>
              </w:rPr>
              <w:t xml:space="preserve"> and James P. Kelly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330" w:type="dxa"/>
            <w:tcBorders/>
            <w:shd w:fill="CCEEFF" w:val="clear"/>
            <w:tcMar>
              <w:bottom w:w="0" w:type="dxa"/>
            </w:tcMar>
            <w:vAlign w:val="center"/>
          </w:tcPr>
          <w:p>
            <w:pPr>
              <w:pStyle w:val="TableContents"/>
              <w:spacing w:before="0" w:after="0"/>
              <w:jc w:val="center"/>
              <w:rPr>
                <w:spacing w:val="4"/>
              </w:rPr>
            </w:pPr>
            <w:r>
              <w:rPr>
                <w:spacing w:val="4"/>
              </w:rPr>
              <w:t xml:space="preserve">Timothy C. Dec </w:t>
            </w:r>
          </w:p>
        </w:tc>
        <w:tc>
          <w:tcPr>
            <w:tcW w:w="156" w:type="dxa"/>
            <w:tcBorders/>
            <w:shd w:fill="CCEEF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831" w:type="dxa"/>
            <w:tcBorders/>
            <w:shd w:fill="auto" w:val="clear"/>
            <w:tcMar>
              <w:bottom w:w="0" w:type="dxa"/>
            </w:tcMar>
            <w:vAlign w:val="center"/>
          </w:tcPr>
          <w:p>
            <w:pPr>
              <w:pStyle w:val="TableContents"/>
              <w:spacing w:before="0" w:after="0"/>
              <w:jc w:val="center"/>
              <w:rPr>
                <w:spacing w:val="4"/>
              </w:rPr>
            </w:pPr>
            <w:r>
              <w:rPr>
                <w:spacing w:val="4"/>
              </w:rPr>
              <w:t xml:space="preserve">Stefan K.F. Schwabe, M.D., Ph.D.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935" w:type="dxa"/>
            <w:tcBorders/>
            <w:shd w:fill="auto" w:val="clear"/>
            <w:tcMar>
              <w:bottom w:w="0" w:type="dxa"/>
            </w:tcMar>
            <w:vAlign w:val="center"/>
          </w:tcPr>
          <w:p>
            <w:pPr>
              <w:pStyle w:val="TableContents"/>
              <w:spacing w:before="0" w:after="0"/>
              <w:jc w:val="center"/>
              <w:rPr>
                <w:spacing w:val="4"/>
              </w:rPr>
            </w:pPr>
            <w:r>
              <w:rPr>
                <w:spacing w:val="4"/>
              </w:rPr>
              <w:t xml:space="preserve">Jonathan Rubin, MD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330" w:type="dxa"/>
            <w:tcBorders/>
            <w:shd w:fill="auto" w:val="clear"/>
            <w:tcMar>
              <w:bottom w:w="0" w:type="dxa"/>
            </w:tcMar>
            <w:vAlign w:val="center"/>
          </w:tcPr>
          <w:p>
            <w:pPr>
              <w:pStyle w:val="TableContents"/>
              <w:spacing w:before="0" w:after="0"/>
              <w:jc w:val="center"/>
              <w:rPr>
                <w:spacing w:val="4"/>
              </w:rPr>
            </w:pPr>
            <w:r>
              <w:rPr>
                <w:spacing w:val="4"/>
              </w:rPr>
              <w:t xml:space="preserve">Jonathan Rubin, MD </w:t>
            </w:r>
          </w:p>
        </w:tc>
        <w:tc>
          <w:tcPr>
            <w:tcW w:w="156" w:type="dxa"/>
            <w:tcBorders/>
            <w:shd w:fill="auto" w:val="clear"/>
            <w:tcMar>
              <w:bottom w:w="0" w:type="dxa"/>
            </w:tcM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2831" w:type="dxa"/>
            <w:tcBorders/>
            <w:shd w:fill="CCEEFF" w:val="clear"/>
            <w:tcMar>
              <w:bottom w:w="0" w:type="dxa"/>
            </w:tcMar>
            <w:vAlign w:val="center"/>
          </w:tcPr>
          <w:p>
            <w:pPr>
              <w:pStyle w:val="TableContents"/>
              <w:spacing w:before="0" w:after="0"/>
              <w:jc w:val="center"/>
              <w:rPr>
                <w:spacing w:val="4"/>
              </w:rPr>
            </w:pPr>
            <w:r>
              <w:rPr>
                <w:spacing w:val="4"/>
              </w:rPr>
              <w:t xml:space="preserve">Padmanabh P. Bhatt, Ph.D.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935" w:type="dxa"/>
            <w:tcBorders/>
            <w:shd w:fill="CCEEFF" w:val="clear"/>
            <w:tcMar>
              <w:bottom w:w="0" w:type="dxa"/>
            </w:tcMar>
            <w:vAlign w:val="center"/>
          </w:tcPr>
          <w:p>
            <w:pPr>
              <w:pStyle w:val="TableContents"/>
              <w:spacing w:before="0" w:after="0"/>
              <w:jc w:val="center"/>
              <w:rPr>
                <w:spacing w:val="4"/>
              </w:rPr>
            </w:pPr>
            <w:r>
              <w:rPr>
                <w:spacing w:val="4"/>
              </w:rPr>
              <w:t xml:space="preserve">Padmanabh P. Bhatt, Ph.D.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330" w:type="dxa"/>
            <w:tcBorders/>
            <w:shd w:fill="CCEEFF" w:val="clear"/>
            <w:tcMar>
              <w:bottom w:w="0" w:type="dxa"/>
            </w:tcMar>
            <w:vAlign w:val="center"/>
          </w:tcPr>
          <w:p>
            <w:pPr>
              <w:pStyle w:val="TableContents"/>
              <w:spacing w:before="0" w:after="0"/>
              <w:jc w:val="center"/>
              <w:rPr>
                <w:spacing w:val="4"/>
              </w:rPr>
            </w:pPr>
            <w:r>
              <w:rPr>
                <w:spacing w:val="4"/>
              </w:rPr>
              <w:t xml:space="preserve">Padmanabh P. Bhatt, Ph.D. </w:t>
            </w:r>
          </w:p>
        </w:tc>
        <w:tc>
          <w:tcPr>
            <w:tcW w:w="156" w:type="dxa"/>
            <w:tcBorders/>
            <w:shd w:fill="CCEEF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831" w:type="dxa"/>
            <w:tcBorders/>
            <w:shd w:fill="auto" w:val="clear"/>
            <w:tcMar>
              <w:bottom w:w="0" w:type="dxa"/>
            </w:tcMar>
            <w:vAlign w:val="center"/>
          </w:tcPr>
          <w:p>
            <w:pPr>
              <w:pStyle w:val="TableContents"/>
              <w:spacing w:before="0" w:after="0"/>
              <w:jc w:val="center"/>
              <w:rPr>
                <w:spacing w:val="4"/>
              </w:rPr>
            </w:pPr>
            <w:r>
              <w:rPr>
                <w:spacing w:val="4"/>
              </w:rPr>
              <w:t xml:space="preserve">Tami Martin, R.N., Esq.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935" w:type="dxa"/>
            <w:tcBorders/>
            <w:shd w:fill="auto" w:val="clear"/>
            <w:tcMar>
              <w:bottom w:w="0" w:type="dxa"/>
            </w:tcMar>
            <w:vAlign w:val="center"/>
          </w:tcPr>
          <w:p>
            <w:pPr>
              <w:pStyle w:val="TableContents"/>
              <w:spacing w:before="0" w:after="0"/>
              <w:jc w:val="center"/>
              <w:rPr>
                <w:spacing w:val="4"/>
              </w:rPr>
            </w:pPr>
            <w:r>
              <w:rPr>
                <w:spacing w:val="4"/>
              </w:rPr>
              <w:t xml:space="preserve">Tami Martin, R.N., Esq.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330" w:type="dxa"/>
            <w:tcBorders/>
            <w:shd w:fill="auto" w:val="clear"/>
            <w:tcMar>
              <w:bottom w:w="0" w:type="dxa"/>
            </w:tcMar>
            <w:vAlign w:val="center"/>
          </w:tcPr>
          <w:p>
            <w:pPr>
              <w:pStyle w:val="TableContents"/>
              <w:spacing w:before="0" w:after="0"/>
              <w:jc w:val="center"/>
              <w:rPr/>
            </w:pPr>
            <w:r>
              <w:rPr>
                <w:spacing w:val="4"/>
              </w:rPr>
              <w:t>Frank Mottola</w:t>
            </w:r>
            <w:r>
              <w:rPr/>
              <w:t xml:space="preserve"> </w:t>
            </w:r>
          </w:p>
        </w:tc>
        <w:tc>
          <w:tcPr>
            <w:tcW w:w="156" w:type="dxa"/>
            <w:tcBorders/>
            <w:shd w:fill="auto" w:val="clear"/>
            <w:tcMar>
              <w:bottom w:w="0" w:type="dxa"/>
            </w:tcMar>
            <w:vAlign w:val="center"/>
          </w:tcPr>
          <w:p>
            <w:pPr>
              <w:pStyle w:val="TableContents"/>
              <w:spacing w:before="0" w:after="283"/>
              <w:rPr/>
            </w:pPr>
            <w:r>
              <w:rPr/>
              <w:t>​</w:t>
            </w:r>
          </w:p>
        </w:tc>
      </w:tr>
    </w:tbl>
    <w:p>
      <w:pPr>
        <w:pStyle w:val="TextBody"/>
        <w:spacing w:lineRule="atLeast" w:line="250" w:before="18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Compensation Actually Paid reflects the exclusions and inclusions of certain amounts for the PEO and the Non-PEO NEOs as set forth below. Equity values are calculated in accordance with FASB ASC Topic 718. Amounts in the Exclusion of Stock Awards and Option Awards column are the totals from the Stock Awards and Option Awards columns set forth in the Summary Compensation Table. Amounts in the Inclusion of Equity Values column are set forth in the table further below. </w:t>
      </w:r>
    </w:p>
    <w:tbl>
      <w:tblPr>
        <w:tblW w:w="8812" w:type="dxa"/>
        <w:jc w:val="left"/>
        <w:tblInd w:w="1393" w:type="dxa"/>
        <w:tblCellMar>
          <w:top w:w="0" w:type="dxa"/>
          <w:left w:w="0" w:type="dxa"/>
          <w:bottom w:w="43" w:type="dxa"/>
          <w:right w:w="0" w:type="dxa"/>
        </w:tblCellMar>
      </w:tblPr>
      <w:tblGrid>
        <w:gridCol w:w="658"/>
        <w:gridCol w:w="109"/>
        <w:gridCol w:w="109"/>
        <w:gridCol w:w="139"/>
        <w:gridCol w:w="139"/>
        <w:gridCol w:w="1523"/>
        <w:gridCol w:w="139"/>
        <w:gridCol w:w="109"/>
        <w:gridCol w:w="109"/>
        <w:gridCol w:w="133"/>
        <w:gridCol w:w="133"/>
        <w:gridCol w:w="1471"/>
        <w:gridCol w:w="133"/>
        <w:gridCol w:w="109"/>
        <w:gridCol w:w="109"/>
        <w:gridCol w:w="140"/>
        <w:gridCol w:w="140"/>
        <w:gridCol w:w="1379"/>
        <w:gridCol w:w="140"/>
        <w:gridCol w:w="109"/>
        <w:gridCol w:w="109"/>
        <w:gridCol w:w="109"/>
        <w:gridCol w:w="109"/>
        <w:gridCol w:w="1186"/>
        <w:gridCol w:w="109"/>
        <w:gridCol w:w="160"/>
      </w:tblGrid>
      <w:tr>
        <w:trPr/>
        <w:tc>
          <w:tcPr>
            <w:tcW w:w="658" w:type="dxa"/>
            <w:tcBorders>
              <w:bottom w:val="single" w:sz="2" w:space="0" w:color="000000"/>
            </w:tcBorders>
            <w:shd w:fill="auto" w:val="clear"/>
            <w:vAlign w:val="center"/>
          </w:tcPr>
          <w:p>
            <w:pPr>
              <w:pStyle w:val="TableContents"/>
              <w:spacing w:before="0" w:after="0"/>
              <w:jc w:val="left"/>
              <w:rPr>
                <w:spacing w:val="-3"/>
              </w:rPr>
            </w:pPr>
            <w:r>
              <w:rPr>
                <w:spacing w:val="-3"/>
              </w:rPr>
              <w:t xml:space="preserve">Year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940"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Summary </w:t>
              <w:br/>
              <w:t xml:space="preserve">Compensation Table </w:t>
              <w:br/>
              <w:t xml:space="preserve">Total for Jack </w:t>
              <w:br/>
              <w:t xml:space="preserve">Khattar </w:t>
              <w:b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870"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Exclusion of Stock </w:t>
              <w:br/>
              <w:t xml:space="preserve">Awards and Option </w:t>
              <w:br/>
              <w:t xml:space="preserve">Awards for Jack </w:t>
              <w:br/>
              <w:t xml:space="preserve">Khattar </w:t>
              <w:b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799"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Inclusion of Equity </w:t>
              <w:br/>
              <w:t xml:space="preserve">Values for Jack </w:t>
              <w:br/>
              <w:t xml:space="preserve">Khattar </w:t>
              <w:b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Compensation </w:t>
              <w:br/>
              <w:t xml:space="preserve">Actually Paid </w:t>
              <w:br/>
              <w:t xml:space="preserve">to Jack </w:t>
              <w:br/>
              <w:t xml:space="preserve">Khattar </w:t>
              <w:br/>
              <w:t xml:space="preserve">($) </w:t>
            </w:r>
          </w:p>
        </w:tc>
        <w:tc>
          <w:tcPr>
            <w:tcW w:w="160"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658" w:type="dxa"/>
            <w:tcBorders/>
            <w:shd w:fill="CCEEFF" w:val="clear"/>
            <w:tcMar>
              <w:bottom w:w="0" w:type="dxa"/>
            </w:tcMar>
            <w:vAlign w:val="center"/>
          </w:tcPr>
          <w:p>
            <w:pPr>
              <w:pStyle w:val="TableContents"/>
              <w:spacing w:before="0" w:after="0"/>
              <w:jc w:val="left"/>
              <w:rPr>
                <w:spacing w:val="4"/>
              </w:rPr>
            </w:pPr>
            <w:r>
              <w:rPr>
                <w:spacing w:val="4"/>
              </w:rPr>
              <w:t xml:space="preserve">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9" w:type="dxa"/>
            <w:tcBorders/>
            <w:shd w:fill="CCEEFF" w:val="clear"/>
            <w:tcMar>
              <w:bottom w:w="0" w:type="dxa"/>
            </w:tcMar>
            <w:vAlign w:val="center"/>
          </w:tcPr>
          <w:p>
            <w:pPr>
              <w:pStyle w:val="TableContents"/>
              <w:spacing w:before="0" w:after="283"/>
              <w:rPr/>
            </w:pPr>
            <w:r>
              <w:rPr/>
              <w:t>​</w:t>
            </w:r>
          </w:p>
        </w:tc>
        <w:tc>
          <w:tcPr>
            <w:tcW w:w="139" w:type="dxa"/>
            <w:tcBorders/>
            <w:shd w:fill="CCEEFF" w:val="clear"/>
            <w:tcMar>
              <w:bottom w:w="0" w:type="dxa"/>
            </w:tcMar>
            <w:vAlign w:val="center"/>
          </w:tcPr>
          <w:p>
            <w:pPr>
              <w:pStyle w:val="TableContents"/>
              <w:spacing w:before="0" w:after="283"/>
              <w:jc w:val="right"/>
              <w:rPr/>
            </w:pPr>
            <w:r>
              <w:rPr/>
              <w:t>​</w:t>
            </w:r>
          </w:p>
        </w:tc>
        <w:tc>
          <w:tcPr>
            <w:tcW w:w="1523" w:type="dxa"/>
            <w:tcBorders/>
            <w:shd w:fill="CCEEFF" w:val="clear"/>
            <w:tcMar>
              <w:bottom w:w="0" w:type="dxa"/>
            </w:tcMar>
            <w:vAlign w:val="center"/>
          </w:tcPr>
          <w:p>
            <w:pPr>
              <w:pStyle w:val="TableContents"/>
              <w:spacing w:before="0" w:after="283"/>
              <w:jc w:val="right"/>
              <w:rPr/>
            </w:pPr>
            <w:r>
              <w:rPr/>
              <w:t>10,012,717</w:t>
            </w:r>
          </w:p>
        </w:tc>
        <w:tc>
          <w:tcPr>
            <w:tcW w:w="13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3" w:type="dxa"/>
            <w:tcBorders/>
            <w:shd w:fill="CCEEFF" w:val="clear"/>
            <w:tcMar>
              <w:bottom w:w="0" w:type="dxa"/>
            </w:tcMar>
            <w:vAlign w:val="center"/>
          </w:tcPr>
          <w:p>
            <w:pPr>
              <w:pStyle w:val="TableContents"/>
              <w:spacing w:before="0" w:after="283"/>
              <w:rPr/>
            </w:pPr>
            <w:r>
              <w:rPr/>
              <w:t>​</w:t>
            </w:r>
          </w:p>
        </w:tc>
        <w:tc>
          <w:tcPr>
            <w:tcW w:w="133" w:type="dxa"/>
            <w:tcBorders/>
            <w:shd w:fill="CCEEFF" w:val="clear"/>
            <w:tcMar>
              <w:bottom w:w="0" w:type="dxa"/>
            </w:tcMar>
            <w:vAlign w:val="center"/>
          </w:tcPr>
          <w:p>
            <w:pPr>
              <w:pStyle w:val="TableContents"/>
              <w:spacing w:before="0" w:after="283"/>
              <w:jc w:val="right"/>
              <w:rPr/>
            </w:pPr>
            <w:r>
              <w:rPr/>
              <w:t>​</w:t>
            </w:r>
          </w:p>
        </w:tc>
        <w:tc>
          <w:tcPr>
            <w:tcW w:w="1471" w:type="dxa"/>
            <w:tcBorders/>
            <w:shd w:fill="CCEEFF" w:val="clear"/>
            <w:tcMar>
              <w:bottom w:w="0" w:type="dxa"/>
            </w:tcMar>
            <w:vAlign w:val="center"/>
          </w:tcPr>
          <w:p>
            <w:pPr>
              <w:pStyle w:val="TableContents"/>
              <w:spacing w:before="0" w:after="283"/>
              <w:jc w:val="right"/>
              <w:rPr/>
            </w:pPr>
            <w:r>
              <w:rPr/>
              <w:t>(8,383,750)</w:t>
            </w:r>
          </w:p>
        </w:tc>
        <w:tc>
          <w:tcPr>
            <w:tcW w:w="13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0" w:type="dxa"/>
            <w:tcBorders/>
            <w:shd w:fill="CCEEFF" w:val="clear"/>
            <w:tcMar>
              <w:bottom w:w="0" w:type="dxa"/>
            </w:tcMar>
            <w:vAlign w:val="center"/>
          </w:tcPr>
          <w:p>
            <w:pPr>
              <w:pStyle w:val="TableContents"/>
              <w:spacing w:before="0" w:after="283"/>
              <w:rPr/>
            </w:pPr>
            <w:r>
              <w:rPr/>
              <w:t>​</w:t>
            </w:r>
          </w:p>
        </w:tc>
        <w:tc>
          <w:tcPr>
            <w:tcW w:w="140" w:type="dxa"/>
            <w:tcBorders/>
            <w:shd w:fill="CCEEFF" w:val="clear"/>
            <w:tcMar>
              <w:bottom w:w="0" w:type="dxa"/>
            </w:tcMar>
            <w:vAlign w:val="center"/>
          </w:tcPr>
          <w:p>
            <w:pPr>
              <w:pStyle w:val="TableContents"/>
              <w:spacing w:before="0" w:after="283"/>
              <w:jc w:val="right"/>
              <w:rPr/>
            </w:pPr>
            <w:r>
              <w:rPr/>
              <w:t>​</w:t>
            </w:r>
          </w:p>
        </w:tc>
        <w:tc>
          <w:tcPr>
            <w:tcW w:w="1379" w:type="dxa"/>
            <w:tcBorders/>
            <w:shd w:fill="CCEEFF" w:val="clear"/>
            <w:tcMar>
              <w:bottom w:w="0" w:type="dxa"/>
            </w:tcMar>
            <w:vAlign w:val="center"/>
          </w:tcPr>
          <w:p>
            <w:pPr>
              <w:pStyle w:val="TableContents"/>
              <w:spacing w:before="0" w:after="283"/>
              <w:jc w:val="right"/>
              <w:rPr/>
            </w:pPr>
            <w:r>
              <w:rPr/>
              <w:t>9,427,356</w:t>
            </w:r>
          </w:p>
        </w:tc>
        <w:tc>
          <w:tcPr>
            <w:tcW w:w="14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11,056,323</w:t>
            </w:r>
          </w:p>
        </w:tc>
        <w:tc>
          <w:tcPr>
            <w:tcW w:w="109"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658" w:type="dxa"/>
            <w:tcBorders/>
            <w:shd w:fill="auto" w:val="clear"/>
            <w:tcMar>
              <w:bottom w:w="0" w:type="dxa"/>
            </w:tcMar>
            <w:vAlign w:val="center"/>
          </w:tcPr>
          <w:p>
            <w:pPr>
              <w:pStyle w:val="TableContents"/>
              <w:spacing w:before="0" w:after="0"/>
              <w:jc w:val="left"/>
              <w:rPr>
                <w:spacing w:val="4"/>
              </w:rPr>
            </w:pPr>
            <w:r>
              <w:rPr>
                <w:spacing w:val="4"/>
              </w:rPr>
              <w:t xml:space="preserve">2021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9" w:type="dxa"/>
            <w:tcBorders/>
            <w:shd w:fill="auto" w:val="clear"/>
            <w:tcMar>
              <w:bottom w:w="0" w:type="dxa"/>
            </w:tcMar>
            <w:vAlign w:val="center"/>
          </w:tcPr>
          <w:p>
            <w:pPr>
              <w:pStyle w:val="TableContents"/>
              <w:spacing w:before="0" w:after="283"/>
              <w:rPr/>
            </w:pPr>
            <w:r>
              <w:rPr/>
              <w:t>​</w:t>
            </w:r>
          </w:p>
        </w:tc>
        <w:tc>
          <w:tcPr>
            <w:tcW w:w="139" w:type="dxa"/>
            <w:tcBorders/>
            <w:shd w:fill="auto" w:val="clear"/>
            <w:tcMar>
              <w:bottom w:w="0" w:type="dxa"/>
            </w:tcMar>
            <w:vAlign w:val="center"/>
          </w:tcPr>
          <w:p>
            <w:pPr>
              <w:pStyle w:val="TableContents"/>
              <w:spacing w:before="0" w:after="283"/>
              <w:jc w:val="right"/>
              <w:rPr/>
            </w:pPr>
            <w:r>
              <w:rPr/>
              <w:t>​</w:t>
            </w:r>
          </w:p>
        </w:tc>
        <w:tc>
          <w:tcPr>
            <w:tcW w:w="1523" w:type="dxa"/>
            <w:tcBorders/>
            <w:shd w:fill="auto" w:val="clear"/>
            <w:tcMar>
              <w:bottom w:w="0" w:type="dxa"/>
            </w:tcMar>
            <w:vAlign w:val="center"/>
          </w:tcPr>
          <w:p>
            <w:pPr>
              <w:pStyle w:val="TableContents"/>
              <w:spacing w:before="0" w:after="283"/>
              <w:jc w:val="right"/>
              <w:rPr/>
            </w:pPr>
            <w:r>
              <w:rPr/>
              <w:t>8,116,721</w:t>
            </w:r>
          </w:p>
        </w:tc>
        <w:tc>
          <w:tcPr>
            <w:tcW w:w="13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3" w:type="dxa"/>
            <w:tcBorders/>
            <w:shd w:fill="auto" w:val="clear"/>
            <w:tcMar>
              <w:bottom w:w="0" w:type="dxa"/>
            </w:tcMar>
            <w:vAlign w:val="center"/>
          </w:tcPr>
          <w:p>
            <w:pPr>
              <w:pStyle w:val="TableContents"/>
              <w:spacing w:before="0" w:after="283"/>
              <w:rPr/>
            </w:pPr>
            <w:r>
              <w:rPr/>
              <w:t>​</w:t>
            </w:r>
          </w:p>
        </w:tc>
        <w:tc>
          <w:tcPr>
            <w:tcW w:w="133" w:type="dxa"/>
            <w:tcBorders/>
            <w:shd w:fill="auto" w:val="clear"/>
            <w:tcMar>
              <w:bottom w:w="0" w:type="dxa"/>
            </w:tcMar>
            <w:vAlign w:val="center"/>
          </w:tcPr>
          <w:p>
            <w:pPr>
              <w:pStyle w:val="TableContents"/>
              <w:spacing w:before="0" w:after="283"/>
              <w:jc w:val="right"/>
              <w:rPr/>
            </w:pPr>
            <w:r>
              <w:rPr/>
              <w:t>​</w:t>
            </w:r>
          </w:p>
        </w:tc>
        <w:tc>
          <w:tcPr>
            <w:tcW w:w="1471" w:type="dxa"/>
            <w:tcBorders/>
            <w:shd w:fill="auto" w:val="clear"/>
            <w:tcMar>
              <w:bottom w:w="0" w:type="dxa"/>
            </w:tcMar>
            <w:vAlign w:val="center"/>
          </w:tcPr>
          <w:p>
            <w:pPr>
              <w:pStyle w:val="TableContents"/>
              <w:spacing w:before="0" w:after="283"/>
              <w:jc w:val="right"/>
              <w:rPr/>
            </w:pPr>
            <w:r>
              <w:rPr/>
              <w:t>(6,341,179)</w:t>
            </w:r>
          </w:p>
        </w:tc>
        <w:tc>
          <w:tcPr>
            <w:tcW w:w="13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0" w:type="dxa"/>
            <w:tcBorders/>
            <w:shd w:fill="auto" w:val="clear"/>
            <w:tcMar>
              <w:bottom w:w="0" w:type="dxa"/>
            </w:tcMar>
            <w:vAlign w:val="center"/>
          </w:tcPr>
          <w:p>
            <w:pPr>
              <w:pStyle w:val="TableContents"/>
              <w:spacing w:before="0" w:after="283"/>
              <w:rPr/>
            </w:pPr>
            <w:r>
              <w:rPr/>
              <w:t>​</w:t>
            </w:r>
          </w:p>
        </w:tc>
        <w:tc>
          <w:tcPr>
            <w:tcW w:w="140" w:type="dxa"/>
            <w:tcBorders/>
            <w:shd w:fill="auto" w:val="clear"/>
            <w:tcMar>
              <w:bottom w:w="0" w:type="dxa"/>
            </w:tcMar>
            <w:vAlign w:val="center"/>
          </w:tcPr>
          <w:p>
            <w:pPr>
              <w:pStyle w:val="TableContents"/>
              <w:spacing w:before="0" w:after="283"/>
              <w:jc w:val="right"/>
              <w:rPr/>
            </w:pPr>
            <w:r>
              <w:rPr/>
              <w:t>​</w:t>
            </w:r>
          </w:p>
        </w:tc>
        <w:tc>
          <w:tcPr>
            <w:tcW w:w="1379" w:type="dxa"/>
            <w:tcBorders/>
            <w:shd w:fill="auto" w:val="clear"/>
            <w:tcMar>
              <w:bottom w:w="0" w:type="dxa"/>
            </w:tcMar>
            <w:vAlign w:val="center"/>
          </w:tcPr>
          <w:p>
            <w:pPr>
              <w:pStyle w:val="TableContents"/>
              <w:spacing w:before="0" w:after="283"/>
              <w:jc w:val="right"/>
              <w:rPr/>
            </w:pPr>
            <w:r>
              <w:rPr/>
              <w:t>6,139,408</w:t>
            </w:r>
          </w:p>
        </w:tc>
        <w:tc>
          <w:tcPr>
            <w:tcW w:w="14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7,914,950</w:t>
            </w:r>
          </w:p>
        </w:tc>
        <w:tc>
          <w:tcPr>
            <w:tcW w:w="109"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r>
      <w:tr>
        <w:trPr/>
        <w:tc>
          <w:tcPr>
            <w:tcW w:w="658" w:type="dxa"/>
            <w:tcBorders/>
            <w:shd w:fill="CCEEFF" w:val="clear"/>
            <w:tcMar>
              <w:bottom w:w="0" w:type="dxa"/>
            </w:tcMar>
            <w:vAlign w:val="center"/>
          </w:tcPr>
          <w:p>
            <w:pPr>
              <w:pStyle w:val="TableContents"/>
              <w:spacing w:before="0" w:after="0"/>
              <w:jc w:val="left"/>
              <w:rPr>
                <w:spacing w:val="4"/>
              </w:rPr>
            </w:pPr>
            <w:r>
              <w:rPr>
                <w:spacing w:val="4"/>
              </w:rPr>
              <w:t xml:space="preserve">2020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9" w:type="dxa"/>
            <w:tcBorders/>
            <w:shd w:fill="CCEEFF" w:val="clear"/>
            <w:tcMar>
              <w:bottom w:w="0" w:type="dxa"/>
            </w:tcMar>
            <w:vAlign w:val="center"/>
          </w:tcPr>
          <w:p>
            <w:pPr>
              <w:pStyle w:val="TableContents"/>
              <w:spacing w:before="0" w:after="283"/>
              <w:rPr/>
            </w:pPr>
            <w:r>
              <w:rPr/>
              <w:t>​</w:t>
            </w:r>
          </w:p>
        </w:tc>
        <w:tc>
          <w:tcPr>
            <w:tcW w:w="139" w:type="dxa"/>
            <w:tcBorders/>
            <w:shd w:fill="CCEEFF" w:val="clear"/>
            <w:tcMar>
              <w:bottom w:w="0" w:type="dxa"/>
            </w:tcMar>
            <w:vAlign w:val="center"/>
          </w:tcPr>
          <w:p>
            <w:pPr>
              <w:pStyle w:val="TableContents"/>
              <w:spacing w:before="0" w:after="283"/>
              <w:jc w:val="right"/>
              <w:rPr/>
            </w:pPr>
            <w:r>
              <w:rPr/>
              <w:t>​</w:t>
            </w:r>
          </w:p>
        </w:tc>
        <w:tc>
          <w:tcPr>
            <w:tcW w:w="1523" w:type="dxa"/>
            <w:tcBorders/>
            <w:shd w:fill="CCEEFF" w:val="clear"/>
            <w:tcMar>
              <w:bottom w:w="0" w:type="dxa"/>
            </w:tcMar>
            <w:vAlign w:val="center"/>
          </w:tcPr>
          <w:p>
            <w:pPr>
              <w:pStyle w:val="TableContents"/>
              <w:spacing w:before="0" w:after="283"/>
              <w:jc w:val="right"/>
              <w:rPr/>
            </w:pPr>
            <w:r>
              <w:rPr/>
              <w:t>6,669,046</w:t>
            </w:r>
          </w:p>
        </w:tc>
        <w:tc>
          <w:tcPr>
            <w:tcW w:w="13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3" w:type="dxa"/>
            <w:tcBorders/>
            <w:shd w:fill="CCEEFF" w:val="clear"/>
            <w:tcMar>
              <w:bottom w:w="0" w:type="dxa"/>
            </w:tcMar>
            <w:vAlign w:val="center"/>
          </w:tcPr>
          <w:p>
            <w:pPr>
              <w:pStyle w:val="TableContents"/>
              <w:spacing w:before="0" w:after="283"/>
              <w:rPr/>
            </w:pPr>
            <w:r>
              <w:rPr/>
              <w:t>​</w:t>
            </w:r>
          </w:p>
        </w:tc>
        <w:tc>
          <w:tcPr>
            <w:tcW w:w="133" w:type="dxa"/>
            <w:tcBorders/>
            <w:shd w:fill="CCEEFF" w:val="clear"/>
            <w:tcMar>
              <w:bottom w:w="0" w:type="dxa"/>
            </w:tcMar>
            <w:vAlign w:val="center"/>
          </w:tcPr>
          <w:p>
            <w:pPr>
              <w:pStyle w:val="TableContents"/>
              <w:spacing w:before="0" w:after="283"/>
              <w:jc w:val="right"/>
              <w:rPr/>
            </w:pPr>
            <w:r>
              <w:rPr/>
              <w:t>​</w:t>
            </w:r>
          </w:p>
        </w:tc>
        <w:tc>
          <w:tcPr>
            <w:tcW w:w="1471" w:type="dxa"/>
            <w:tcBorders/>
            <w:shd w:fill="CCEEFF" w:val="clear"/>
            <w:tcMar>
              <w:bottom w:w="0" w:type="dxa"/>
            </w:tcMar>
            <w:vAlign w:val="center"/>
          </w:tcPr>
          <w:p>
            <w:pPr>
              <w:pStyle w:val="TableContents"/>
              <w:spacing w:before="0" w:after="283"/>
              <w:jc w:val="right"/>
              <w:rPr/>
            </w:pPr>
            <w:r>
              <w:rPr/>
              <w:t>(4,988,696)</w:t>
            </w:r>
          </w:p>
        </w:tc>
        <w:tc>
          <w:tcPr>
            <w:tcW w:w="13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0" w:type="dxa"/>
            <w:tcBorders/>
            <w:shd w:fill="CCEEFF" w:val="clear"/>
            <w:tcMar>
              <w:bottom w:w="0" w:type="dxa"/>
            </w:tcMar>
            <w:vAlign w:val="center"/>
          </w:tcPr>
          <w:p>
            <w:pPr>
              <w:pStyle w:val="TableContents"/>
              <w:spacing w:before="0" w:after="283"/>
              <w:rPr/>
            </w:pPr>
            <w:r>
              <w:rPr/>
              <w:t>​</w:t>
            </w:r>
          </w:p>
        </w:tc>
        <w:tc>
          <w:tcPr>
            <w:tcW w:w="140" w:type="dxa"/>
            <w:tcBorders/>
            <w:shd w:fill="CCEEFF" w:val="clear"/>
            <w:tcMar>
              <w:bottom w:w="0" w:type="dxa"/>
            </w:tcMar>
            <w:vAlign w:val="center"/>
          </w:tcPr>
          <w:p>
            <w:pPr>
              <w:pStyle w:val="TableContents"/>
              <w:spacing w:before="0" w:after="283"/>
              <w:jc w:val="right"/>
              <w:rPr/>
            </w:pPr>
            <w:r>
              <w:rPr/>
              <w:t>​</w:t>
            </w:r>
          </w:p>
        </w:tc>
        <w:tc>
          <w:tcPr>
            <w:tcW w:w="1379" w:type="dxa"/>
            <w:tcBorders/>
            <w:shd w:fill="CCEEFF" w:val="clear"/>
            <w:tcMar>
              <w:bottom w:w="0" w:type="dxa"/>
            </w:tcMar>
            <w:vAlign w:val="center"/>
          </w:tcPr>
          <w:p>
            <w:pPr>
              <w:pStyle w:val="TableContents"/>
              <w:spacing w:before="0" w:after="283"/>
              <w:jc w:val="right"/>
              <w:rPr/>
            </w:pPr>
            <w:r>
              <w:rPr/>
              <w:t>4,454,616</w:t>
            </w:r>
          </w:p>
        </w:tc>
        <w:tc>
          <w:tcPr>
            <w:tcW w:w="14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6,134,966</w:t>
            </w:r>
          </w:p>
        </w:tc>
        <w:tc>
          <w:tcPr>
            <w:tcW w:w="109"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Mr. Kelly joined the Company as Executive Vice-President and Chief Financial Officer on October 12, 2020 and served in such capacity until August 13, 2021.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14300" distB="0" distL="0" distR="0" simplePos="0" locked="0" layoutInCell="1" allowOverlap="1" relativeHeight="166">
                <wp:simplePos x="0" y="0"/>
                <wp:positionH relativeFrom="column">
                  <wp:align>left</wp:align>
                </wp:positionH>
                <wp:positionV relativeFrom="line">
                  <wp:align>top</wp:align>
                </wp:positionV>
                <wp:extent cx="254000" cy="293370"/>
                <wp:effectExtent l="0" t="0" r="0" b="0"/>
                <wp:wrapSquare wrapText="largest"/>
                <wp:docPr id="159" name="Frame158"/>
                <a:graphic xmlns:a="http://schemas.openxmlformats.org/drawingml/2006/main">
                  <a:graphicData uri="http://schemas.microsoft.com/office/word/2010/wordprocessingShape">
                    <wps:wsp>
                      <wps:cNvSpPr txBox="1"/>
                      <wps:spPr>
                        <a:xfrm>
                          <a:off x="0" y="0"/>
                          <a:ext cx="254000" cy="293370"/>
                        </a:xfrm>
                        <a:prstGeom prst="rect"/>
                      </wps:spPr>
                      <wps:txbx>
                        <w:txbxContent>
                          <w:p>
                            <w:pPr>
                              <w:pStyle w:val="TextBody"/>
                              <w:spacing w:before="0" w:after="283"/>
                              <w:jc w:val="left"/>
                              <w:rPr>
                                <w:b w:val="false"/>
                                <w:sz w:val="20"/>
                              </w:rPr>
                            </w:pPr>
                            <w:r>
                              <w:rPr>
                                <w:b w:val="false"/>
                                <w:spacing w:val="3"/>
                                <w:sz w:val="15"/>
                              </w:rPr>
                              <w:t>1</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spacing w:before="0" w:after="283"/>
                        <w:jc w:val="left"/>
                        <w:rPr>
                          <w:b w:val="false"/>
                          <w:sz w:val="20"/>
                        </w:rPr>
                      </w:pPr>
                      <w:r>
                        <w:rPr>
                          <w:b w:val="false"/>
                          <w:spacing w:val="3"/>
                          <w:sz w:val="15"/>
                        </w:rPr>
                        <w:t>1</w:t>
                      </w:r>
                      <w:r>
                        <w:rPr>
                          <w:b w:val="false"/>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Mr. Patrick, who served as the Company’s Senior Vice President and Chief Financial Officer, retired from the Company effective November 17, 2020, and did not receive a performance bonus for 2020.</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167">
                <wp:simplePos x="0" y="0"/>
                <wp:positionH relativeFrom="column">
                  <wp:align>left</wp:align>
                </wp:positionH>
                <wp:positionV relativeFrom="line">
                  <wp:align>top</wp:align>
                </wp:positionV>
                <wp:extent cx="254000" cy="304800"/>
                <wp:effectExtent l="0" t="0" r="0" b="0"/>
                <wp:wrapSquare wrapText="largest"/>
                <wp:docPr id="160" name="Frame159"/>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b w:val="false"/>
                                <w:sz w:val="20"/>
                              </w:rPr>
                            </w:pPr>
                            <w:r>
                              <w:rPr>
                                <w:b w:val="false"/>
                                <w:spacing w:val="3"/>
                                <w:sz w:val="15"/>
                              </w:rPr>
                              <w:t>2</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b w:val="false"/>
                          <w:sz w:val="20"/>
                        </w:rPr>
                      </w:pPr>
                      <w:r>
                        <w:rPr>
                          <w:b w:val="false"/>
                          <w:spacing w:val="3"/>
                          <w:sz w:val="15"/>
                        </w:rPr>
                        <w:t>2</w:t>
                      </w:r>
                      <w:r>
                        <w:rPr>
                          <w:b w:val="false"/>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z w:val="15"/>
        </w:rPr>
      </w:pPr>
      <w:r>
        <w:rPr>
          <w:rFonts w:ascii="Times New Roman;Times;serif" w:hAnsi="Times New Roman;Times;serif"/>
          <w:b w:val="false"/>
          <w:i w:val="false"/>
          <w:caps w:val="false"/>
          <w:smallCaps w:val="false"/>
          <w:color w:val="000000"/>
          <w:spacing w:val="4"/>
          <w:sz w:val="20"/>
        </w:rPr>
        <w:t>Mr. Dec began serving as our Senior Vice President, Chief Financial Officer as of August 23, 2021.</w:t>
      </w:r>
      <w:r>
        <w:rPr>
          <w:rFonts w:ascii="Times New Roman;Times;serif" w:hAnsi="Times New Roman;Times;serif"/>
          <w:b w:val="false"/>
          <w:i w:val="false"/>
          <w:caps w:val="false"/>
          <w:smallCaps w:val="false"/>
          <w:color w:val="000000"/>
          <w:sz w:val="15"/>
        </w:rPr>
        <w:t xml:space="preserve"> </w:t>
      </w:r>
      <w:r>
        <mc:AlternateContent>
          <mc:Choice Requires="wps">
            <w:drawing>
              <wp:anchor behindDoc="0" distT="50800" distB="0" distL="0" distR="0" simplePos="0" locked="0" layoutInCell="1" allowOverlap="1" relativeHeight="168">
                <wp:simplePos x="0" y="0"/>
                <wp:positionH relativeFrom="column">
                  <wp:align>left</wp:align>
                </wp:positionH>
                <wp:positionV relativeFrom="line">
                  <wp:align>top</wp:align>
                </wp:positionV>
                <wp:extent cx="254000" cy="304800"/>
                <wp:effectExtent l="0" t="0" r="0" b="0"/>
                <wp:wrapSquare wrapText="largest"/>
                <wp:docPr id="161" name="Frame160"/>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b w:val="false"/>
                                <w:sz w:val="15"/>
                              </w:rPr>
                            </w:pPr>
                            <w:r>
                              <w:rPr>
                                <w:b w:val="false"/>
                                <w:spacing w:val="3"/>
                                <w:sz w:val="15"/>
                              </w:rPr>
                              <w:t>3</w:t>
                            </w:r>
                            <w:r>
                              <w:rPr>
                                <w:b w:val="false"/>
                                <w:sz w:val="15"/>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b w:val="false"/>
                          <w:sz w:val="15"/>
                        </w:rPr>
                      </w:pPr>
                      <w:r>
                        <w:rPr>
                          <w:b w:val="false"/>
                          <w:spacing w:val="3"/>
                          <w:sz w:val="15"/>
                        </w:rPr>
                        <w:t>3</w:t>
                      </w:r>
                      <w:r>
                        <w:rPr>
                          <w:b w:val="false"/>
                          <w:sz w:val="15"/>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CellMar>
          <w:top w:w="0" w:type="dxa"/>
          <w:left w:w="0" w:type="dxa"/>
          <w:bottom w:w="43" w:type="dxa"/>
          <w:right w:w="0" w:type="dxa"/>
        </w:tblCellMar>
      </w:tblPr>
      <w:tblGrid>
        <w:gridCol w:w="654"/>
        <w:gridCol w:w="109"/>
        <w:gridCol w:w="109"/>
        <w:gridCol w:w="146"/>
        <w:gridCol w:w="146"/>
        <w:gridCol w:w="1446"/>
        <w:gridCol w:w="149"/>
        <w:gridCol w:w="109"/>
        <w:gridCol w:w="109"/>
        <w:gridCol w:w="155"/>
        <w:gridCol w:w="155"/>
        <w:gridCol w:w="1453"/>
        <w:gridCol w:w="155"/>
        <w:gridCol w:w="109"/>
        <w:gridCol w:w="109"/>
        <w:gridCol w:w="165"/>
        <w:gridCol w:w="165"/>
        <w:gridCol w:w="1347"/>
        <w:gridCol w:w="165"/>
        <w:gridCol w:w="109"/>
        <w:gridCol w:w="109"/>
        <w:gridCol w:w="114"/>
        <w:gridCol w:w="114"/>
        <w:gridCol w:w="1131"/>
        <w:gridCol w:w="116"/>
        <w:gridCol w:w="164"/>
      </w:tblGrid>
      <w:tr>
        <w:trPr/>
        <w:tc>
          <w:tcPr>
            <w:tcW w:w="654" w:type="dxa"/>
            <w:tcBorders>
              <w:bottom w:val="single" w:sz="2" w:space="0" w:color="000000"/>
            </w:tcBorders>
            <w:shd w:fill="auto" w:val="clear"/>
            <w:vAlign w:val="center"/>
          </w:tcPr>
          <w:p>
            <w:pPr>
              <w:pStyle w:val="TableContents"/>
              <w:spacing w:before="0" w:after="0"/>
              <w:jc w:val="left"/>
              <w:rPr>
                <w:spacing w:val="-3"/>
              </w:rPr>
            </w:pPr>
            <w:r>
              <w:rPr>
                <w:spacing w:val="-3"/>
              </w:rPr>
              <w:t xml:space="preserve">Year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887"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Average Summary </w:t>
              <w:br/>
              <w:t xml:space="preserve">Compensation Table </w:t>
              <w:br/>
              <w:t xml:space="preserve">Total for Non-PEO </w:t>
              <w:br/>
              <w:t xml:space="preserve">NEOs </w:t>
              <w:b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918"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Average Exclusion of </w:t>
              <w:br/>
              <w:t xml:space="preserve">Stock Awards and </w:t>
              <w:br/>
              <w:t xml:space="preserve">Option Awards for </w:t>
              <w:br/>
              <w:t xml:space="preserve">Non-PEO NEOs </w:t>
              <w:b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842"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Average Inclusion of </w:t>
              <w:br/>
              <w:t xml:space="preserve">Equity Values for </w:t>
              <w:br/>
              <w:t xml:space="preserve">Non-PEO NEOs </w:t>
              <w:b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75"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Average </w:t>
              <w:br/>
              <w:t xml:space="preserve">Compensation </w:t>
              <w:br/>
              <w:t xml:space="preserve">Actually Paid </w:t>
              <w:br/>
              <w:t xml:space="preserve">to Non-PEO </w:t>
              <w:br/>
              <w:t xml:space="preserve">NEOs </w:t>
              <w:br/>
              <w:t xml:space="preserve">($) </w:t>
            </w:r>
          </w:p>
        </w:tc>
        <w:tc>
          <w:tcPr>
            <w:tcW w:w="16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654" w:type="dxa"/>
            <w:tcBorders/>
            <w:shd w:fill="CCEEFF" w:val="clear"/>
            <w:tcMar>
              <w:bottom w:w="0" w:type="dxa"/>
            </w:tcMar>
            <w:vAlign w:val="center"/>
          </w:tcPr>
          <w:p>
            <w:pPr>
              <w:pStyle w:val="TableContents"/>
              <w:spacing w:before="0" w:after="0"/>
              <w:jc w:val="left"/>
              <w:rPr>
                <w:spacing w:val="4"/>
              </w:rPr>
            </w:pPr>
            <w:r>
              <w:rPr>
                <w:spacing w:val="4"/>
              </w:rPr>
              <w:t xml:space="preserve">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6" w:type="dxa"/>
            <w:tcBorders/>
            <w:shd w:fill="CCEEFF" w:val="clear"/>
            <w:tcMar>
              <w:bottom w:w="0" w:type="dxa"/>
            </w:tcMar>
            <w:vAlign w:val="center"/>
          </w:tcPr>
          <w:p>
            <w:pPr>
              <w:pStyle w:val="TableContents"/>
              <w:spacing w:before="0" w:after="283"/>
              <w:rPr/>
            </w:pPr>
            <w:r>
              <w:rPr/>
              <w:t>​</w:t>
            </w:r>
          </w:p>
        </w:tc>
        <w:tc>
          <w:tcPr>
            <w:tcW w:w="146" w:type="dxa"/>
            <w:tcBorders/>
            <w:shd w:fill="CCEEFF" w:val="clear"/>
            <w:tcMar>
              <w:bottom w:w="0" w:type="dxa"/>
            </w:tcMar>
            <w:vAlign w:val="center"/>
          </w:tcPr>
          <w:p>
            <w:pPr>
              <w:pStyle w:val="TableContents"/>
              <w:spacing w:before="0" w:after="283"/>
              <w:jc w:val="right"/>
              <w:rPr/>
            </w:pPr>
            <w:r>
              <w:rPr/>
              <w:t>​</w:t>
            </w:r>
          </w:p>
        </w:tc>
        <w:tc>
          <w:tcPr>
            <w:tcW w:w="1446" w:type="dxa"/>
            <w:tcBorders/>
            <w:shd w:fill="CCEEFF" w:val="clear"/>
            <w:tcMar>
              <w:bottom w:w="0" w:type="dxa"/>
            </w:tcMar>
            <w:vAlign w:val="center"/>
          </w:tcPr>
          <w:p>
            <w:pPr>
              <w:pStyle w:val="TableContents"/>
              <w:spacing w:before="0" w:after="283"/>
              <w:jc w:val="right"/>
              <w:rPr/>
            </w:pPr>
            <w:r>
              <w:rPr/>
              <w:t>1,167,214</w:t>
            </w:r>
          </w:p>
        </w:tc>
        <w:tc>
          <w:tcPr>
            <w:tcW w:w="14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jc w:val="right"/>
              <w:rPr/>
            </w:pPr>
            <w:r>
              <w:rPr/>
              <w:t>​</w:t>
            </w:r>
          </w:p>
        </w:tc>
        <w:tc>
          <w:tcPr>
            <w:tcW w:w="1453" w:type="dxa"/>
            <w:tcBorders/>
            <w:shd w:fill="CCEEFF" w:val="clear"/>
            <w:tcMar>
              <w:bottom w:w="0" w:type="dxa"/>
            </w:tcMar>
            <w:vAlign w:val="center"/>
          </w:tcPr>
          <w:p>
            <w:pPr>
              <w:pStyle w:val="TableContents"/>
              <w:spacing w:before="0" w:after="283"/>
              <w:jc w:val="right"/>
              <w:rPr/>
            </w:pPr>
            <w:r>
              <w:rPr/>
              <w:t>(585,346)</w:t>
            </w:r>
          </w:p>
        </w:tc>
        <w:tc>
          <w:tcPr>
            <w:tcW w:w="15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5" w:type="dxa"/>
            <w:tcBorders/>
            <w:shd w:fill="CCEEFF" w:val="clear"/>
            <w:tcMar>
              <w:bottom w:w="0" w:type="dxa"/>
            </w:tcMar>
            <w:vAlign w:val="center"/>
          </w:tcPr>
          <w:p>
            <w:pPr>
              <w:pStyle w:val="TableContents"/>
              <w:spacing w:before="0" w:after="283"/>
              <w:rPr/>
            </w:pPr>
            <w:r>
              <w:rPr/>
              <w:t>​</w:t>
            </w:r>
          </w:p>
        </w:tc>
        <w:tc>
          <w:tcPr>
            <w:tcW w:w="165" w:type="dxa"/>
            <w:tcBorders/>
            <w:shd w:fill="CCEEFF" w:val="clear"/>
            <w:tcMar>
              <w:bottom w:w="0" w:type="dxa"/>
            </w:tcMar>
            <w:vAlign w:val="center"/>
          </w:tcPr>
          <w:p>
            <w:pPr>
              <w:pStyle w:val="TableContents"/>
              <w:spacing w:before="0" w:after="283"/>
              <w:jc w:val="right"/>
              <w:rPr/>
            </w:pPr>
            <w:r>
              <w:rPr/>
              <w:t>​</w:t>
            </w:r>
          </w:p>
        </w:tc>
        <w:tc>
          <w:tcPr>
            <w:tcW w:w="1347" w:type="dxa"/>
            <w:tcBorders/>
            <w:shd w:fill="CCEEFF" w:val="clear"/>
            <w:tcMar>
              <w:bottom w:w="0" w:type="dxa"/>
            </w:tcMar>
            <w:vAlign w:val="center"/>
          </w:tcPr>
          <w:p>
            <w:pPr>
              <w:pStyle w:val="TableContents"/>
              <w:spacing w:before="0" w:after="283"/>
              <w:jc w:val="right"/>
              <w:rPr/>
            </w:pPr>
            <w:r>
              <w:rPr/>
              <w:t>851,203</w:t>
            </w:r>
          </w:p>
        </w:tc>
        <w:tc>
          <w:tcPr>
            <w:tcW w:w="16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jc w:val="right"/>
              <w:rPr/>
            </w:pPr>
            <w:r>
              <w:rPr/>
              <w:t>​</w:t>
            </w:r>
          </w:p>
        </w:tc>
        <w:tc>
          <w:tcPr>
            <w:tcW w:w="1131" w:type="dxa"/>
            <w:tcBorders/>
            <w:shd w:fill="CCEEFF" w:val="clear"/>
            <w:tcMar>
              <w:bottom w:w="0" w:type="dxa"/>
            </w:tcMar>
            <w:vAlign w:val="center"/>
          </w:tcPr>
          <w:p>
            <w:pPr>
              <w:pStyle w:val="TableContents"/>
              <w:spacing w:before="0" w:after="283"/>
              <w:jc w:val="right"/>
              <w:rPr/>
            </w:pPr>
            <w:r>
              <w:rPr/>
              <w:t>1,433,071</w:t>
            </w:r>
          </w:p>
        </w:tc>
        <w:tc>
          <w:tcPr>
            <w:tcW w:w="116" w:type="dxa"/>
            <w:tcBorders/>
            <w:shd w:fill="CCEEFF" w:val="clear"/>
            <w:tcMar>
              <w:bottom w:w="0" w:type="dxa"/>
            </w:tcMar>
            <w:vAlign w:val="center"/>
          </w:tcPr>
          <w:p>
            <w:pPr>
              <w:pStyle w:val="TableContents"/>
              <w:spacing w:before="0" w:after="283"/>
              <w:rPr/>
            </w:pPr>
            <w:r>
              <w:rPr/>
              <w:t>​</w:t>
            </w:r>
          </w:p>
        </w:tc>
        <w:tc>
          <w:tcPr>
            <w:tcW w:w="164" w:type="dxa"/>
            <w:tcBorders/>
            <w:shd w:fill="CCEEFF" w:val="clear"/>
            <w:tcMar>
              <w:bottom w:w="0" w:type="dxa"/>
            </w:tcMar>
            <w:vAlign w:val="center"/>
          </w:tcPr>
          <w:p>
            <w:pPr>
              <w:pStyle w:val="TableContents"/>
              <w:spacing w:before="0" w:after="283"/>
              <w:rPr/>
            </w:pPr>
            <w:r>
              <w:rPr/>
              <w:t>​</w:t>
            </w:r>
          </w:p>
        </w:tc>
      </w:tr>
      <w:tr>
        <w:trPr/>
        <w:tc>
          <w:tcPr>
            <w:tcW w:w="654" w:type="dxa"/>
            <w:tcBorders/>
            <w:shd w:fill="auto" w:val="clear"/>
            <w:tcMar>
              <w:bottom w:w="0" w:type="dxa"/>
            </w:tcMar>
            <w:vAlign w:val="center"/>
          </w:tcPr>
          <w:p>
            <w:pPr>
              <w:pStyle w:val="TableContents"/>
              <w:spacing w:before="0" w:after="0"/>
              <w:jc w:val="left"/>
              <w:rPr>
                <w:spacing w:val="4"/>
              </w:rPr>
            </w:pPr>
            <w:r>
              <w:rPr>
                <w:spacing w:val="4"/>
              </w:rPr>
              <w:t xml:space="preserve">2021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6" w:type="dxa"/>
            <w:tcBorders/>
            <w:shd w:fill="auto" w:val="clear"/>
            <w:tcMar>
              <w:bottom w:w="0" w:type="dxa"/>
            </w:tcMar>
            <w:vAlign w:val="center"/>
          </w:tcPr>
          <w:p>
            <w:pPr>
              <w:pStyle w:val="TableContents"/>
              <w:spacing w:before="0" w:after="283"/>
              <w:rPr/>
            </w:pPr>
            <w:r>
              <w:rPr/>
              <w:t>​</w:t>
            </w:r>
          </w:p>
        </w:tc>
        <w:tc>
          <w:tcPr>
            <w:tcW w:w="146" w:type="dxa"/>
            <w:tcBorders/>
            <w:shd w:fill="auto" w:val="clear"/>
            <w:tcMar>
              <w:bottom w:w="0" w:type="dxa"/>
            </w:tcMar>
            <w:vAlign w:val="center"/>
          </w:tcPr>
          <w:p>
            <w:pPr>
              <w:pStyle w:val="TableContents"/>
              <w:spacing w:before="0" w:after="283"/>
              <w:jc w:val="right"/>
              <w:rPr/>
            </w:pPr>
            <w:r>
              <w:rPr/>
              <w:t>​</w:t>
            </w:r>
          </w:p>
        </w:tc>
        <w:tc>
          <w:tcPr>
            <w:tcW w:w="1446" w:type="dxa"/>
            <w:tcBorders/>
            <w:shd w:fill="auto" w:val="clear"/>
            <w:tcMar>
              <w:bottom w:w="0" w:type="dxa"/>
            </w:tcMar>
            <w:vAlign w:val="center"/>
          </w:tcPr>
          <w:p>
            <w:pPr>
              <w:pStyle w:val="TableContents"/>
              <w:spacing w:before="0" w:after="283"/>
              <w:jc w:val="right"/>
              <w:rPr/>
            </w:pPr>
            <w:r>
              <w:rPr/>
              <w:t>979,005</w:t>
            </w:r>
          </w:p>
        </w:tc>
        <w:tc>
          <w:tcPr>
            <w:tcW w:w="14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jc w:val="right"/>
              <w:rPr/>
            </w:pPr>
            <w:r>
              <w:rPr/>
              <w:t>​</w:t>
            </w:r>
          </w:p>
        </w:tc>
        <w:tc>
          <w:tcPr>
            <w:tcW w:w="1453" w:type="dxa"/>
            <w:tcBorders/>
            <w:shd w:fill="auto" w:val="clear"/>
            <w:tcMar>
              <w:bottom w:w="0" w:type="dxa"/>
            </w:tcMar>
            <w:vAlign w:val="center"/>
          </w:tcPr>
          <w:p>
            <w:pPr>
              <w:pStyle w:val="TableContents"/>
              <w:spacing w:before="0" w:after="283"/>
              <w:jc w:val="right"/>
              <w:rPr/>
            </w:pPr>
            <w:r>
              <w:rPr/>
              <w:t>(475,728)</w:t>
            </w:r>
          </w:p>
        </w:tc>
        <w:tc>
          <w:tcPr>
            <w:tcW w:w="15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5" w:type="dxa"/>
            <w:tcBorders/>
            <w:shd w:fill="auto" w:val="clear"/>
            <w:tcMar>
              <w:bottom w:w="0" w:type="dxa"/>
            </w:tcMar>
            <w:vAlign w:val="center"/>
          </w:tcPr>
          <w:p>
            <w:pPr>
              <w:pStyle w:val="TableContents"/>
              <w:spacing w:before="0" w:after="283"/>
              <w:rPr/>
            </w:pPr>
            <w:r>
              <w:rPr/>
              <w:t>​</w:t>
            </w:r>
          </w:p>
        </w:tc>
        <w:tc>
          <w:tcPr>
            <w:tcW w:w="165" w:type="dxa"/>
            <w:tcBorders/>
            <w:shd w:fill="auto" w:val="clear"/>
            <w:tcMar>
              <w:bottom w:w="0" w:type="dxa"/>
            </w:tcMar>
            <w:vAlign w:val="center"/>
          </w:tcPr>
          <w:p>
            <w:pPr>
              <w:pStyle w:val="TableContents"/>
              <w:spacing w:before="0" w:after="283"/>
              <w:jc w:val="right"/>
              <w:rPr/>
            </w:pPr>
            <w:r>
              <w:rPr/>
              <w:t>​</w:t>
            </w:r>
          </w:p>
        </w:tc>
        <w:tc>
          <w:tcPr>
            <w:tcW w:w="1347" w:type="dxa"/>
            <w:tcBorders/>
            <w:shd w:fill="auto" w:val="clear"/>
            <w:tcMar>
              <w:bottom w:w="0" w:type="dxa"/>
            </w:tcMar>
            <w:vAlign w:val="center"/>
          </w:tcPr>
          <w:p>
            <w:pPr>
              <w:pStyle w:val="TableContents"/>
              <w:spacing w:before="0" w:after="283"/>
              <w:jc w:val="right"/>
              <w:rPr/>
            </w:pPr>
            <w:r>
              <w:rPr/>
              <w:t>98,191</w:t>
            </w:r>
          </w:p>
        </w:tc>
        <w:tc>
          <w:tcPr>
            <w:tcW w:w="16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jc w:val="right"/>
              <w:rPr/>
            </w:pPr>
            <w:r>
              <w:rPr/>
              <w:t>​</w:t>
            </w:r>
          </w:p>
        </w:tc>
        <w:tc>
          <w:tcPr>
            <w:tcW w:w="1131" w:type="dxa"/>
            <w:tcBorders/>
            <w:shd w:fill="auto" w:val="clear"/>
            <w:tcMar>
              <w:bottom w:w="0" w:type="dxa"/>
            </w:tcMar>
            <w:vAlign w:val="center"/>
          </w:tcPr>
          <w:p>
            <w:pPr>
              <w:pStyle w:val="TableContents"/>
              <w:spacing w:before="0" w:after="283"/>
              <w:jc w:val="right"/>
              <w:rPr/>
            </w:pPr>
            <w:r>
              <w:rPr/>
              <w:t>601,468</w:t>
            </w:r>
          </w:p>
        </w:tc>
        <w:tc>
          <w:tcPr>
            <w:tcW w:w="116" w:type="dxa"/>
            <w:tcBorders/>
            <w:shd w:fill="auto" w:val="clear"/>
            <w:tcMar>
              <w:bottom w:w="0" w:type="dxa"/>
            </w:tcMar>
            <w:vAlign w:val="center"/>
          </w:tcPr>
          <w:p>
            <w:pPr>
              <w:pStyle w:val="TableContents"/>
              <w:spacing w:before="0" w:after="283"/>
              <w:rPr/>
            </w:pPr>
            <w:r>
              <w:rPr/>
              <w:t>​</w:t>
            </w:r>
          </w:p>
        </w:tc>
        <w:tc>
          <w:tcPr>
            <w:tcW w:w="164" w:type="dxa"/>
            <w:tcBorders/>
            <w:shd w:fill="auto" w:val="clear"/>
            <w:tcMar>
              <w:bottom w:w="0" w:type="dxa"/>
            </w:tcMar>
            <w:vAlign w:val="center"/>
          </w:tcPr>
          <w:p>
            <w:pPr>
              <w:pStyle w:val="TableContents"/>
              <w:spacing w:before="0" w:after="283"/>
              <w:rPr/>
            </w:pPr>
            <w:r>
              <w:rPr/>
              <w:t>​</w:t>
            </w:r>
          </w:p>
        </w:tc>
      </w:tr>
      <w:tr>
        <w:trPr/>
        <w:tc>
          <w:tcPr>
            <w:tcW w:w="654" w:type="dxa"/>
            <w:tcBorders/>
            <w:shd w:fill="CCEEFF" w:val="clear"/>
            <w:tcMar>
              <w:bottom w:w="0" w:type="dxa"/>
            </w:tcMar>
            <w:vAlign w:val="center"/>
          </w:tcPr>
          <w:p>
            <w:pPr>
              <w:pStyle w:val="TableContents"/>
              <w:spacing w:before="0" w:after="0"/>
              <w:jc w:val="left"/>
              <w:rPr>
                <w:spacing w:val="4"/>
              </w:rPr>
            </w:pPr>
            <w:r>
              <w:rPr>
                <w:spacing w:val="4"/>
              </w:rPr>
              <w:t xml:space="preserve">2020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6" w:type="dxa"/>
            <w:tcBorders/>
            <w:shd w:fill="CCEEFF" w:val="clear"/>
            <w:tcMar>
              <w:bottom w:w="0" w:type="dxa"/>
            </w:tcMar>
            <w:vAlign w:val="center"/>
          </w:tcPr>
          <w:p>
            <w:pPr>
              <w:pStyle w:val="TableContents"/>
              <w:spacing w:before="0" w:after="283"/>
              <w:rPr/>
            </w:pPr>
            <w:r>
              <w:rPr/>
              <w:t>​</w:t>
            </w:r>
          </w:p>
        </w:tc>
        <w:tc>
          <w:tcPr>
            <w:tcW w:w="146" w:type="dxa"/>
            <w:tcBorders/>
            <w:shd w:fill="CCEEFF" w:val="clear"/>
            <w:tcMar>
              <w:bottom w:w="0" w:type="dxa"/>
            </w:tcMar>
            <w:vAlign w:val="center"/>
          </w:tcPr>
          <w:p>
            <w:pPr>
              <w:pStyle w:val="TableContents"/>
              <w:spacing w:before="0" w:after="283"/>
              <w:jc w:val="right"/>
              <w:rPr/>
            </w:pPr>
            <w:r>
              <w:rPr/>
              <w:t>​</w:t>
            </w:r>
          </w:p>
        </w:tc>
        <w:tc>
          <w:tcPr>
            <w:tcW w:w="1446" w:type="dxa"/>
            <w:tcBorders/>
            <w:shd w:fill="CCEEFF" w:val="clear"/>
            <w:tcMar>
              <w:bottom w:w="0" w:type="dxa"/>
            </w:tcMar>
            <w:vAlign w:val="center"/>
          </w:tcPr>
          <w:p>
            <w:pPr>
              <w:pStyle w:val="TableContents"/>
              <w:spacing w:before="0" w:after="283"/>
              <w:jc w:val="right"/>
              <w:rPr/>
            </w:pPr>
            <w:r>
              <w:rPr/>
              <w:t>1,204,624</w:t>
            </w:r>
          </w:p>
        </w:tc>
        <w:tc>
          <w:tcPr>
            <w:tcW w:w="14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jc w:val="right"/>
              <w:rPr/>
            </w:pPr>
            <w:r>
              <w:rPr/>
              <w:t>​</w:t>
            </w:r>
          </w:p>
        </w:tc>
        <w:tc>
          <w:tcPr>
            <w:tcW w:w="1453" w:type="dxa"/>
            <w:tcBorders/>
            <w:shd w:fill="CCEEFF" w:val="clear"/>
            <w:tcMar>
              <w:bottom w:w="0" w:type="dxa"/>
            </w:tcMar>
            <w:vAlign w:val="center"/>
          </w:tcPr>
          <w:p>
            <w:pPr>
              <w:pStyle w:val="TableContents"/>
              <w:spacing w:before="0" w:after="283"/>
              <w:jc w:val="right"/>
              <w:rPr/>
            </w:pPr>
            <w:r>
              <w:rPr/>
              <w:t>(769,998)</w:t>
            </w:r>
          </w:p>
        </w:tc>
        <w:tc>
          <w:tcPr>
            <w:tcW w:w="15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5" w:type="dxa"/>
            <w:tcBorders/>
            <w:shd w:fill="CCEEFF" w:val="clear"/>
            <w:tcMar>
              <w:bottom w:w="0" w:type="dxa"/>
            </w:tcMar>
            <w:vAlign w:val="center"/>
          </w:tcPr>
          <w:p>
            <w:pPr>
              <w:pStyle w:val="TableContents"/>
              <w:spacing w:before="0" w:after="283"/>
              <w:rPr/>
            </w:pPr>
            <w:r>
              <w:rPr/>
              <w:t>​</w:t>
            </w:r>
          </w:p>
        </w:tc>
        <w:tc>
          <w:tcPr>
            <w:tcW w:w="165" w:type="dxa"/>
            <w:tcBorders/>
            <w:shd w:fill="CCEEFF" w:val="clear"/>
            <w:tcMar>
              <w:bottom w:w="0" w:type="dxa"/>
            </w:tcMar>
            <w:vAlign w:val="center"/>
          </w:tcPr>
          <w:p>
            <w:pPr>
              <w:pStyle w:val="TableContents"/>
              <w:spacing w:before="0" w:after="283"/>
              <w:jc w:val="right"/>
              <w:rPr/>
            </w:pPr>
            <w:r>
              <w:rPr/>
              <w:t>​</w:t>
            </w:r>
          </w:p>
        </w:tc>
        <w:tc>
          <w:tcPr>
            <w:tcW w:w="1347" w:type="dxa"/>
            <w:tcBorders/>
            <w:shd w:fill="CCEEFF" w:val="clear"/>
            <w:tcMar>
              <w:bottom w:w="0" w:type="dxa"/>
            </w:tcMar>
            <w:vAlign w:val="center"/>
          </w:tcPr>
          <w:p>
            <w:pPr>
              <w:pStyle w:val="TableContents"/>
              <w:spacing w:before="0" w:after="283"/>
              <w:jc w:val="right"/>
              <w:rPr/>
            </w:pPr>
            <w:r>
              <w:rPr/>
              <w:t>504,976</w:t>
            </w:r>
          </w:p>
        </w:tc>
        <w:tc>
          <w:tcPr>
            <w:tcW w:w="16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jc w:val="right"/>
              <w:rPr/>
            </w:pPr>
            <w:r>
              <w:rPr/>
              <w:t>​</w:t>
            </w:r>
          </w:p>
        </w:tc>
        <w:tc>
          <w:tcPr>
            <w:tcW w:w="1131" w:type="dxa"/>
            <w:tcBorders/>
            <w:shd w:fill="CCEEFF" w:val="clear"/>
            <w:tcMar>
              <w:bottom w:w="0" w:type="dxa"/>
            </w:tcMar>
            <w:vAlign w:val="center"/>
          </w:tcPr>
          <w:p>
            <w:pPr>
              <w:pStyle w:val="TableContents"/>
              <w:spacing w:before="0" w:after="283"/>
              <w:jc w:val="right"/>
              <w:rPr/>
            </w:pPr>
            <w:r>
              <w:rPr/>
              <w:t>939,602</w:t>
            </w:r>
          </w:p>
        </w:tc>
        <w:tc>
          <w:tcPr>
            <w:tcW w:w="116" w:type="dxa"/>
            <w:tcBorders/>
            <w:shd w:fill="CCEEFF" w:val="clear"/>
            <w:tcMar>
              <w:bottom w:w="0" w:type="dxa"/>
            </w:tcMar>
            <w:vAlign w:val="center"/>
          </w:tcPr>
          <w:p>
            <w:pPr>
              <w:pStyle w:val="TableContents"/>
              <w:spacing w:before="0" w:after="283"/>
              <w:rPr/>
            </w:pPr>
            <w:r>
              <w:rPr/>
              <w:t>​</w:t>
            </w:r>
          </w:p>
        </w:tc>
        <w:tc>
          <w:tcPr>
            <w:tcW w:w="164" w:type="dxa"/>
            <w:tcBorders/>
            <w:shd w:fill="CCEEFF" w:val="clear"/>
            <w:tcMar>
              <w:bottom w:w="0" w:type="dxa"/>
            </w:tcMar>
            <w:vAlign w:val="center"/>
          </w:tcPr>
          <w:p>
            <w:pPr>
              <w:pStyle w:val="TableContents"/>
              <w:spacing w:before="0" w:after="283"/>
              <w:rPr/>
            </w:pPr>
            <w:r>
              <w:rPr/>
              <w:t>​</w:t>
            </w:r>
          </w:p>
        </w:tc>
      </w:tr>
    </w:tbl>
    <w:p>
      <w:pPr>
        <w:pStyle w:val="TextBody"/>
        <w:spacing w:lineRule="atLeast" w:line="22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the Inclusion of Equity Values in the tables above are derived from the amounts set forth in the following tables: </w:t>
      </w:r>
    </w:p>
    <w:tbl>
      <w:tblPr>
        <w:tblW w:w="9797" w:type="dxa"/>
        <w:jc w:val="left"/>
        <w:tblInd w:w="1393" w:type="dxa"/>
        <w:tblCellMar>
          <w:top w:w="0" w:type="dxa"/>
          <w:left w:w="0" w:type="dxa"/>
          <w:bottom w:w="43" w:type="dxa"/>
          <w:right w:w="0" w:type="dxa"/>
        </w:tblCellMar>
      </w:tblPr>
      <w:tblGrid>
        <w:gridCol w:w="613"/>
        <w:gridCol w:w="109"/>
        <w:gridCol w:w="109"/>
        <w:gridCol w:w="109"/>
        <w:gridCol w:w="109"/>
        <w:gridCol w:w="1066"/>
        <w:gridCol w:w="109"/>
        <w:gridCol w:w="109"/>
        <w:gridCol w:w="109"/>
        <w:gridCol w:w="109"/>
        <w:gridCol w:w="109"/>
        <w:gridCol w:w="1066"/>
        <w:gridCol w:w="109"/>
        <w:gridCol w:w="109"/>
        <w:gridCol w:w="109"/>
        <w:gridCol w:w="109"/>
        <w:gridCol w:w="109"/>
        <w:gridCol w:w="1066"/>
        <w:gridCol w:w="109"/>
        <w:gridCol w:w="109"/>
        <w:gridCol w:w="109"/>
        <w:gridCol w:w="109"/>
        <w:gridCol w:w="109"/>
        <w:gridCol w:w="886"/>
        <w:gridCol w:w="109"/>
        <w:gridCol w:w="109"/>
        <w:gridCol w:w="109"/>
        <w:gridCol w:w="151"/>
        <w:gridCol w:w="151"/>
        <w:gridCol w:w="481"/>
        <w:gridCol w:w="154"/>
        <w:gridCol w:w="109"/>
        <w:gridCol w:w="109"/>
        <w:gridCol w:w="109"/>
        <w:gridCol w:w="109"/>
        <w:gridCol w:w="1066"/>
        <w:gridCol w:w="109"/>
        <w:gridCol w:w="154"/>
      </w:tblGrid>
      <w:tr>
        <w:trPr/>
        <w:tc>
          <w:tcPr>
            <w:tcW w:w="613" w:type="dxa"/>
            <w:tcBorders>
              <w:bottom w:val="single" w:sz="2" w:space="0" w:color="000000"/>
            </w:tcBorders>
            <w:shd w:fill="auto" w:val="clear"/>
            <w:vAlign w:val="center"/>
          </w:tcPr>
          <w:p>
            <w:pPr>
              <w:pStyle w:val="TableContents"/>
              <w:spacing w:before="0" w:after="0"/>
              <w:jc w:val="left"/>
              <w:rPr>
                <w:spacing w:val="-3"/>
              </w:rPr>
            </w:pPr>
            <w:r>
              <w:rPr>
                <w:spacing w:val="-3"/>
              </w:rPr>
              <w:t xml:space="preserve">Year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9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Year-End </w:t>
              <w:br/>
              <w:t xml:space="preserve">Fair Value of </w:t>
              <w:br/>
              <w:t xml:space="preserve">Equity </w:t>
              <w:br/>
              <w:t xml:space="preserve">Awards </w:t>
              <w:br/>
              <w:t xml:space="preserve">Granted </w:t>
              <w:br/>
              <w:t xml:space="preserve">During Year </w:t>
              <w:br/>
              <w:t xml:space="preserve">That </w:t>
              <w:br/>
              <w:t xml:space="preserve">Remained </w:t>
              <w:br/>
              <w:t xml:space="preserve">Unvested as </w:t>
              <w:br/>
              <w:t xml:space="preserve">of Last Day of </w:t>
              <w:br/>
              <w:t xml:space="preserve">Year for Jack </w:t>
              <w:br/>
              <w:t xml:space="preserve">Khattar </w:t>
              <w:b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9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Change in </w:t>
              <w:br/>
              <w:t xml:space="preserve">Fair Value </w:t>
              <w:br/>
              <w:t xml:space="preserve">from Last Day </w:t>
              <w:br/>
              <w:t xml:space="preserve">of Prior Year </w:t>
              <w:br/>
              <w:t xml:space="preserve">to Last Day of </w:t>
              <w:br/>
              <w:t xml:space="preserve">Year of </w:t>
              <w:br/>
              <w:t xml:space="preserve">Unvested </w:t>
              <w:br/>
              <w:t xml:space="preserve">Equity </w:t>
              <w:br/>
              <w:t xml:space="preserve">Awards for </w:t>
              <w:br/>
              <w:t xml:space="preserve">Jack Khattar </w:t>
              <w:b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9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Vesting-Date </w:t>
              <w:br/>
              <w:t xml:space="preserve">Fair Value of </w:t>
              <w:br/>
              <w:t xml:space="preserve">Equity </w:t>
              <w:br/>
              <w:t xml:space="preserve">Awards </w:t>
              <w:br/>
              <w:t xml:space="preserve">Granted </w:t>
              <w:br/>
              <w:t xml:space="preserve">During Year </w:t>
              <w:br/>
              <w:t xml:space="preserve">that Vested </w:t>
              <w:br/>
              <w:t xml:space="preserve">During Year </w:t>
              <w:br/>
              <w:t xml:space="preserve">for Jack </w:t>
              <w:br/>
              <w:t xml:space="preserve">Khattar </w:t>
              <w:b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1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Change in </w:t>
              <w:br/>
              <w:t xml:space="preserve">Fair Value </w:t>
              <w:br/>
              <w:t xml:space="preserve">from Last Day </w:t>
              <w:br/>
              <w:t xml:space="preserve">of Prior Year </w:t>
              <w:br/>
              <w:t xml:space="preserve">to Vesting </w:t>
              <w:br/>
              <w:t xml:space="preserve">Date of </w:t>
              <w:br/>
              <w:t xml:space="preserve">Unvested </w:t>
              <w:br/>
              <w:t xml:space="preserve">Equity </w:t>
              <w:br/>
              <w:t xml:space="preserve">Awards that </w:t>
              <w:br/>
              <w:t xml:space="preserve">Vested During </w:t>
              <w:br/>
              <w:t xml:space="preserve">Year for Jack </w:t>
              <w:br/>
              <w:t xml:space="preserve">Khattar </w:t>
              <w:b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937"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Fair Value at </w:t>
              <w:br/>
              <w:t xml:space="preserve">Last Day of </w:t>
              <w:br/>
              <w:t xml:space="preserve">Prior Year of </w:t>
              <w:br/>
              <w:t xml:space="preserve">Equity </w:t>
              <w:br/>
              <w:t xml:space="preserve">Awards </w:t>
              <w:br/>
              <w:t xml:space="preserve">Forfeited </w:t>
              <w:br/>
              <w:t xml:space="preserve">During Year </w:t>
              <w:br/>
              <w:t xml:space="preserve">for Jack </w:t>
              <w:br/>
              <w:t xml:space="preserve">Khattar </w:t>
              <w:b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9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Total – </w:t>
              <w:br/>
              <w:t xml:space="preserve">Inclusion </w:t>
              <w:br/>
              <w:t xml:space="preserve">of </w:t>
              <w:br/>
              <w:t xml:space="preserve">Equity </w:t>
              <w:br/>
              <w:t xml:space="preserve">Values </w:t>
              <w:br/>
              <w:t xml:space="preserve">for Jack </w:t>
              <w:br/>
              <w:t xml:space="preserve">Khattar </w:t>
              <w:br/>
              <w:t xml:space="preserve">($)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613" w:type="dxa"/>
            <w:tcBorders/>
            <w:shd w:fill="CCEEFF" w:val="clear"/>
            <w:tcMar>
              <w:bottom w:w="0" w:type="dxa"/>
            </w:tcMar>
            <w:vAlign w:val="center"/>
          </w:tcPr>
          <w:p>
            <w:pPr>
              <w:pStyle w:val="TableContents"/>
              <w:spacing w:before="0" w:after="0"/>
              <w:jc w:val="left"/>
              <w:rPr>
                <w:spacing w:val="4"/>
              </w:rPr>
            </w:pPr>
            <w:r>
              <w:rPr>
                <w:spacing w:val="4"/>
              </w:rPr>
              <w:t xml:space="preserve">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7,084,584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1,792,665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550,107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1" w:type="dxa"/>
            <w:tcBorders/>
            <w:shd w:fill="CCEEFF" w:val="clear"/>
            <w:tcMar>
              <w:bottom w:w="0" w:type="dxa"/>
            </w:tcMar>
            <w:vAlign w:val="center"/>
          </w:tcPr>
          <w:p>
            <w:pPr>
              <w:pStyle w:val="TableContents"/>
              <w:spacing w:before="0" w:after="283"/>
              <w:rPr/>
            </w:pPr>
            <w:r>
              <w:rPr/>
              <w:t>​</w:t>
            </w:r>
          </w:p>
        </w:tc>
        <w:tc>
          <w:tcPr>
            <w:tcW w:w="151" w:type="dxa"/>
            <w:tcBorders/>
            <w:shd w:fill="CCEEFF" w:val="clear"/>
            <w:tcMar>
              <w:bottom w:w="0" w:type="dxa"/>
            </w:tcMar>
            <w:vAlign w:val="center"/>
          </w:tcPr>
          <w:p>
            <w:pPr>
              <w:pStyle w:val="TableContents"/>
              <w:spacing w:before="0" w:after="283"/>
              <w:jc w:val="right"/>
              <w:rPr/>
            </w:pPr>
            <w:r>
              <w:rPr/>
              <w:t>​</w:t>
            </w:r>
          </w:p>
        </w:tc>
        <w:tc>
          <w:tcPr>
            <w:tcW w:w="481" w:type="dxa"/>
            <w:tcBorders/>
            <w:shd w:fill="CCEEFF" w:val="clear"/>
            <w:tcMar>
              <w:bottom w:w="0" w:type="dxa"/>
            </w:tcMar>
            <w:vAlign w:val="center"/>
          </w:tcPr>
          <w:p>
            <w:pPr>
              <w:pStyle w:val="TableContents"/>
              <w:spacing w:before="0" w:after="283"/>
              <w:jc w:val="right"/>
              <w:rPr/>
            </w:pPr>
            <w:r>
              <w:rPr/>
              <w:t>—</w:t>
            </w:r>
          </w:p>
        </w:tc>
        <w:tc>
          <w:tcPr>
            <w:tcW w:w="15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9,427,356</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13" w:type="dxa"/>
            <w:tcBorders/>
            <w:shd w:fill="auto" w:val="clear"/>
            <w:tcMar>
              <w:bottom w:w="0" w:type="dxa"/>
            </w:tcMar>
            <w:vAlign w:val="center"/>
          </w:tcPr>
          <w:p>
            <w:pPr>
              <w:pStyle w:val="TableContents"/>
              <w:spacing w:before="0" w:after="0"/>
              <w:jc w:val="left"/>
              <w:rPr>
                <w:spacing w:val="4"/>
              </w:rPr>
            </w:pPr>
            <w:r>
              <w:rPr>
                <w:spacing w:val="4"/>
              </w:rPr>
              <w:t xml:space="preserve">2021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3,805,003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597,223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1,053,200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683,982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1" w:type="dxa"/>
            <w:tcBorders/>
            <w:shd w:fill="auto" w:val="clear"/>
            <w:tcMar>
              <w:bottom w:w="0" w:type="dxa"/>
            </w:tcMar>
            <w:vAlign w:val="center"/>
          </w:tcPr>
          <w:p>
            <w:pPr>
              <w:pStyle w:val="TableContents"/>
              <w:spacing w:before="0" w:after="283"/>
              <w:rPr/>
            </w:pPr>
            <w:r>
              <w:rPr/>
              <w:t>​</w:t>
            </w:r>
          </w:p>
        </w:tc>
        <w:tc>
          <w:tcPr>
            <w:tcW w:w="151" w:type="dxa"/>
            <w:tcBorders/>
            <w:shd w:fill="auto" w:val="clear"/>
            <w:tcMar>
              <w:bottom w:w="0" w:type="dxa"/>
            </w:tcMar>
            <w:vAlign w:val="center"/>
          </w:tcPr>
          <w:p>
            <w:pPr>
              <w:pStyle w:val="TableContents"/>
              <w:spacing w:before="0" w:after="283"/>
              <w:jc w:val="right"/>
              <w:rPr/>
            </w:pPr>
            <w:r>
              <w:rPr/>
              <w:t>​</w:t>
            </w:r>
          </w:p>
        </w:tc>
        <w:tc>
          <w:tcPr>
            <w:tcW w:w="481" w:type="dxa"/>
            <w:tcBorders/>
            <w:shd w:fill="auto" w:val="clear"/>
            <w:tcMar>
              <w:bottom w:w="0" w:type="dxa"/>
            </w:tcMar>
            <w:vAlign w:val="center"/>
          </w:tcPr>
          <w:p>
            <w:pPr>
              <w:pStyle w:val="TableContents"/>
              <w:spacing w:before="0" w:after="283"/>
              <w:jc w:val="right"/>
              <w:rPr/>
            </w:pPr>
            <w:r>
              <w:rPr/>
              <w:t>—</w:t>
            </w:r>
          </w:p>
        </w:tc>
        <w:tc>
          <w:tcPr>
            <w:tcW w:w="15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6,139,408</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13" w:type="dxa"/>
            <w:tcBorders/>
            <w:shd w:fill="CCEEFF" w:val="clear"/>
            <w:tcMar>
              <w:bottom w:w="0" w:type="dxa"/>
            </w:tcMar>
            <w:vAlign w:val="center"/>
          </w:tcPr>
          <w:p>
            <w:pPr>
              <w:pStyle w:val="TableContents"/>
              <w:spacing w:before="0" w:after="0"/>
              <w:jc w:val="left"/>
              <w:rPr>
                <w:spacing w:val="4"/>
              </w:rPr>
            </w:pPr>
            <w:r>
              <w:rPr>
                <w:spacing w:val="4"/>
              </w:rPr>
              <w:t xml:space="preserve">2020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3,861,800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(156,871)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749,687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1" w:type="dxa"/>
            <w:tcBorders/>
            <w:shd w:fill="CCEEFF" w:val="clear"/>
            <w:tcMar>
              <w:bottom w:w="0" w:type="dxa"/>
            </w:tcMar>
            <w:vAlign w:val="center"/>
          </w:tcPr>
          <w:p>
            <w:pPr>
              <w:pStyle w:val="TableContents"/>
              <w:spacing w:before="0" w:after="283"/>
              <w:rPr/>
            </w:pPr>
            <w:r>
              <w:rPr/>
              <w:t>​</w:t>
            </w:r>
          </w:p>
        </w:tc>
        <w:tc>
          <w:tcPr>
            <w:tcW w:w="151" w:type="dxa"/>
            <w:tcBorders/>
            <w:shd w:fill="CCEEFF" w:val="clear"/>
            <w:tcMar>
              <w:bottom w:w="0" w:type="dxa"/>
            </w:tcMar>
            <w:vAlign w:val="center"/>
          </w:tcPr>
          <w:p>
            <w:pPr>
              <w:pStyle w:val="TableContents"/>
              <w:spacing w:before="0" w:after="283"/>
              <w:jc w:val="right"/>
              <w:rPr/>
            </w:pPr>
            <w:r>
              <w:rPr/>
              <w:t>​</w:t>
            </w:r>
          </w:p>
        </w:tc>
        <w:tc>
          <w:tcPr>
            <w:tcW w:w="481" w:type="dxa"/>
            <w:tcBorders/>
            <w:shd w:fill="CCEEFF" w:val="clear"/>
            <w:tcMar>
              <w:bottom w:w="0" w:type="dxa"/>
            </w:tcMar>
            <w:vAlign w:val="center"/>
          </w:tcPr>
          <w:p>
            <w:pPr>
              <w:pStyle w:val="TableContents"/>
              <w:spacing w:before="0" w:after="283"/>
              <w:jc w:val="right"/>
              <w:rPr/>
            </w:pPr>
            <w:r>
              <w:rPr/>
              <w:t>—</w:t>
            </w:r>
          </w:p>
        </w:tc>
        <w:tc>
          <w:tcPr>
            <w:tcW w:w="15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4,454,616</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tbl>
      <w:tblPr>
        <w:tblW w:w="9428" w:type="dxa"/>
        <w:jc w:val="left"/>
        <w:tblInd w:w="1393" w:type="dxa"/>
        <w:tblCellMar>
          <w:top w:w="0" w:type="dxa"/>
          <w:left w:w="0" w:type="dxa"/>
          <w:bottom w:w="43" w:type="dxa"/>
          <w:right w:w="0" w:type="dxa"/>
        </w:tblCellMar>
      </w:tblPr>
      <w:tblGrid>
        <w:gridCol w:w="613"/>
        <w:gridCol w:w="109"/>
        <w:gridCol w:w="109"/>
        <w:gridCol w:w="109"/>
        <w:gridCol w:w="109"/>
        <w:gridCol w:w="886"/>
        <w:gridCol w:w="109"/>
        <w:gridCol w:w="109"/>
        <w:gridCol w:w="109"/>
        <w:gridCol w:w="109"/>
        <w:gridCol w:w="109"/>
        <w:gridCol w:w="886"/>
        <w:gridCol w:w="109"/>
        <w:gridCol w:w="109"/>
        <w:gridCol w:w="109"/>
        <w:gridCol w:w="215"/>
        <w:gridCol w:w="215"/>
        <w:gridCol w:w="685"/>
        <w:gridCol w:w="218"/>
        <w:gridCol w:w="109"/>
        <w:gridCol w:w="109"/>
        <w:gridCol w:w="109"/>
        <w:gridCol w:w="109"/>
        <w:gridCol w:w="766"/>
        <w:gridCol w:w="109"/>
        <w:gridCol w:w="109"/>
        <w:gridCol w:w="109"/>
        <w:gridCol w:w="109"/>
        <w:gridCol w:w="109"/>
        <w:gridCol w:w="961"/>
        <w:gridCol w:w="109"/>
        <w:gridCol w:w="109"/>
        <w:gridCol w:w="109"/>
        <w:gridCol w:w="109"/>
        <w:gridCol w:w="109"/>
        <w:gridCol w:w="886"/>
        <w:gridCol w:w="109"/>
        <w:gridCol w:w="154"/>
      </w:tblGrid>
      <w:tr>
        <w:trPr/>
        <w:tc>
          <w:tcPr>
            <w:tcW w:w="613" w:type="dxa"/>
            <w:tcBorders>
              <w:bottom w:val="single" w:sz="2" w:space="0" w:color="000000"/>
            </w:tcBorders>
            <w:shd w:fill="auto" w:val="clear"/>
            <w:vAlign w:val="center"/>
          </w:tcPr>
          <w:p>
            <w:pPr>
              <w:pStyle w:val="TableContents"/>
              <w:spacing w:before="0" w:after="0"/>
              <w:jc w:val="left"/>
              <w:rPr>
                <w:spacing w:val="-3"/>
              </w:rPr>
            </w:pPr>
            <w:r>
              <w:rPr>
                <w:spacing w:val="-3"/>
              </w:rPr>
              <w:t xml:space="preserve">Year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1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Average Year- </w:t>
              <w:br/>
              <w:t xml:space="preserve">End Fair </w:t>
              <w:br/>
              <w:t xml:space="preserve">Value of </w:t>
              <w:br/>
              <w:t xml:space="preserve">Equity </w:t>
              <w:br/>
              <w:t xml:space="preserve">Awards </w:t>
              <w:br/>
              <w:t xml:space="preserve">Granted </w:t>
              <w:br/>
              <w:t xml:space="preserve">During Year </w:t>
              <w:br/>
              <w:t xml:space="preserve">That </w:t>
              <w:br/>
              <w:t xml:space="preserve">Remained </w:t>
              <w:br/>
              <w:t xml:space="preserve">Unvested as of </w:t>
              <w:br/>
              <w:t xml:space="preserve">Last Day of </w:t>
              <w:br/>
              <w:t xml:space="preserve">Year for Non- </w:t>
              <w:br/>
              <w:t xml:space="preserve">PEO NEOs </w:t>
              <w:b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1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Average </w:t>
              <w:br/>
              <w:t xml:space="preserve">Change in </w:t>
              <w:br/>
              <w:t xml:space="preserve">Fair Value </w:t>
              <w:br/>
              <w:t xml:space="preserve">from Last Day </w:t>
              <w:br/>
              <w:t xml:space="preserve">of Prior Year </w:t>
              <w:br/>
              <w:t xml:space="preserve">to Last Day of </w:t>
              <w:br/>
              <w:t xml:space="preserve">Year of </w:t>
              <w:br/>
              <w:t xml:space="preserve">Unvested </w:t>
              <w:br/>
              <w:t xml:space="preserve">Equity </w:t>
              <w:br/>
              <w:t xml:space="preserve">Awards for </w:t>
              <w:br/>
              <w:t xml:space="preserve">Non-PEO </w:t>
              <w:br/>
              <w:t xml:space="preserve">NEOs </w:t>
              <w:b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3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Average </w:t>
              <w:br/>
              <w:t xml:space="preserve">Vesting-Date </w:t>
              <w:br/>
              <w:t xml:space="preserve">Fair Value of </w:t>
              <w:br/>
              <w:t xml:space="preserve">Equity </w:t>
              <w:br/>
              <w:t xml:space="preserve">Awards </w:t>
              <w:br/>
              <w:t xml:space="preserve">Granted </w:t>
              <w:br/>
              <w:t xml:space="preserve">During Year </w:t>
              <w:br/>
              <w:t xml:space="preserve">that Vested </w:t>
              <w:br/>
              <w:t xml:space="preserve">During Year </w:t>
              <w:br/>
              <w:t xml:space="preserve">for Non-PEO </w:t>
              <w:br/>
              <w:t xml:space="preserve">NEOs </w:t>
              <w:b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Average </w:t>
              <w:br/>
              <w:t xml:space="preserve">Change in </w:t>
              <w:br/>
              <w:t xml:space="preserve">Fair Value </w:t>
              <w:br/>
              <w:t xml:space="preserve">from Last Day </w:t>
              <w:br/>
              <w:t xml:space="preserve">of Prior Year </w:t>
              <w:br/>
              <w:t xml:space="preserve">to Vesting </w:t>
              <w:br/>
              <w:t xml:space="preserve">Date of </w:t>
              <w:br/>
              <w:t xml:space="preserve">Unvested </w:t>
              <w:br/>
              <w:t xml:space="preserve">Equity </w:t>
              <w:br/>
              <w:t xml:space="preserve">Awards that </w:t>
              <w:br/>
              <w:t xml:space="preserve">Vested During </w:t>
              <w:br/>
              <w:t xml:space="preserve">Year for Non- </w:t>
              <w:br/>
              <w:t xml:space="preserve">PEO NEOs </w:t>
              <w:b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88"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Average </w:t>
              <w:br/>
              <w:t xml:space="preserve">Fair </w:t>
              <w:br/>
              <w:t xml:space="preserve">Value at Last </w:t>
              <w:br/>
              <w:t xml:space="preserve">Day of Prior </w:t>
              <w:br/>
              <w:t xml:space="preserve">Year of Equity </w:t>
              <w:br/>
              <w:t xml:space="preserve">Awards </w:t>
              <w:br/>
              <w:t xml:space="preserve">Forfeited </w:t>
              <w:br/>
              <w:t xml:space="preserve">During Year </w:t>
              <w:br/>
              <w:t xml:space="preserve">for Non-PEO </w:t>
              <w:br/>
              <w:t xml:space="preserve">NEOs </w:t>
              <w:b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1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Total– </w:t>
              <w:br/>
              <w:t xml:space="preserve">Average </w:t>
              <w:br/>
              <w:t xml:space="preserve">Inclusion </w:t>
              <w:br/>
              <w:t xml:space="preserve">of </w:t>
              <w:br/>
              <w:t xml:space="preserve">Equity </w:t>
              <w:br/>
              <w:t xml:space="preserve">Values </w:t>
              <w:br/>
              <w:t xml:space="preserve">for Non- </w:t>
              <w:br/>
              <w:t xml:space="preserve">PEO </w:t>
              <w:br/>
              <w:t xml:space="preserve">NEOs </w:t>
              <w:br/>
              <w:t xml:space="preserve">($)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613" w:type="dxa"/>
            <w:tcBorders/>
            <w:shd w:fill="CCEEFF" w:val="clear"/>
            <w:tcMar>
              <w:bottom w:w="0" w:type="dxa"/>
            </w:tcMar>
            <w:vAlign w:val="center"/>
          </w:tcPr>
          <w:p>
            <w:pPr>
              <w:pStyle w:val="TableContents"/>
              <w:spacing w:before="0" w:after="0"/>
              <w:jc w:val="left"/>
              <w:rPr>
                <w:spacing w:val="4"/>
              </w:rPr>
            </w:pPr>
            <w:r>
              <w:rPr>
                <w:spacing w:val="4"/>
              </w:rPr>
              <w:t xml:space="preserve">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590,102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218,751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15" w:type="dxa"/>
            <w:tcBorders/>
            <w:shd w:fill="CCEEFF" w:val="clear"/>
            <w:tcMar>
              <w:bottom w:w="0" w:type="dxa"/>
            </w:tcMar>
            <w:vAlign w:val="center"/>
          </w:tcPr>
          <w:p>
            <w:pPr>
              <w:pStyle w:val="TableContents"/>
              <w:spacing w:before="0" w:after="283"/>
              <w:rPr/>
            </w:pPr>
            <w:r>
              <w:rPr/>
              <w:t>​</w:t>
            </w:r>
          </w:p>
        </w:tc>
        <w:tc>
          <w:tcPr>
            <w:tcW w:w="215" w:type="dxa"/>
            <w:tcBorders/>
            <w:shd w:fill="CCEEFF" w:val="clear"/>
            <w:tcMar>
              <w:bottom w:w="0" w:type="dxa"/>
            </w:tcMar>
            <w:vAlign w:val="center"/>
          </w:tcPr>
          <w:p>
            <w:pPr>
              <w:pStyle w:val="TableContents"/>
              <w:spacing w:before="0" w:after="283"/>
              <w:jc w:val="right"/>
              <w:rPr/>
            </w:pPr>
            <w:r>
              <w:rPr/>
              <w:t>​</w:t>
            </w:r>
          </w:p>
        </w:tc>
        <w:tc>
          <w:tcPr>
            <w:tcW w:w="685" w:type="dxa"/>
            <w:tcBorders/>
            <w:shd w:fill="CCEEFF" w:val="clear"/>
            <w:tcMar>
              <w:bottom w:w="0" w:type="dxa"/>
            </w:tcMar>
            <w:vAlign w:val="center"/>
          </w:tcPr>
          <w:p>
            <w:pPr>
              <w:pStyle w:val="TableContents"/>
              <w:spacing w:before="0" w:after="283"/>
              <w:jc w:val="right"/>
              <w:rPr/>
            </w:pPr>
            <w:r>
              <w:rPr/>
              <w:t>—</w:t>
            </w:r>
          </w:p>
        </w:tc>
        <w:tc>
          <w:tcPr>
            <w:tcW w:w="21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42,350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851,203</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13" w:type="dxa"/>
            <w:tcBorders/>
            <w:shd w:fill="auto" w:val="clear"/>
            <w:tcMar>
              <w:bottom w:w="0" w:type="dxa"/>
            </w:tcMar>
            <w:vAlign w:val="center"/>
          </w:tcPr>
          <w:p>
            <w:pPr>
              <w:pStyle w:val="TableContents"/>
              <w:spacing w:before="0" w:after="0"/>
              <w:jc w:val="left"/>
              <w:rPr>
                <w:spacing w:val="4"/>
              </w:rPr>
            </w:pPr>
            <w:r>
              <w:rPr>
                <w:spacing w:val="4"/>
              </w:rPr>
              <w:t xml:space="preserve">2021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415,633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25,532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15" w:type="dxa"/>
            <w:tcBorders/>
            <w:shd w:fill="auto" w:val="clear"/>
            <w:tcMar>
              <w:bottom w:w="0" w:type="dxa"/>
            </w:tcMar>
            <w:vAlign w:val="center"/>
          </w:tcPr>
          <w:p>
            <w:pPr>
              <w:pStyle w:val="TableContents"/>
              <w:spacing w:before="0" w:after="283"/>
              <w:rPr/>
            </w:pPr>
            <w:r>
              <w:rPr/>
              <w:t>​</w:t>
            </w:r>
          </w:p>
        </w:tc>
        <w:tc>
          <w:tcPr>
            <w:tcW w:w="215" w:type="dxa"/>
            <w:tcBorders/>
            <w:shd w:fill="auto" w:val="clear"/>
            <w:tcMar>
              <w:bottom w:w="0" w:type="dxa"/>
            </w:tcMar>
            <w:vAlign w:val="center"/>
          </w:tcPr>
          <w:p>
            <w:pPr>
              <w:pStyle w:val="TableContents"/>
              <w:spacing w:before="0" w:after="283"/>
              <w:jc w:val="right"/>
              <w:rPr/>
            </w:pPr>
            <w:r>
              <w:rPr/>
              <w:t>​</w:t>
            </w:r>
          </w:p>
        </w:tc>
        <w:tc>
          <w:tcPr>
            <w:tcW w:w="685" w:type="dxa"/>
            <w:tcBorders/>
            <w:shd w:fill="auto" w:val="clear"/>
            <w:tcMar>
              <w:bottom w:w="0" w:type="dxa"/>
            </w:tcMar>
            <w:vAlign w:val="center"/>
          </w:tcPr>
          <w:p>
            <w:pPr>
              <w:pStyle w:val="TableContents"/>
              <w:spacing w:before="0" w:after="283"/>
              <w:jc w:val="right"/>
              <w:rPr/>
            </w:pPr>
            <w:r>
              <w:rPr/>
              <w:t>—</w:t>
            </w:r>
          </w:p>
        </w:tc>
        <w:tc>
          <w:tcPr>
            <w:tcW w:w="21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26,566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(369,540)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98,191</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13" w:type="dxa"/>
            <w:tcBorders/>
            <w:shd w:fill="CCEEFF" w:val="clear"/>
            <w:tcMar>
              <w:bottom w:w="0" w:type="dxa"/>
            </w:tcMar>
            <w:vAlign w:val="center"/>
          </w:tcPr>
          <w:p>
            <w:pPr>
              <w:pStyle w:val="TableContents"/>
              <w:spacing w:before="0" w:after="0"/>
              <w:jc w:val="left"/>
              <w:rPr>
                <w:spacing w:val="4"/>
              </w:rPr>
            </w:pPr>
            <w:r>
              <w:rPr>
                <w:spacing w:val="4"/>
              </w:rPr>
              <w:t xml:space="preserve">2020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510,473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(5,497)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15" w:type="dxa"/>
            <w:tcBorders/>
            <w:shd w:fill="CCEEFF" w:val="clear"/>
            <w:tcMar>
              <w:bottom w:w="0" w:type="dxa"/>
            </w:tcMar>
            <w:vAlign w:val="center"/>
          </w:tcPr>
          <w:p>
            <w:pPr>
              <w:pStyle w:val="TableContents"/>
              <w:spacing w:before="0" w:after="283"/>
              <w:rPr/>
            </w:pPr>
            <w:r>
              <w:rPr/>
              <w:t>​</w:t>
            </w:r>
          </w:p>
        </w:tc>
        <w:tc>
          <w:tcPr>
            <w:tcW w:w="215" w:type="dxa"/>
            <w:tcBorders/>
            <w:shd w:fill="CCEEFF" w:val="clear"/>
            <w:tcMar>
              <w:bottom w:w="0" w:type="dxa"/>
            </w:tcMar>
            <w:vAlign w:val="center"/>
          </w:tcPr>
          <w:p>
            <w:pPr>
              <w:pStyle w:val="TableContents"/>
              <w:spacing w:before="0" w:after="283"/>
              <w:jc w:val="right"/>
              <w:rPr/>
            </w:pPr>
            <w:r>
              <w:rPr/>
              <w:t>​</w:t>
            </w:r>
          </w:p>
        </w:tc>
        <w:tc>
          <w:tcPr>
            <w:tcW w:w="685" w:type="dxa"/>
            <w:tcBorders/>
            <w:shd w:fill="CCEEFF" w:val="clear"/>
            <w:tcMar>
              <w:bottom w:w="0" w:type="dxa"/>
            </w:tcMar>
            <w:vAlign w:val="center"/>
          </w:tcPr>
          <w:p>
            <w:pPr>
              <w:pStyle w:val="TableContents"/>
              <w:spacing w:before="0" w:after="283"/>
              <w:jc w:val="right"/>
              <w:rPr/>
            </w:pPr>
            <w:r>
              <w:rPr/>
              <w:t>—</w:t>
            </w:r>
          </w:p>
        </w:tc>
        <w:tc>
          <w:tcPr>
            <w:tcW w:w="21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504,976</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The Peer Group TSR set forth in this table utilizes the NASDAQ Biotechnology Index, which we also utilize in the stock performance graph required by Item 201(e) of Regulation S-K included in our Annual Report for the year ended December 31, 2022. The comparison assumes $100 was invested for the period starting December 31, 2019, through the end of the listed year in the Company and in the NASDAQ Biotechnology Index, respectively. Historical stock performance is not necessarily indicative of future stock performance. Cumulative TSR is calculated by dividing (i) the sum of (a) the cumulative amount of any dividends for the measurement period and (b) the change in the company’s share price during the measurement period by (ii) the share price at the beginning of the measurement period. This assumes dividend reinvestment.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We determined Gross Product Sales to be the most important financial performance measure used to link Company performance to Compensation Actually Paid to our PEO and Non-PEO NEOs in 2022. This performance measure may not have been the most important financial performance measure for years 2021 and 2020 and we may determine a different financial performance measure to be the most important financial performance measure in future years.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50" w:before="120" w:after="283"/>
        <w:ind w:left="13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Description of Relationship Between PEO and Non-PEO NEO Compensation Actually Paid and Company Total Shareholder Return</w:t>
      </w:r>
      <w:r>
        <w:rPr>
          <w:rFonts w:ascii="Times New Roman;Times;serif" w:hAnsi="Times New Roman;Times;serif"/>
          <w:b/>
          <w:i/>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chart sets forth the relationship between Compensation Actually Paid to our PEO, the average of Compensation Actually Paid to our Non-PEO NEOs, and the Company’s cumulative TSR over the three most recently completed fiscal years.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PEO and Average Non-PEO NEO Compensation Actually Paid </w:t>
        <w:br/>
        <w:t>Versus Company TSR</w:t>
      </w:r>
      <w:r>
        <w:rPr>
          <w:rFonts w:ascii="Times New Roman;Times;serif" w:hAnsi="Times New Roman;Times;serif"/>
          <w:b/>
          <w:i w:val="false"/>
          <w:caps w:val="false"/>
          <w:smallCaps w:val="false"/>
          <w:color w:val="000000"/>
          <w:spacing w:val="4"/>
          <w:sz w:val="20"/>
        </w:rPr>
        <w:t xml:space="preserve"> </w:t>
      </w:r>
    </w:p>
    <w:p>
      <w:pPr>
        <w:pStyle w:val="TextBody"/>
        <w:spacing w:before="240" w:after="283"/>
        <w:jc w:val="center"/>
        <w:rPr>
          <w:caps w:val="false"/>
          <w:smallCaps w:val="false"/>
          <w:color w:val="000000"/>
        </w:rPr>
      </w:pPr>
      <w:r>
        <w:rPr>
          <w:caps w:val="false"/>
          <w:smallCaps w:val="false"/>
          <w:color w:val="000000"/>
        </w:rPr>
        <w:drawing>
          <wp:inline distT="0" distB="0" distL="0" distR="0">
            <wp:extent cx="5543550" cy="2724150"/>
            <wp:effectExtent l="0" t="0" r="0" b="0"/>
            <wp:docPr id="16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2" descr=""/>
                    <pic:cNvPicPr>
                      <a:picLocks noChangeAspect="1" noChangeArrowheads="1"/>
                    </pic:cNvPicPr>
                  </pic:nvPicPr>
                  <pic:blipFill>
                    <a:blip r:embed="rId3"/>
                    <a:stretch>
                      <a:fillRect/>
                    </a:stretch>
                  </pic:blipFill>
                  <pic:spPr bwMode="auto">
                    <a:xfrm>
                      <a:off x="0" y="0"/>
                      <a:ext cx="5543550" cy="2724150"/>
                    </a:xfrm>
                    <a:prstGeom prst="rect">
                      <a:avLst/>
                    </a:prstGeom>
                  </pic:spPr>
                </pic:pic>
              </a:graphicData>
            </a:graphic>
          </wp:inline>
        </w:drawing>
      </w:r>
      <w:r>
        <w:rPr>
          <w:caps w:val="false"/>
          <w:smallCaps w:val="false"/>
          <w:color w:val="000000"/>
        </w:rPr>
        <w:t xml:space="preserve"> </w:t>
      </w:r>
    </w:p>
    <w:p>
      <w:pPr>
        <w:pStyle w:val="TextBody"/>
        <w:spacing w:lineRule="atLeast" w:line="240" w:before="36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Description of Relationship Between PEO and Non-PEO NEO Compensation Actually Paid and Net Income</w:t>
      </w:r>
      <w:r>
        <w:rPr>
          <w:rFonts w:ascii="Times New Roman;Times;serif" w:hAnsi="Times New Roman;Times;serif"/>
          <w:b/>
          <w:i/>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chart sets forth the relationship between Compensation Actually Paid to our PEO, the average of Compensation Actually Paid to our Non-PEO NEOs, and our Net Income during the three most recently completed fiscal years.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PEO and Average Non-PEO NEO Compensation Actually Paid </w:t>
        <w:br/>
        <w:t>Versus Net Income</w:t>
      </w:r>
      <w:r>
        <w:rPr>
          <w:rFonts w:ascii="Times New Roman;Times;serif" w:hAnsi="Times New Roman;Times;serif"/>
          <w:b/>
          <w:i w:val="false"/>
          <w:caps w:val="false"/>
          <w:smallCaps w:val="false"/>
          <w:color w:val="000000"/>
          <w:sz w:val="20"/>
        </w:rPr>
        <w:t xml:space="preserve"> </w:t>
      </w:r>
    </w:p>
    <w:p>
      <w:pPr>
        <w:pStyle w:val="TextBody"/>
        <w:spacing w:before="240" w:after="283"/>
        <w:jc w:val="center"/>
        <w:rPr>
          <w:caps w:val="false"/>
          <w:smallCaps w:val="false"/>
          <w:color w:val="000000"/>
        </w:rPr>
      </w:pPr>
      <w:r>
        <w:rPr>
          <w:caps w:val="false"/>
          <w:smallCaps w:val="false"/>
          <w:color w:val="000000"/>
        </w:rPr>
        <w:drawing>
          <wp:inline distT="0" distB="0" distL="0" distR="0">
            <wp:extent cx="5219700" cy="2562225"/>
            <wp:effectExtent l="0" t="0" r="0" b="0"/>
            <wp:docPr id="16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3" descr=""/>
                    <pic:cNvPicPr>
                      <a:picLocks noChangeAspect="1" noChangeArrowheads="1"/>
                    </pic:cNvPicPr>
                  </pic:nvPicPr>
                  <pic:blipFill>
                    <a:blip r:embed="rId4"/>
                    <a:stretch>
                      <a:fillRect/>
                    </a:stretch>
                  </pic:blipFill>
                  <pic:spPr bwMode="auto">
                    <a:xfrm>
                      <a:off x="0" y="0"/>
                      <a:ext cx="5219700" cy="2562225"/>
                    </a:xfrm>
                    <a:prstGeom prst="rect">
                      <a:avLst/>
                    </a:prstGeom>
                  </pic:spPr>
                </pic:pic>
              </a:graphicData>
            </a:graphic>
          </wp:inline>
        </w:drawing>
      </w:r>
      <w:r>
        <w:rPr>
          <w:caps w:val="false"/>
          <w:smallCaps w:val="false"/>
          <w:color w:val="00000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4080"/>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Income included in the preceding chart is calculated in accordance with GAAP (Generally Accepted Accounting Principles). During 2020, 2021 and 2022, the Company accrued amortization expenses for intangible assets of $15.7 million, $30.0 million and $82.6 million, respectively. Amortization of intangible assets increased during 2021 and 2022 primarily due to the amortization of definitive-lived intangible assets acquired in the Adamas and US WorldMeds acquisitions.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Description of Relationship Between PEO and Non-PEO NEO Compensation Actually Paid and Gross Product Sales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chart sets forth the relationship between Compensation Actually Paid to our PEO, the average of Compensation Actually Paid to our Non-PEO NEOs, and our Gross Product Sales during the three most recently completed fiscal years.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PEO and Average Non-PEO NEO Compensation Actually Paid </w:t>
        <w:br/>
        <w:t>Versus Gross Product Sales</w:t>
      </w:r>
      <w:r>
        <w:rPr>
          <w:rFonts w:ascii="Times New Roman;Times;serif" w:hAnsi="Times New Roman;Times;serif"/>
          <w:b/>
          <w:i w:val="false"/>
          <w:caps w:val="false"/>
          <w:smallCaps w:val="false"/>
          <w:color w:val="000000"/>
          <w:sz w:val="20"/>
        </w:rPr>
        <w:t xml:space="preserve"> </w:t>
      </w:r>
    </w:p>
    <w:p>
      <w:pPr>
        <w:pStyle w:val="TextBody"/>
        <w:spacing w:before="200" w:after="283"/>
        <w:jc w:val="center"/>
        <w:rPr>
          <w:caps w:val="false"/>
          <w:smallCaps w:val="false"/>
          <w:color w:val="000000"/>
        </w:rPr>
      </w:pPr>
      <w:r>
        <w:rPr>
          <w:caps w:val="false"/>
          <w:smallCaps w:val="false"/>
          <w:color w:val="000000"/>
        </w:rPr>
        <w:drawing>
          <wp:inline distT="0" distB="0" distL="0" distR="0">
            <wp:extent cx="5791200" cy="2828925"/>
            <wp:effectExtent l="0" t="0" r="0" b="0"/>
            <wp:docPr id="16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4" descr=""/>
                    <pic:cNvPicPr>
                      <a:picLocks noChangeAspect="1" noChangeArrowheads="1"/>
                    </pic:cNvPicPr>
                  </pic:nvPicPr>
                  <pic:blipFill>
                    <a:blip r:embed="rId5"/>
                    <a:stretch>
                      <a:fillRect/>
                    </a:stretch>
                  </pic:blipFill>
                  <pic:spPr bwMode="auto">
                    <a:xfrm>
                      <a:off x="0" y="0"/>
                      <a:ext cx="5791200" cy="2828925"/>
                    </a:xfrm>
                    <a:prstGeom prst="rect">
                      <a:avLst/>
                    </a:prstGeom>
                  </pic:spPr>
                </pic:pic>
              </a:graphicData>
            </a:graphic>
          </wp:inline>
        </w:drawing>
      </w:r>
      <w:r>
        <w:rPr>
          <w:caps w:val="false"/>
          <w:smallCaps w:val="false"/>
          <w:color w:val="00000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3566"/>
        <w:ind w:left="13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Description of Relationship Between Company TSR and Peer Group TSR</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chart compares our cumulative TSR over the three most recently completed fiscal years to that of the NASDAQ Biotechnology Index over the same period.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Comparison of Cumulative TSR of Supernus Pharmaceuticals, Inc. and </w:t>
        <w:br/>
        <w:t>NASDAQ Biotechnology Index</w:t>
      </w:r>
      <w:r>
        <w:rPr>
          <w:rFonts w:ascii="Times New Roman;Times;serif" w:hAnsi="Times New Roman;Times;serif"/>
          <w:b/>
          <w:i w:val="false"/>
          <w:caps w:val="false"/>
          <w:smallCaps w:val="false"/>
          <w:color w:val="000000"/>
          <w:spacing w:val="4"/>
          <w:sz w:val="20"/>
        </w:rPr>
        <w:t xml:space="preserve"> </w:t>
      </w:r>
    </w:p>
    <w:p>
      <w:pPr>
        <w:pStyle w:val="TextBody"/>
        <w:spacing w:before="200" w:after="283"/>
        <w:jc w:val="center"/>
        <w:rPr>
          <w:caps w:val="false"/>
          <w:smallCaps w:val="false"/>
          <w:color w:val="000000"/>
        </w:rPr>
      </w:pPr>
      <w:r>
        <w:rPr>
          <w:caps w:val="false"/>
          <w:smallCaps w:val="false"/>
          <w:color w:val="000000"/>
        </w:rPr>
        <w:drawing>
          <wp:inline distT="0" distB="0" distL="0" distR="0">
            <wp:extent cx="5514975" cy="2762250"/>
            <wp:effectExtent l="0" t="0" r="0" b="0"/>
            <wp:docPr id="16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5" descr=""/>
                    <pic:cNvPicPr>
                      <a:picLocks noChangeAspect="1" noChangeArrowheads="1"/>
                    </pic:cNvPicPr>
                  </pic:nvPicPr>
                  <pic:blipFill>
                    <a:blip r:embed="rId6"/>
                    <a:stretch>
                      <a:fillRect/>
                    </a:stretch>
                  </pic:blipFill>
                  <pic:spPr bwMode="auto">
                    <a:xfrm>
                      <a:off x="0" y="0"/>
                      <a:ext cx="5514975" cy="2762250"/>
                    </a:xfrm>
                    <a:prstGeom prst="rect">
                      <a:avLst/>
                    </a:prstGeom>
                  </pic:spPr>
                </pic:pic>
              </a:graphicData>
            </a:graphic>
          </wp:inline>
        </w:drawing>
      </w:r>
      <w:r>
        <w:rPr>
          <w:caps w:val="false"/>
          <w:smallCaps w:val="false"/>
          <w:color w:val="000000"/>
        </w:rPr>
        <w:t xml:space="preserve"> </w:t>
      </w:r>
    </w:p>
    <w:p>
      <w:pPr>
        <w:pStyle w:val="TextBody"/>
        <w:spacing w:lineRule="atLeast" w:line="240" w:before="3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Tabular List of Most Important Financial Performance Measures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financial performance measures that the Company considers to have been the most important in linking Compensation Actually Paid to our PEO and other NEOs for 2022 to Company performance. The measures in this table are not ranked. </w:t>
      </w:r>
    </w:p>
    <w:tbl>
      <w:tblPr>
        <w:tblW w:w="2623" w:type="dxa"/>
        <w:jc w:val="left"/>
        <w:tblInd w:w="1393" w:type="dxa"/>
        <w:tblCellMar>
          <w:top w:w="0" w:type="dxa"/>
          <w:left w:w="0" w:type="dxa"/>
          <w:bottom w:w="0" w:type="dxa"/>
          <w:right w:w="0" w:type="dxa"/>
        </w:tblCellMar>
      </w:tblPr>
      <w:tblGrid>
        <w:gridCol w:w="124"/>
        <w:gridCol w:w="109"/>
        <w:gridCol w:w="2127"/>
        <w:gridCol w:w="109"/>
        <w:gridCol w:w="154"/>
      </w:tblGrid>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127" w:type="dxa"/>
            <w:tcBorders/>
            <w:shd w:fill="auto" w:val="clear"/>
            <w:vAlign w:val="center"/>
          </w:tcPr>
          <w:p>
            <w:pPr>
              <w:pStyle w:val="TableContents"/>
              <w:spacing w:before="0" w:after="0"/>
              <w:jc w:val="center"/>
              <w:rPr>
                <w:spacing w:val="4"/>
              </w:rPr>
            </w:pPr>
            <w:r>
              <w:rPr>
                <w:spacing w:val="4"/>
              </w:rPr>
              <w:t xml:space="preserve">Gross Product Sales </w:t>
              <w:br/>
              <w:t xml:space="preserve">Operating Income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2127" w:type="dxa"/>
            <w:tcBorders>
              <w:bottom w:val="single" w:sz="6" w:space="0" w:color="000000"/>
            </w:tcBorders>
            <w:shd w:fill="auto" w:val="clear"/>
            <w:tcMar>
              <w:bottom w:w="160"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COMPENSATION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elements of director compensation consist of annual cash retainers and equity awards, as well as customary and usual expense reimbursement in attending Board of Director or committee meetings. In an effort to align the long-term interests of our stockholders and non-employee directors, the mix of cash and equity compensation has historically been, and is currently, weighted more heavily to equity. The equity compensation has historically taken the form of stock options, which we believe motivates the non- employee directors to help us achieve our business objectives by tying incentives to the appreciation of our common stock over the long term.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Committee regularly assesses our non-employee director compensation program in consultation with Aon, its independent compensation consultant, who provides analysis and input on prevailing market practices and recommends any changes to the program to our Board of Directors, which ultimately approves non-employee director compensation.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2022 director compensation structure was recommended by the Compensation Committee and approved by the Board of Directors following the review of peer practices from Aon. The 2022 director compensation structure did not change from the 2021 director compensation structure. Under our director compensation structure for 2022, non-chairman members of the Board of Directors received an annual retainer of $50,000 and the Chairman of the Board received an additional $30,000, paid annually. The chairman and members of the Company’s standing committees received the following retainers for their committee service: </w:t>
      </w:r>
    </w:p>
    <w:tbl>
      <w:tblPr>
        <w:tblW w:w="6909" w:type="dxa"/>
        <w:jc w:val="left"/>
        <w:tblInd w:w="1393" w:type="dxa"/>
        <w:tblCellMar>
          <w:top w:w="0" w:type="dxa"/>
          <w:left w:w="0" w:type="dxa"/>
          <w:bottom w:w="33" w:type="dxa"/>
          <w:right w:w="0" w:type="dxa"/>
        </w:tblCellMar>
      </w:tblPr>
      <w:tblGrid>
        <w:gridCol w:w="4133"/>
        <w:gridCol w:w="109"/>
        <w:gridCol w:w="109"/>
        <w:gridCol w:w="109"/>
        <w:gridCol w:w="109"/>
        <w:gridCol w:w="766"/>
        <w:gridCol w:w="109"/>
        <w:gridCol w:w="109"/>
        <w:gridCol w:w="109"/>
        <w:gridCol w:w="109"/>
        <w:gridCol w:w="109"/>
        <w:gridCol w:w="766"/>
        <w:gridCol w:w="109"/>
        <w:gridCol w:w="154"/>
      </w:tblGrid>
      <w:tr>
        <w:trPr/>
        <w:tc>
          <w:tcPr>
            <w:tcW w:w="4133" w:type="dxa"/>
            <w:tcBorders>
              <w:bottom w:val="single" w:sz="2" w:space="0" w:color="000000"/>
            </w:tcBorders>
            <w:shd w:fill="auto" w:val="clear"/>
            <w:vAlign w:val="center"/>
          </w:tcPr>
          <w:p>
            <w:pPr>
              <w:pStyle w:val="TableContents"/>
              <w:spacing w:before="0" w:after="0"/>
              <w:jc w:val="left"/>
              <w:rPr>
                <w:spacing w:val="-3"/>
              </w:rPr>
            </w:pPr>
            <w:r>
              <w:rPr>
                <w:spacing w:val="-3"/>
              </w:rPr>
              <w:t xml:space="preserve">Committee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Chairman </w:t>
              <w:b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Member </w:t>
              <w:br/>
              <w:t xml:space="preserve">($)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4133" w:type="dxa"/>
            <w:tcBorders/>
            <w:shd w:fill="CCEEFF" w:val="clear"/>
            <w:tcMar>
              <w:bottom w:w="0" w:type="dxa"/>
            </w:tcMar>
            <w:vAlign w:val="center"/>
          </w:tcPr>
          <w:p>
            <w:pPr>
              <w:pStyle w:val="TableContents"/>
              <w:spacing w:before="0" w:after="0"/>
              <w:jc w:val="left"/>
              <w:rPr>
                <w:spacing w:val="4"/>
              </w:rPr>
            </w:pPr>
            <w:r>
              <w:rPr>
                <w:spacing w:val="4"/>
              </w:rPr>
              <w:t xml:space="preserve">Audit Committee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25,000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12,500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133" w:type="dxa"/>
            <w:tcBorders/>
            <w:shd w:fill="auto" w:val="clear"/>
            <w:tcMar>
              <w:bottom w:w="0" w:type="dxa"/>
            </w:tcMar>
            <w:vAlign w:val="center"/>
          </w:tcPr>
          <w:p>
            <w:pPr>
              <w:pStyle w:val="TableContents"/>
              <w:spacing w:before="0" w:after="0"/>
              <w:jc w:val="left"/>
              <w:rPr>
                <w:spacing w:val="4"/>
              </w:rPr>
            </w:pPr>
            <w:r>
              <w:rPr>
                <w:spacing w:val="4"/>
              </w:rPr>
              <w:t xml:space="preserve">Compensation Committee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20,000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10,000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4133" w:type="dxa"/>
            <w:tcBorders/>
            <w:shd w:fill="CCEEFF" w:val="clear"/>
            <w:tcMar>
              <w:bottom w:w="0" w:type="dxa"/>
            </w:tcMar>
            <w:vAlign w:val="center"/>
          </w:tcPr>
          <w:p>
            <w:pPr>
              <w:pStyle w:val="TableContents"/>
              <w:spacing w:before="0" w:after="0"/>
              <w:jc w:val="left"/>
              <w:rPr>
                <w:spacing w:val="4"/>
              </w:rPr>
            </w:pPr>
            <w:r>
              <w:rPr>
                <w:spacing w:val="4"/>
              </w:rPr>
              <w:t xml:space="preserve">Governance and Nominating Committee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11,000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5,000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54"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employee director receives no compensation for serving as a director.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 summary of the compensation we paid to each non-employee director in 2021. </w:t>
      </w:r>
    </w:p>
    <w:tbl>
      <w:tblPr>
        <w:tblW w:w="8812" w:type="dxa"/>
        <w:jc w:val="left"/>
        <w:tblInd w:w="1393" w:type="dxa"/>
        <w:tblCellMar>
          <w:top w:w="0" w:type="dxa"/>
          <w:left w:w="0" w:type="dxa"/>
          <w:bottom w:w="33" w:type="dxa"/>
          <w:right w:w="0" w:type="dxa"/>
        </w:tblCellMar>
      </w:tblPr>
      <w:tblGrid>
        <w:gridCol w:w="2705"/>
        <w:gridCol w:w="109"/>
        <w:gridCol w:w="109"/>
        <w:gridCol w:w="109"/>
        <w:gridCol w:w="109"/>
        <w:gridCol w:w="1114"/>
        <w:gridCol w:w="109"/>
        <w:gridCol w:w="109"/>
        <w:gridCol w:w="109"/>
        <w:gridCol w:w="109"/>
        <w:gridCol w:w="109"/>
        <w:gridCol w:w="886"/>
        <w:gridCol w:w="109"/>
        <w:gridCol w:w="109"/>
        <w:gridCol w:w="109"/>
        <w:gridCol w:w="109"/>
        <w:gridCol w:w="109"/>
        <w:gridCol w:w="886"/>
        <w:gridCol w:w="109"/>
        <w:gridCol w:w="109"/>
        <w:gridCol w:w="109"/>
        <w:gridCol w:w="109"/>
        <w:gridCol w:w="109"/>
        <w:gridCol w:w="886"/>
        <w:gridCol w:w="109"/>
        <w:gridCol w:w="155"/>
      </w:tblGrid>
      <w:tr>
        <w:trPr/>
        <w:tc>
          <w:tcPr>
            <w:tcW w:w="2705"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41"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Fees Earned </w:t>
              <w:br/>
              <w:t xml:space="preserve">or Paid </w:t>
              <w:br/>
              <w:t xml:space="preserve">in Cash </w:t>
              <w:b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13"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Stock </w:t>
              <w:br/>
              <w:t xml:space="preserve">Awards </w:t>
              <w:br/>
              <w:t>($)</w:t>
            </w:r>
            <w:r>
              <w:rPr>
                <w:spacing w:val="-2"/>
                <w:sz w:val="10"/>
              </w:rPr>
              <w:t>(1)</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13"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Option </w:t>
              <w:br/>
              <w:t xml:space="preserve">Awards </w:t>
              <w:br/>
              <w:t>($)</w:t>
            </w:r>
            <w:r>
              <w:rPr>
                <w:spacing w:val="-2"/>
                <w:sz w:val="10"/>
              </w:rPr>
              <w:t>(1)</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1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Total </w:t>
              <w:br/>
              <w:t xml:space="preserve">($)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705" w:type="dxa"/>
            <w:tcBorders/>
            <w:shd w:fill="CCEEFF" w:val="clear"/>
            <w:tcMar>
              <w:bottom w:w="0" w:type="dxa"/>
            </w:tcMar>
            <w:vAlign w:val="center"/>
          </w:tcPr>
          <w:p>
            <w:pPr>
              <w:pStyle w:val="TableContents"/>
              <w:spacing w:before="0" w:after="0"/>
              <w:jc w:val="left"/>
              <w:rPr>
                <w:spacing w:val="4"/>
              </w:rPr>
            </w:pPr>
            <w:r>
              <w:rPr>
                <w:spacing w:val="4"/>
              </w:rPr>
              <w:t xml:space="preserve">Georges Gemayel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14" w:type="dxa"/>
            <w:tcBorders/>
            <w:shd w:fill="CCEEFF" w:val="clear"/>
            <w:tcMar>
              <w:bottom w:w="0" w:type="dxa"/>
            </w:tcMar>
            <w:vAlign w:val="center"/>
          </w:tcPr>
          <w:p>
            <w:pPr>
              <w:pStyle w:val="TableContents"/>
              <w:spacing w:before="0" w:after="283"/>
              <w:jc w:val="right"/>
              <w:rPr/>
            </w:pPr>
            <w:r>
              <w:rPr/>
              <w:t>67,500(2)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125,000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130,543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323,044</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2705" w:type="dxa"/>
            <w:tcBorders/>
            <w:shd w:fill="auto" w:val="clear"/>
            <w:tcMar>
              <w:bottom w:w="0" w:type="dxa"/>
            </w:tcMar>
            <w:vAlign w:val="center"/>
          </w:tcPr>
          <w:p>
            <w:pPr>
              <w:pStyle w:val="TableContents"/>
              <w:spacing w:before="0" w:after="0"/>
              <w:jc w:val="left"/>
              <w:rPr>
                <w:spacing w:val="4"/>
              </w:rPr>
            </w:pPr>
            <w:r>
              <w:rPr>
                <w:spacing w:val="4"/>
              </w:rPr>
              <w:t xml:space="preserve">Frederick M. Hudson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14" w:type="dxa"/>
            <w:tcBorders/>
            <w:shd w:fill="auto" w:val="clear"/>
            <w:tcMar>
              <w:bottom w:w="0" w:type="dxa"/>
            </w:tcMar>
            <w:vAlign w:val="center"/>
          </w:tcPr>
          <w:p>
            <w:pPr>
              <w:pStyle w:val="TableContents"/>
              <w:spacing w:before="0" w:after="283"/>
              <w:jc w:val="right"/>
              <w:rPr/>
            </w:pPr>
            <w:r>
              <w:rPr/>
              <w:t>85,000(3)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125,000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130,543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340,544</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2705" w:type="dxa"/>
            <w:tcBorders/>
            <w:shd w:fill="CCEEFF" w:val="clear"/>
            <w:tcMar>
              <w:bottom w:w="0" w:type="dxa"/>
            </w:tcMar>
            <w:vAlign w:val="center"/>
          </w:tcPr>
          <w:p>
            <w:pPr>
              <w:pStyle w:val="TableContents"/>
              <w:spacing w:before="0" w:after="0"/>
              <w:jc w:val="left"/>
              <w:rPr>
                <w:spacing w:val="4"/>
              </w:rPr>
            </w:pPr>
            <w:r>
              <w:rPr>
                <w:spacing w:val="4"/>
              </w:rPr>
              <w:t xml:space="preserve">Charles W. Newhall, III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14" w:type="dxa"/>
            <w:tcBorders/>
            <w:shd w:fill="CCEEFF" w:val="clear"/>
            <w:tcMar>
              <w:bottom w:w="0" w:type="dxa"/>
            </w:tcMar>
            <w:vAlign w:val="center"/>
          </w:tcPr>
          <w:p>
            <w:pPr>
              <w:pStyle w:val="TableContents"/>
              <w:spacing w:before="0" w:after="283"/>
              <w:jc w:val="right"/>
              <w:rPr/>
            </w:pPr>
            <w:r>
              <w:rPr/>
              <w:t>101,000(4)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125,000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130,543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356,544</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2705" w:type="dxa"/>
            <w:tcBorders/>
            <w:shd w:fill="auto" w:val="clear"/>
            <w:tcMar>
              <w:bottom w:w="0" w:type="dxa"/>
            </w:tcMar>
            <w:vAlign w:val="center"/>
          </w:tcPr>
          <w:p>
            <w:pPr>
              <w:pStyle w:val="TableContents"/>
              <w:spacing w:before="0" w:after="0"/>
              <w:jc w:val="left"/>
              <w:rPr>
                <w:spacing w:val="4"/>
              </w:rPr>
            </w:pPr>
            <w:r>
              <w:rPr>
                <w:spacing w:val="4"/>
              </w:rPr>
              <w:t xml:space="preserve">John M. Siebert, Ph.D.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14" w:type="dxa"/>
            <w:tcBorders/>
            <w:shd w:fill="auto" w:val="clear"/>
            <w:tcMar>
              <w:bottom w:w="0" w:type="dxa"/>
            </w:tcMar>
            <w:vAlign w:val="center"/>
          </w:tcPr>
          <w:p>
            <w:pPr>
              <w:pStyle w:val="TableContents"/>
              <w:spacing w:before="0" w:after="283"/>
              <w:jc w:val="right"/>
              <w:rPr/>
            </w:pPr>
            <w:r>
              <w:rPr/>
              <w:t>82,500(5)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125,000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130,543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338,044</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2705" w:type="dxa"/>
            <w:tcBorders/>
            <w:shd w:fill="CCEEFF" w:val="clear"/>
            <w:tcMar>
              <w:bottom w:w="0" w:type="dxa"/>
            </w:tcMar>
            <w:vAlign w:val="center"/>
          </w:tcPr>
          <w:p>
            <w:pPr>
              <w:pStyle w:val="TableContents"/>
              <w:spacing w:before="0" w:after="0"/>
              <w:jc w:val="left"/>
              <w:rPr>
                <w:spacing w:val="4"/>
              </w:rPr>
            </w:pPr>
            <w:r>
              <w:rPr>
                <w:spacing w:val="4"/>
              </w:rPr>
              <w:t xml:space="preserve">Carrolee Barlow, M.D., Ph.D.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14" w:type="dxa"/>
            <w:tcBorders/>
            <w:shd w:fill="CCEEFF" w:val="clear"/>
            <w:tcMar>
              <w:bottom w:w="0" w:type="dxa"/>
            </w:tcMar>
            <w:vAlign w:val="center"/>
          </w:tcPr>
          <w:p>
            <w:pPr>
              <w:pStyle w:val="TableContents"/>
              <w:spacing w:before="0" w:after="283"/>
              <w:jc w:val="right"/>
              <w:rPr/>
            </w:pPr>
            <w:r>
              <w:rPr/>
              <w:t>50,000(6)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125,000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130,543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305,544</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represent the grant date fair value of our common stock calculated in accordance with ASC 718. The grant date of each stock and option award was February 22, 2022. </w:t>
      </w:r>
      <w:r>
        <mc:AlternateContent>
          <mc:Choice Requires="wps">
            <w:drawing>
              <wp:anchor behindDoc="0" distT="97790" distB="0" distL="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largest"/>
                <wp:docPr id="166" name="Frame16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Gemayel received a $50,000 annual Board retainer and $17,500 for his service as a member of the Audit Committee and the Governance and Nominating Committee. </w:t>
      </w:r>
      <w:r>
        <mc:AlternateContent>
          <mc:Choice Requires="wps">
            <w:drawing>
              <wp:anchor behindDoc="0" distT="46990" distB="0" distL="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largest"/>
                <wp:docPr id="167" name="Frame16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Hudson received a $50,000 annual Board retainer, $25,000 for service as Chairman of the Audit Committee, and $10,000 for his service as a member of the Compensation Committee. </w:t>
      </w:r>
      <w:r>
        <mc:AlternateContent>
          <mc:Choice Requires="wps">
            <w:drawing>
              <wp:anchor behindDoc="0" distT="46990" distB="0" distL="0" distR="0" simplePos="0" locked="0" layoutInCell="1" allowOverlap="1" relativeHeight="171">
                <wp:simplePos x="0" y="0"/>
                <wp:positionH relativeFrom="column">
                  <wp:align>left</wp:align>
                </wp:positionH>
                <wp:positionV relativeFrom="line">
                  <wp:align>top</wp:align>
                </wp:positionV>
                <wp:extent cx="254000" cy="350520"/>
                <wp:effectExtent l="0" t="0" r="0" b="0"/>
                <wp:wrapSquare wrapText="largest"/>
                <wp:docPr id="168" name="Frame16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Newhall received a $50,000 annual Board retainer, a $30,000 retainer for his service as Chairman of the Board, $11,000 for his service as Chairman of the Governance and Nominating Committee, and $10,000 for his service as a member of the Compensation Committee. </w:t>
      </w:r>
      <w:r>
        <mc:AlternateContent>
          <mc:Choice Requires="wps">
            <w:drawing>
              <wp:anchor behindDoc="0" distT="46990" distB="0" distL="0" distR="0" simplePos="0" locked="0" layoutInCell="1" allowOverlap="1" relativeHeight="172">
                <wp:simplePos x="0" y="0"/>
                <wp:positionH relativeFrom="column">
                  <wp:align>left</wp:align>
                </wp:positionH>
                <wp:positionV relativeFrom="line">
                  <wp:align>top</wp:align>
                </wp:positionV>
                <wp:extent cx="254000" cy="350520"/>
                <wp:effectExtent l="0" t="0" r="0" b="0"/>
                <wp:wrapSquare wrapText="largest"/>
                <wp:docPr id="169" name="Frame16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Siebert received a $50,000 annual Board retainer, $20,000 for his service as Chairman of the Compensation Committee, and $12,500 for his service as a member of the Audit Committee. </w:t>
      </w:r>
      <w:r>
        <mc:AlternateContent>
          <mc:Choice Requires="wps">
            <w:drawing>
              <wp:anchor behindDoc="0" distT="46990" distB="0" distL="0" distR="0" simplePos="0" locked="0" layoutInCell="1" allowOverlap="1" relativeHeight="173">
                <wp:simplePos x="0" y="0"/>
                <wp:positionH relativeFrom="column">
                  <wp:align>left</wp:align>
                </wp:positionH>
                <wp:positionV relativeFrom="line">
                  <wp:align>top</wp:align>
                </wp:positionV>
                <wp:extent cx="254000" cy="350520"/>
                <wp:effectExtent l="0" t="0" r="0" b="0"/>
                <wp:wrapSquare wrapText="largest"/>
                <wp:docPr id="170" name="Frame16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Barlow received a $50,000 annual Board retainer. </w:t>
      </w:r>
      <w:r>
        <mc:AlternateContent>
          <mc:Choice Requires="wps">
            <w:drawing>
              <wp:anchor behindDoc="0" distT="48260" distB="0" distL="0" distR="0" simplePos="0" locked="0" layoutInCell="1" allowOverlap="1" relativeHeight="174">
                <wp:simplePos x="0" y="0"/>
                <wp:positionH relativeFrom="column">
                  <wp:align>left</wp:align>
                </wp:positionH>
                <wp:positionV relativeFrom="line">
                  <wp:align>top</wp:align>
                </wp:positionV>
                <wp:extent cx="254000" cy="350520"/>
                <wp:effectExtent l="0" t="0" r="0" b="0"/>
                <wp:wrapSquare wrapText="largest"/>
                <wp:docPr id="171" name="Frame16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8000"/>
        <w:ind w:left="13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Equity Awards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cash retainers set forth above, for 2022, the Compensation Committee recommended and the Board of Directors approved the following equity awards to our non-employee directors. </w:t>
      </w:r>
    </w:p>
    <w:p>
      <w:pPr>
        <w:pStyle w:val="TextBody"/>
        <w:spacing w:lineRule="atLeast" w:line="240" w:before="240" w:after="283"/>
        <w:ind w:left="17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Stock Option Awards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non-employee director received approximately 51% of the grantee’s equity award as non-statutory stock options to purchase shares of the Company’s Common Stock. The options granted to non-employee directors have an exercise price of $32.20, which is equal to the closing price of the Company’s Common Stock on the date of the grant, and are subject to a ten-year term and vest at the end of the one-year period following the date of grant. </w:t>
      </w:r>
    </w:p>
    <w:p>
      <w:pPr>
        <w:pStyle w:val="TextBody"/>
        <w:spacing w:lineRule="atLeast" w:line="240" w:before="240" w:after="283"/>
        <w:ind w:left="17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Restricted Stock Unit Awards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non-employee director received approximately 49% of the grantee’s equity award in restricted stock units equal to $125,000 of the Company’s Common Stock, which resulted in a grant date fair value of $125,000. These restricted stock unit awards vest at the end of the one-year period following the date of grant and are subject to forfeiture if the grantee ceases to be a member of the Board of Directors for any reason prior to the award’s vesting date.</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7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 OF THE AUDIT COMMITTEE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has reviewed and discussed our audited consolidated financial statements with management. The Audit Committee has discussed the matters required to be discussed by Auditing Standards No. 1301 “Communication with Audit Committees,” as adopted by the Public Company Accounting Oversight Board with KPMG LLP, our independent registered public accounting firm.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has received written disclosures from KPMG LLP required by applicable requirements of the Public Company Accounting Oversight Board which relate to the accountant’s independence from us and has discussed with KPMG LLP their independence from us. The Audit Committee has considered whether the provision of the services provided by KPMG LLP is compatible with maintaining KPMG LLP’s independence.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review and discussions referenced above, the Audit Committee recommended to our Board of Directors that our audited consolidated financial statements be included in our Annual Report on Form 10-K for the year ended December 31, 2022. </w:t>
      </w:r>
    </w:p>
    <w:p>
      <w:pPr>
        <w:pStyle w:val="TextBody"/>
        <w:spacing w:lineRule="atLeast" w:line="240" w:before="160" w:after="283"/>
        <w:ind w:left="5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Audit Committee: </w:t>
      </w:r>
    </w:p>
    <w:p>
      <w:pPr>
        <w:pStyle w:val="TextBody"/>
        <w:spacing w:lineRule="atLeast" w:line="240" w:before="480" w:after="283"/>
        <w:ind w:left="5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Frederick M. Hudson (Chair), </w:t>
        <w:br/>
        <w:t xml:space="preserve">Chair Georges Gemayel, Ph.D., </w:t>
        <w:br/>
        <w:t>John M. Siebert, Ph.D.</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5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2 </w:t>
        <w:br/>
        <w:t>ADVISORY VOTE ON EXECUTIVE COMPENSATION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Dodd-Frank Act requires all public companies to hold a separate non-binding advisory stockholder vote to approve the compensation of named executive officers (NEOs), which is described in the Compensation Discussion and Analysis, the executive compensation tables, and the accompanying narrative disclosure in the Company’s Proxy Statement (commonly referred to as a “say-on-pay” vote). Pursuant to Section 14A of the Exchange Act, each public company must submit this proposal to its stockholders not less than every three years. We presently submit this non-binding “say-on-pay” advisory vote to our stockholders annually, so the next “say-on-pay” advisory vote will be at the Annual Meeting of Stockholders to be held in 2024. In this Proposal 2, we are asking our stockholders to approve, on a non-binding basis, the compensation paid to our NEOs.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noted in the Compensation Discussion and Analysis section of this Proxy Statement, our executive compensation program is designed to align the interests of our executives with those of our stockholders to reward executives with incentives that are closely linked to the Company’s short and long-term performance goals. Through regular review of the alignment of executive compensation with the Company’s performance, the Compensation Committee seeks to successfully attract and retain highly qualified and motivated executives by providing a competitive executive compensation program that aligns with the value that our executives create for our stockholders. The Compensation Discussion and Analysis section describes our executive compensation philosophy and objectives, how our compensation program is designed, the elements of executive compensation, the use of comparisons and peer group data, and the actual compensation of our NEOs identified in that section. The Compensation Committee and our Board of Directors believe that the policies and practices described in the Compensation Discussion and Analysis section of this Proxy Statement are effective in implementing our compensation philosophy and objectives and that the compensation of our NEOs for fiscal year 2022 reflects and supports those policies and practices.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Committee and Board of Directors will take into consideration the outcome of this advisory vote in determining future compensation decisions. </w:t>
      </w:r>
    </w:p>
    <w:p>
      <w:pPr>
        <w:pStyle w:val="TextBody"/>
        <w:spacing w:lineRule="atLeast" w:line="240" w:before="160" w:after="283"/>
        <w:ind w:left="1393" w:right="0" w:firstLine="400"/>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Board of Directors recommends a vote “FOR” the proposal to approve, on a non-binding basis, the compensation paid to our named executive officers, as described in this Proxy Statement.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4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3 </w:t>
        <w:br/>
        <w:t xml:space="preserve">ADVISORY VOTE ON THE FREQUENCY OF FUTURE ADVISORY </w:t>
        <w:br/>
        <w:t>VOTES ON EXECUTIVE COMPENSATION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Dodd-Frank Act requires all public companies to hold a separate non-binding advisory stockholder vote to approve the frequency of future advisory votes on executive compensation (commonly referred to as a “say-on-frequency” vote). Pursuant to Section 14A of the Securities Exchange Act of 1934, as amended, each public company must submit this proposal to its stockholders not less than every six years.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Proposal 3, we are asking our stockholders to approve, on a non-binding basis, the frequency of future advisory votes on executive compensation. Stockholders may vote for a frequency of every one year, every two years, or every three years, or may abstain.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our June 13, 2017 stockholder meeting stockholders voted for the say-on-pay vote to be conducted every one (1) year, in accordance with our Board of Directors recommendations at that time. After careful consideration, our Board of Directors continues to believe that a non-binding, advisory vote on the compensation of our named executive officers (NEOs) should be held every year. Our Board believes that an annual advisory vote is consistent with our policy of regularly reviewing our compensation practices and aligning the interests of our executives with those of our stockholders and the Company’s short and long-term performance goals.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frequency choice that receives the highest number of votes cast will be considered to be the preferred frequency of our stockholders with which we are to hold future non-binding stockholder advisory “say-on-pay” votes on the compensation of our NEOs.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will take into consideration the outcome of this vote in determining the frequency of future non-binding, advisory votes on the compensation of our NEOs. As an advisory vote, the results of this vote will not be binding on the Board of Directors or the Company. Our Board of Directors may decide that it is in our best interests and those of our stockholders to hold the advisory vote to approve the compensation of our NEOs more or less frequently.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proxy card gives you four choices for voting on this item. You can choose whether the say-on-pay vote should be conducted EVERY ONE (1) YEAR, EVERY TWO (2) YEARS or EVERY THREE (3) YEARS. You may also abstain from voting on this item. You are not voting to approve or disapprove the Board’s recommendation on this item. </w:t>
      </w:r>
    </w:p>
    <w:p>
      <w:pPr>
        <w:pStyle w:val="TextBody"/>
        <w:spacing w:lineRule="atLeast" w:line="240" w:before="160" w:after="283"/>
        <w:ind w:left="1393" w:right="0" w:firstLine="400"/>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Board of Directors recommends a vote for “EVERY ONE (1) YEAR” for the frequency with which the say-on-pay vote should be conducted.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4 </w:t>
        <w:br/>
        <w:t>RATIFICATION OF 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of the Board of Directors has selected KPMG LLP as our independent registered public accounting firm (IRPA Firm) for the fiscal year ending December 31, 2023. The IRPA Firm has served as our independent auditors since October 2015. The IRPA Firm is considered by management to be well qualified.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Appointment of the IRPA Firm is not required to be submitted to a vote of our stockholders for ratification. However, the Board of Directors has determined that the matter should be presented to the stockholders as a matter of good corporate practice. If the stockholders fail to ratify the appointment, the Audit Committee will reconsider whether to retain the IRPA Firm and may retain that firm or another without resubmitting the matter to our stockholders. Even if the appointment is ratified, the Audit Committee may, in its discretion, direct the appointment of a different IRPA Firm at any time during the year if it determines that such a change would be in the Company’s best interests and the best interests of the stockholders.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representative from the IRPA Firm is expected to attend the Annual Meeting of Stockholders and will have the opportunity to respond to appropriate questions of stockholders.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 thousands, the aggregate billed fees and fees expected to be billed for services rendered to us by KPMG LLP through March 31, 2023 as described below ($ in thousands): </w:t>
      </w:r>
    </w:p>
    <w:tbl>
      <w:tblPr>
        <w:tblW w:w="4916" w:type="dxa"/>
        <w:jc w:val="left"/>
        <w:tblInd w:w="1393" w:type="dxa"/>
        <w:tblCellMar>
          <w:top w:w="0" w:type="dxa"/>
          <w:left w:w="0" w:type="dxa"/>
          <w:bottom w:w="28" w:type="dxa"/>
          <w:right w:w="0" w:type="dxa"/>
        </w:tblCellMar>
      </w:tblPr>
      <w:tblGrid>
        <w:gridCol w:w="1921"/>
        <w:gridCol w:w="109"/>
        <w:gridCol w:w="109"/>
        <w:gridCol w:w="109"/>
        <w:gridCol w:w="226"/>
        <w:gridCol w:w="646"/>
        <w:gridCol w:w="109"/>
        <w:gridCol w:w="109"/>
        <w:gridCol w:w="109"/>
        <w:gridCol w:w="109"/>
        <w:gridCol w:w="226"/>
        <w:gridCol w:w="871"/>
        <w:gridCol w:w="109"/>
        <w:gridCol w:w="154"/>
      </w:tblGrid>
      <w:tr>
        <w:trPr/>
        <w:tc>
          <w:tcPr>
            <w:tcW w:w="1921"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0"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15" w:type="dxa"/>
            <w:gridSpan w:val="4"/>
            <w:tcBorders>
              <w:bottom w:val="single" w:sz="2" w:space="0" w:color="000000"/>
            </w:tcBorders>
            <w:shd w:fill="auto" w:val="clear"/>
            <w:tcMar>
              <w:bottom w:w="50" w:type="dxa"/>
            </w:tcMar>
            <w:vAlign w:val="center"/>
          </w:tcPr>
          <w:p>
            <w:pPr>
              <w:pStyle w:val="TableContents"/>
              <w:spacing w:lineRule="atLeast" w:line="141" w:before="0" w:after="0"/>
              <w:jc w:val="center"/>
              <w:rPr/>
            </w:pPr>
            <w:r>
              <w:rPr>
                <w:spacing w:val="-3"/>
              </w:rPr>
              <w:t>2021</w:t>
            </w:r>
            <w:r>
              <w:rPr>
                <w:spacing w:val="-2"/>
                <w:sz w:val="10"/>
              </w:rPr>
              <w:t>(1)</w:t>
            </w:r>
            <w:r>
              <w:rPr/>
              <w:t xml:space="preserve">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921" w:type="dxa"/>
            <w:tcBorders/>
            <w:shd w:fill="CCEEFF" w:val="clear"/>
            <w:tcMar>
              <w:bottom w:w="0" w:type="dxa"/>
            </w:tcMar>
            <w:vAlign w:val="center"/>
          </w:tcPr>
          <w:p>
            <w:pPr>
              <w:pStyle w:val="TableContents"/>
              <w:spacing w:before="0" w:after="0"/>
              <w:jc w:val="left"/>
              <w:rPr>
                <w:spacing w:val="4"/>
              </w:rPr>
            </w:pPr>
            <w:r>
              <w:rPr>
                <w:spacing w:val="4"/>
              </w:rPr>
              <w:t xml:space="preserve">Audit fees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2,335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71" w:type="dxa"/>
            <w:tcBorders/>
            <w:shd w:fill="CCEEFF" w:val="clear"/>
            <w:tcMar>
              <w:bottom w:w="0" w:type="dxa"/>
            </w:tcMar>
            <w:vAlign w:val="center"/>
          </w:tcPr>
          <w:p>
            <w:pPr>
              <w:pStyle w:val="TableContents"/>
              <w:spacing w:before="0" w:after="283"/>
              <w:jc w:val="right"/>
              <w:rPr/>
            </w:pPr>
            <w:r>
              <w:rPr/>
              <w:t>2,925</w:t>
            </w:r>
            <w:r>
              <w:rPr>
                <w:sz w:val="13"/>
              </w:rPr>
              <w:t>(2)</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921" w:type="dxa"/>
            <w:tcBorders/>
            <w:shd w:fill="auto" w:val="clear"/>
            <w:tcMar>
              <w:bottom w:w="0" w:type="dxa"/>
            </w:tcMar>
            <w:vAlign w:val="center"/>
          </w:tcPr>
          <w:p>
            <w:pPr>
              <w:pStyle w:val="TableContents"/>
              <w:spacing w:before="0" w:after="0"/>
              <w:jc w:val="left"/>
              <w:rPr>
                <w:spacing w:val="4"/>
              </w:rPr>
            </w:pPr>
            <w:r>
              <w:rPr>
                <w:spacing w:val="4"/>
              </w:rPr>
              <w:t xml:space="preserve">Audit-related fees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7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921" w:type="dxa"/>
            <w:tcBorders/>
            <w:shd w:fill="CCEEFF" w:val="clear"/>
            <w:tcMar>
              <w:bottom w:w="0" w:type="dxa"/>
            </w:tcMar>
            <w:vAlign w:val="center"/>
          </w:tcPr>
          <w:p>
            <w:pPr>
              <w:pStyle w:val="TableContents"/>
              <w:spacing w:before="0" w:after="0"/>
              <w:jc w:val="left"/>
              <w:rPr>
                <w:spacing w:val="4"/>
              </w:rPr>
            </w:pPr>
            <w:r>
              <w:rPr>
                <w:spacing w:val="4"/>
              </w:rPr>
              <w:t xml:space="preserve">Tax fees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7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921" w:type="dxa"/>
            <w:tcBorders/>
            <w:shd w:fill="auto" w:val="clear"/>
            <w:tcMar>
              <w:bottom w:w="0" w:type="dxa"/>
            </w:tcMar>
            <w:vAlign w:val="center"/>
          </w:tcPr>
          <w:p>
            <w:pPr>
              <w:pStyle w:val="TableContents"/>
              <w:spacing w:before="0" w:after="0"/>
              <w:jc w:val="left"/>
              <w:rPr>
                <w:spacing w:val="4"/>
              </w:rPr>
            </w:pPr>
            <w:r>
              <w:rPr>
                <w:spacing w:val="4"/>
              </w:rPr>
              <w:t xml:space="preserve">All other fees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7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921" w:type="dxa"/>
            <w:tcBorders/>
            <w:shd w:fill="CCEEFF" w:val="clear"/>
            <w:tcMar>
              <w:bottom w:w="0" w:type="dxa"/>
            </w:tcMar>
            <w:vAlign w:val="center"/>
          </w:tcPr>
          <w:p>
            <w:pPr>
              <w:pStyle w:val="TableContents"/>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2,335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71" w:type="dxa"/>
            <w:tcBorders/>
            <w:shd w:fill="CCEEFF" w:val="clear"/>
            <w:tcMar>
              <w:bottom w:w="0" w:type="dxa"/>
            </w:tcMar>
            <w:vAlign w:val="center"/>
          </w:tcPr>
          <w:p>
            <w:pPr>
              <w:pStyle w:val="TableContents"/>
              <w:spacing w:before="0" w:after="283"/>
              <w:jc w:val="right"/>
              <w:rPr/>
            </w:pPr>
            <w:r>
              <w:rPr/>
              <w:t>2,925</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 shown is the aggregate billed fees and may differ from previously disclosed amounts that included both amounts billed and expected to be billed. </w:t>
      </w:r>
      <w:r>
        <mc:AlternateContent>
          <mc:Choice Requires="wps">
            <w:drawing>
              <wp:anchor behindDoc="0" distT="100330" distB="0" distL="0" distR="0" simplePos="0" locked="0" layoutInCell="1" allowOverlap="1" relativeHeight="175">
                <wp:simplePos x="0" y="0"/>
                <wp:positionH relativeFrom="column">
                  <wp:align>left</wp:align>
                </wp:positionH>
                <wp:positionV relativeFrom="line">
                  <wp:align>top</wp:align>
                </wp:positionV>
                <wp:extent cx="254000" cy="350520"/>
                <wp:effectExtent l="0" t="0" r="0" b="0"/>
                <wp:wrapSquare wrapText="largest"/>
                <wp:docPr id="172" name="Frame16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 includes $1.2 million of Audit Fees associated with the acquisition of Adamas Pharmaceuticals, Inc. and the 2021 ransomware attack. </w:t>
      </w:r>
      <w:r>
        <mc:AlternateContent>
          <mc:Choice Requires="wps">
            <w:drawing>
              <wp:anchor behindDoc="0" distT="49530" distB="0" distL="0" distR="0" simplePos="0" locked="0" layoutInCell="1" allowOverlap="1" relativeHeight="176">
                <wp:simplePos x="0" y="0"/>
                <wp:positionH relativeFrom="column">
                  <wp:align>left</wp:align>
                </wp:positionH>
                <wp:positionV relativeFrom="line">
                  <wp:align>top</wp:align>
                </wp:positionV>
                <wp:extent cx="254000" cy="350520"/>
                <wp:effectExtent l="0" t="0" r="0" b="0"/>
                <wp:wrapSquare wrapText="largest"/>
                <wp:docPr id="173" name="Frame16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Audit Fees:</w:t>
      </w:r>
      <w:r>
        <w:rPr>
          <w:rFonts w:ascii="Times New Roman;Times;serif" w:hAnsi="Times New Roman;Times;serif"/>
          <w:b w:val="false"/>
          <w:i w:val="false"/>
          <w:caps w:val="false"/>
          <w:smallCaps w:val="false"/>
          <w:color w:val="000000"/>
          <w:spacing w:val="4"/>
          <w:sz w:val="20"/>
        </w:rPr>
        <w:t xml:space="preserve">   These amounts include fees for professional services rendered for the audit of the Company’s annual financial statements, review of the Company’s financial statements included in the Company’s quarterly reports, audit of the Company’s internal control over financial reporting, audit services with respect to acquired entities, review of documents filed with the SEC, consents and certain accounting consultations in connection with the audits.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Audit-Related Fees:</w:t>
      </w:r>
      <w:r>
        <w:rPr>
          <w:rFonts w:ascii="Times New Roman;Times;serif" w:hAnsi="Times New Roman;Times;serif"/>
          <w:b w:val="false"/>
          <w:i w:val="false"/>
          <w:caps w:val="false"/>
          <w:smallCaps w:val="false"/>
          <w:color w:val="000000"/>
          <w:spacing w:val="4"/>
          <w:sz w:val="20"/>
        </w:rPr>
        <w:t xml:space="preserve">   Audit-related fees are for assurance and related services that are reasonably related to the performance of the audit or review of the Company’s consolidated financial statements and are not reported under “Audit Fees.” These fees include professional services incurred in connection with accounting consultations and consultation regarding financial accounting and reporting standards.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Tax Fees:</w:t>
      </w:r>
      <w:r>
        <w:rPr>
          <w:rFonts w:ascii="Times New Roman;Times;serif" w:hAnsi="Times New Roman;Times;serif"/>
          <w:b w:val="false"/>
          <w:i w:val="false"/>
          <w:caps w:val="false"/>
          <w:smallCaps w:val="false"/>
          <w:color w:val="000000"/>
          <w:spacing w:val="4"/>
          <w:sz w:val="20"/>
        </w:rPr>
        <w:t xml:space="preserve">   Tax fees consist primarily of professional services for corporate tax compliance, including the preparation of tax returns and consultation services.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has reviewed the IRPA Firm’s provision of services and has determined that these services are compatible with maintaining the auditor’s independence. The IRPA Firm did not provide any non-audit services for us in 2022 or 2021.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audit services provided by KPMG LLP described above were approved by the Audit Committee pursuant to the SEC rule that requires audit committee pre-approval of audit and non-audit services provided by Supernus’ independent auditors. On an ongoing basis, management will communicate specific projects and categories of services for which advance approval of the Audit Committee is required.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048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will review these requests and advise management and the independent auditors if the Audit Committee pre-approves the engagement of the independent auditors for such projects and services. On a periodic basis, the independent auditors will report to the Audit Committee the actual spending for such projects and services compared to the approved amounts. The Audit Committee may delegate the ability to pre-approve audit and permitted non-audit services to a sub-committee of the Audit Committee, provided that any such pre-approvals are reported at the next Audit Committee meeting. </w:t>
      </w:r>
    </w:p>
    <w:p>
      <w:pPr>
        <w:pStyle w:val="TextBody"/>
        <w:spacing w:lineRule="atLeast" w:line="240" w:before="160" w:after="283"/>
        <w:ind w:left="1393" w:right="0" w:firstLine="400"/>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Board of Directors recommends a vote “FOR” the ratification of the selection of KPMG LLP as our independent public accounting firm for the year ending December 31, 2023.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3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DELINQUENT SECTION 16(a) REPORTS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16(a) of the Securities Exchange Act of 1934, as amended, requires our executive officers and directors, and persons who own more than 10 percent of a registered class of Supernus’ equity securities, to file reports of ownership and changes in ownership with the SEC. Executive officers, directors and greater than 10 percent stockholders are required by SEC regulations to furnish us with copies of all Section 16(a) forms they file.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solely on our review of Forms 3 and 4 and amendments thereto furnished to us during the 2022 fiscal year, including Forms 5 and amendments thereto furnished to us, and on written representations from the Company’s directors and executive officers, we believe that all such forms were timely filed in 2022 other than as disclosed herein. Two of Mr. Khattar’s Forms 4 were filed after of the applicable deadline, these filings reported the settlement and vesting of PSU awards and the transfer of shares that were previously held indirectly to being held directly. In the second instance, the Form 4 was filed on the same date that Mr. Khattar was first notified of the completed transfer by the transfer agent. One of Mr. Bhatt’s Forms 4 was filed after the applicable deadline, this filing reported the settlement of a PSU award.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PROPOSALS FOR NEXT YEAR’S ANNUAL MEETING</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intending to submit proposals (other than a director nomination) to be included in our proxy statement for the Annual Meeting of Stockholders to be held in 2023 must send their proposals to the Secretary of Supernus at 9715 Key West Avenue, Rockville, Maryland 20850 no later than January 2, 2024. Such proposals must relate to matters appropriate for stockholder action and be consistent with the SEC’s rules and regulations regarding the inclusion of stockholder proposals in our proxy materials set forth in Rule 14a-8. With respect to director nominations, stockholders should refer to the Corporate Governance section of this Proxy Statement.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intending to present proposals at our 2024 Annual Meeting, and not intending to have such proposals included in our 2024 proxy statement, must send their written proposal to the Secretary of Supernus at 9715 Key West Avenue, Rockville, Maryland 20850 no earlier than February 17, 2024 and no later than March 18, 2024, and such written proposal must be in accordance with the requirements set forth in our Amended and Restated Bylaws. If notification of a stockholder proposal is not received by the above date, we may vote, in our discretion. any and all of the proxies received in that solicitation.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REPORT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Annual Report to Stockholders (which includes our consolidated financial statements for the year ended December 31, 2022) accompanies this Proxy Statement. The Annual Report to Stockholders does not constitute a part of the proxy solicitation materials.</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before="240" w:after="283"/>
        <w:ind w:left="0" w:right="0" w:hanging="0"/>
        <w:jc w:val="center"/>
        <w:rPr>
          <w:caps w:val="false"/>
          <w:smallCaps w:val="false"/>
          <w:color w:val="000000"/>
        </w:rPr>
      </w:pPr>
      <w:r>
        <w:rPr>
          <w:caps w:val="false"/>
          <w:smallCaps w:val="false"/>
          <w:color w:val="000000"/>
        </w:rPr>
        <w:drawing>
          <wp:inline distT="0" distB="0" distL="0" distR="0">
            <wp:extent cx="6991350" cy="9048750"/>
            <wp:effectExtent l="0" t="0" r="0" b="0"/>
            <wp:docPr id="17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6" descr=""/>
                    <pic:cNvPicPr>
                      <a:picLocks noChangeAspect="1" noChangeArrowheads="1"/>
                    </pic:cNvPicPr>
                  </pic:nvPicPr>
                  <pic:blipFill>
                    <a:blip r:embed="rId7"/>
                    <a:stretch>
                      <a:fillRect/>
                    </a:stretch>
                  </pic:blipFill>
                  <pic:spPr bwMode="auto">
                    <a:xfrm>
                      <a:off x="0" y="0"/>
                      <a:ext cx="6991350" cy="9048750"/>
                    </a:xfrm>
                    <a:prstGeom prst="rect">
                      <a:avLst/>
                    </a:prstGeom>
                  </pic:spPr>
                </pic:pic>
              </a:graphicData>
            </a:graphic>
          </wp:inline>
        </w:drawing>
      </w:r>
      <w:r>
        <w:rPr>
          <w:caps w:val="false"/>
          <w:smallCaps w:val="false"/>
          <w:color w:val="000000"/>
        </w:rPr>
        <w:t xml:space="preserve"> </w:t>
      </w:r>
    </w:p>
    <w:p>
      <w:pPr>
        <w:pStyle w:val="TextBody"/>
        <w:spacing w:lineRule="atLeast" w:line="141" w:before="100" w:after="283"/>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MMMMMMMMMMMMSupernus Pharmaceuticals, Inc.Using a black ink pen, mark your votes with an X as shown in this example. Please do not write outside the designated areas.q IF VOTING BY MAIL, SIGN, DETACH AND RETURN THE BOTTOM PORTION IN THE ENCLOSED ENVELOPE. q1.to elect two (2) directors to hold office for the ensuing three years and until their successors have been duly elected and qualified:ForWithholdForWithhold01 - Frederick M. Hudson02 - Charles W. Newhall, III 2.to approve, on a non-binding basis, the compensation paid to our named executive officers; ForAgainst Abstain 3.to approve, on a non-binding basis, the frequency of future advisory votes on executive compensation; 1Year 2Years 3 Years Abstain 4.to ratify the appointment of KPMG LLP as our independent registered public accounting firm for the fiscal year ending December 31, 2023; and ForAgainst Abstain 5.to transact such other business as may properly come before the Annual Meeting or any adjournment or adjournments thereof. Please sign exactly as name(s) appears hereon. Joint owners should each sign. When signing as attorney, executor, administrator, corporate officer, trustee, guardian, or custodian, please give full title.Date (mm/dd/yyyy) — Please print date below.Signature 1 — Please keep signature within the box.Signature 2 — Please keep signature within the box. 03TCZB</w:t>
      </w:r>
      <w:r>
        <w:rPr>
          <w:rFonts w:ascii="Times New Roman;Times;serif" w:hAnsi="Times New Roman;Times;serif"/>
          <w:b w:val="false"/>
          <w:i w:val="false"/>
          <w:caps w:val="false"/>
          <w:smallCaps w:val="false"/>
          <w:color w:val="000000"/>
          <w:spacing w:val="0"/>
          <w:sz w:val="2"/>
        </w:rPr>
        <w:t xml:space="preserve"> </w:t>
      </w:r>
    </w:p>
    <w:p>
      <w:pPr>
        <w:pStyle w:val="HorizontalLine"/>
        <w:rPr/>
      </w:pPr>
      <w:r>
        <w:rPr/>
      </w:r>
    </w:p>
    <w:p>
      <w:pPr>
        <w:pStyle w:val="TextBody"/>
        <w:spacing w:lineRule="atLeast" w:line="160" w:before="0" w:after="0"/>
        <w:ind w:left="0" w:right="0" w:hanging="0"/>
        <w:rPr>
          <w:caps w:val="false"/>
          <w:smallCaps w:val="false"/>
          <w:color w:val="000000"/>
        </w:rPr>
      </w:pPr>
      <w:r>
        <w:rPr>
          <w:caps w:val="false"/>
          <w:smallCaps w:val="false"/>
          <w:color w:val="000000"/>
        </w:rPr>
        <w:t>​</w:t>
      </w:r>
    </w:p>
    <w:p>
      <w:pPr>
        <w:pStyle w:val="TextBody"/>
        <w:spacing w:before="160" w:after="283"/>
        <w:ind w:left="0" w:right="0" w:hanging="0"/>
        <w:jc w:val="center"/>
        <w:rPr>
          <w:caps w:val="false"/>
          <w:smallCaps w:val="false"/>
          <w:color w:val="000000"/>
        </w:rPr>
      </w:pPr>
      <w:r>
        <w:rPr>
          <w:caps w:val="false"/>
          <w:smallCaps w:val="false"/>
          <w:color w:val="000000"/>
        </w:rPr>
        <w:drawing>
          <wp:inline distT="0" distB="0" distL="0" distR="0">
            <wp:extent cx="6991350" cy="9048750"/>
            <wp:effectExtent l="0" t="0" r="0" b="0"/>
            <wp:docPr id="17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7" descr=""/>
                    <pic:cNvPicPr>
                      <a:picLocks noChangeAspect="1" noChangeArrowheads="1"/>
                    </pic:cNvPicPr>
                  </pic:nvPicPr>
                  <pic:blipFill>
                    <a:blip r:embed="rId8"/>
                    <a:stretch>
                      <a:fillRect/>
                    </a:stretch>
                  </pic:blipFill>
                  <pic:spPr bwMode="auto">
                    <a:xfrm>
                      <a:off x="0" y="0"/>
                      <a:ext cx="6991350" cy="9048750"/>
                    </a:xfrm>
                    <a:prstGeom prst="rect">
                      <a:avLst/>
                    </a:prstGeom>
                  </pic:spPr>
                </pic:pic>
              </a:graphicData>
            </a:graphic>
          </wp:inline>
        </w:drawing>
      </w:r>
      <w:r>
        <w:rPr>
          <w:caps w:val="false"/>
          <w:smallCaps w:val="false"/>
          <w:color w:val="000000"/>
        </w:rPr>
        <w:t xml:space="preserve"> </w:t>
      </w:r>
    </w:p>
    <w:p>
      <w:pPr>
        <w:pStyle w:val="TextBody"/>
        <w:spacing w:lineRule="atLeast" w:line="141" w:before="100" w:after="283"/>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Important notice regarding the Internet availability of proxy materials for the Annual Meeting of Stockholders.qIF VOTING BY MAIL, SIGN, DETACH AND RETURN THE BOTTOM PORTION IN THE ENCLOSED ENVELOPE. The proxy statement and annual report are available at: www.edocumentview.com/SUPN qProxy - Supernus Pharmaceuticals, Inc. Notice of 2023 Annual Meeting of StockholdersSupernus Pharmaceuticals, Inc.9715 Key West Avenue, Rockville, MD 20850Proxy Solicited on behalf of the Board of Directors for Annual Meeting on June 16, 2023Jack A. Khattar and Timothy C. Dec or either of them, each with the power of substitution, are hereby authorized as Proxies to represent and vote the sharesof the undersigned, with all the powers which the undersigned would possess if personally present, at the Annual Meeting of Stockholders ofSupernus Pharmaceuticals, Inc. to be held on June 16, 2023 or at any postponement or adjournment thereof.Shares represented by this proxy will be voted as directed herein by the stockholder. If no such directions are indicated, the Proxies will have authority tovote FOR all the nominees listed, FOR Proposals 2 and 4, and EVERY ONE (1) YEAR for Proposal 3.In their discretion, the Proxies are authorized to vote upon such other business as may properly come before the meeting.(Items to be voted appear on reverse side.)</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25350</Words>
  <CharactersWithSpaces>169067</CharactersWithSpaces>
  <Paragraphs>6444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