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6" w:lineRule="exact"/>
        <w:rPr>
          <w:sz w:val="24"/>
          <w:szCs w:val="24"/>
          <w:color w:val="auto"/>
        </w:rPr>
      </w:pPr>
    </w:p>
    <w:p>
      <w:pPr>
        <w:ind w:left="360" w:right="740" w:hanging="334"/>
        <w:spacing w:after="0" w:line="238" w:lineRule="auto"/>
        <w:tabs>
          <w:tab w:leader="none" w:pos="3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560" w:right="520" w:hanging="338"/>
        <w:spacing w:after="0" w:line="238" w:lineRule="auto"/>
        <w:tabs>
          <w:tab w:leader="none" w:pos="5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5" w:lineRule="exact"/>
        <w:rPr>
          <w:sz w:val="24"/>
          <w:szCs w:val="24"/>
          <w:color w:val="auto"/>
        </w:rPr>
      </w:pPr>
    </w:p>
    <w:p>
      <w:pPr>
        <w:ind w:left="3680"/>
        <w:spacing w:after="0"/>
        <w:tabs>
          <w:tab w:leader="none" w:pos="67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001-35518</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SUPERNUS PHARMACEUTICALS,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0" w:lineRule="exact"/>
        <w:rPr>
          <w:sz w:val="24"/>
          <w:szCs w:val="24"/>
          <w:color w:val="auto"/>
        </w:rPr>
      </w:pPr>
    </w:p>
    <w:p>
      <w:pPr>
        <w:ind w:left="1700"/>
        <w:spacing w:after="0"/>
        <w:tabs>
          <w:tab w:leader="none" w:pos="8740" w:val="left"/>
        </w:tabs>
        <w:rPr>
          <w:sz w:val="20"/>
          <w:szCs w:val="20"/>
          <w:color w:val="auto"/>
        </w:rPr>
      </w:pPr>
      <w:r>
        <w:rPr>
          <w:rFonts w:ascii="Times New Roman" w:cs="Times New Roman" w:eastAsia="Times New Roman" w:hAnsi="Times New Roman"/>
          <w:sz w:val="17"/>
          <w:szCs w:val="17"/>
          <w:b w:val="1"/>
          <w:bCs w:val="1"/>
          <w:color w:val="auto"/>
        </w:rPr>
        <w:t>Delaware</w:t>
      </w:r>
      <w:r>
        <w:rPr>
          <w:sz w:val="20"/>
          <w:szCs w:val="20"/>
          <w:color w:val="auto"/>
        </w:rPr>
        <w:tab/>
      </w:r>
      <w:r>
        <w:rPr>
          <w:rFonts w:ascii="Times New Roman" w:cs="Times New Roman" w:eastAsia="Times New Roman" w:hAnsi="Times New Roman"/>
          <w:sz w:val="17"/>
          <w:szCs w:val="17"/>
          <w:b w:val="1"/>
          <w:bCs w:val="1"/>
          <w:color w:val="auto"/>
        </w:rPr>
        <w:t>20-2590184</w:t>
      </w:r>
    </w:p>
    <w:p>
      <w:pPr>
        <w:spacing w:after="0" w:line="23" w:lineRule="exact"/>
        <w:rPr>
          <w:sz w:val="24"/>
          <w:szCs w:val="24"/>
          <w:color w:val="auto"/>
        </w:rPr>
      </w:pPr>
    </w:p>
    <w:p>
      <w:pPr>
        <w:ind w:left="1060"/>
        <w:spacing w:after="0"/>
        <w:tabs>
          <w:tab w:leader="none" w:pos="8580" w:val="left"/>
        </w:tabs>
        <w:rPr>
          <w:sz w:val="20"/>
          <w:szCs w:val="20"/>
          <w:color w:val="auto"/>
        </w:rPr>
      </w:pPr>
      <w:r>
        <w:rPr>
          <w:rFonts w:ascii="Times New Roman" w:cs="Times New Roman" w:eastAsia="Times New Roman" w:hAnsi="Times New Roman"/>
          <w:sz w:val="17"/>
          <w:szCs w:val="17"/>
          <w:color w:val="auto"/>
        </w:rPr>
        <w:t>(State or other jurisdiction of</w:t>
      </w:r>
      <w:r>
        <w:rPr>
          <w:sz w:val="20"/>
          <w:szCs w:val="20"/>
          <w:color w:val="auto"/>
        </w:rPr>
        <w:tab/>
      </w:r>
      <w:r>
        <w:rPr>
          <w:rFonts w:ascii="Times New Roman" w:cs="Times New Roman" w:eastAsia="Times New Roman" w:hAnsi="Times New Roman"/>
          <w:sz w:val="16"/>
          <w:szCs w:val="16"/>
          <w:color w:val="auto"/>
        </w:rPr>
        <w:t>(I.R.S. Employer</w:t>
      </w:r>
    </w:p>
    <w:p>
      <w:pPr>
        <w:ind w:left="1020"/>
        <w:spacing w:after="0"/>
        <w:tabs>
          <w:tab w:leader="none" w:pos="8520" w:val="left"/>
        </w:tabs>
        <w:rPr>
          <w:sz w:val="20"/>
          <w:szCs w:val="20"/>
          <w:color w:val="auto"/>
        </w:rPr>
      </w:pPr>
      <w:r>
        <w:rPr>
          <w:rFonts w:ascii="Times New Roman" w:cs="Times New Roman" w:eastAsia="Times New Roman" w:hAnsi="Times New Roman"/>
          <w:sz w:val="17"/>
          <w:szCs w:val="17"/>
          <w:color w:val="auto"/>
        </w:rPr>
        <w:t>incorporation or organization)</w:t>
      </w:r>
      <w:r>
        <w:rPr>
          <w:sz w:val="20"/>
          <w:szCs w:val="20"/>
          <w:color w:val="auto"/>
        </w:rPr>
        <w:tab/>
      </w:r>
      <w:r>
        <w:rPr>
          <w:rFonts w:ascii="Times New Roman" w:cs="Times New Roman" w:eastAsia="Times New Roman" w:hAnsi="Times New Roman"/>
          <w:sz w:val="17"/>
          <w:szCs w:val="17"/>
          <w:color w:val="auto"/>
        </w:rPr>
        <w:t>Identification No.)</w:t>
      </w:r>
    </w:p>
    <w:p>
      <w:pPr>
        <w:spacing w:after="0" w:line="66" w:lineRule="exact"/>
        <w:rPr>
          <w:sz w:val="24"/>
          <w:szCs w:val="24"/>
          <w:color w:val="auto"/>
        </w:rPr>
      </w:pPr>
    </w:p>
    <w:p>
      <w:pPr>
        <w:ind w:left="1220"/>
        <w:spacing w:after="0"/>
        <w:tabs>
          <w:tab w:leader="none" w:pos="4440" w:val="left"/>
          <w:tab w:leader="none" w:pos="6220" w:val="left"/>
          <w:tab w:leader="none" w:pos="8940" w:val="left"/>
        </w:tabs>
        <w:rPr>
          <w:sz w:val="20"/>
          <w:szCs w:val="20"/>
          <w:color w:val="auto"/>
        </w:rPr>
      </w:pPr>
      <w:r>
        <w:rPr>
          <w:rFonts w:ascii="Times New Roman" w:cs="Times New Roman" w:eastAsia="Times New Roman" w:hAnsi="Times New Roman"/>
          <w:sz w:val="17"/>
          <w:szCs w:val="17"/>
          <w:b w:val="1"/>
          <w:bCs w:val="1"/>
          <w:color w:val="auto"/>
        </w:rPr>
        <w:t>9715 Key West Avenue</w:t>
      </w:r>
      <w:r>
        <w:rPr>
          <w:sz w:val="20"/>
          <w:szCs w:val="20"/>
          <w:color w:val="auto"/>
        </w:rPr>
        <w:tab/>
      </w:r>
      <w:r>
        <w:rPr>
          <w:rFonts w:ascii="Times New Roman" w:cs="Times New Roman" w:eastAsia="Times New Roman" w:hAnsi="Times New Roman"/>
          <w:sz w:val="17"/>
          <w:szCs w:val="17"/>
          <w:b w:val="1"/>
          <w:bCs w:val="1"/>
          <w:color w:val="auto"/>
        </w:rPr>
        <w:t>Rockville</w:t>
      </w:r>
      <w:r>
        <w:rPr>
          <w:sz w:val="20"/>
          <w:szCs w:val="20"/>
          <w:color w:val="auto"/>
        </w:rPr>
        <w:tab/>
      </w:r>
      <w:r>
        <w:rPr>
          <w:rFonts w:ascii="Times New Roman" w:cs="Times New Roman" w:eastAsia="Times New Roman" w:hAnsi="Times New Roman"/>
          <w:sz w:val="17"/>
          <w:szCs w:val="17"/>
          <w:b w:val="1"/>
          <w:bCs w:val="1"/>
          <w:color w:val="auto"/>
        </w:rPr>
        <w:t>MD</w:t>
      </w:r>
      <w:r>
        <w:rPr>
          <w:sz w:val="20"/>
          <w:szCs w:val="20"/>
          <w:color w:val="auto"/>
        </w:rPr>
        <w:tab/>
      </w:r>
      <w:r>
        <w:rPr>
          <w:rFonts w:ascii="Times New Roman" w:cs="Times New Roman" w:eastAsia="Times New Roman" w:hAnsi="Times New Roman"/>
          <w:sz w:val="16"/>
          <w:szCs w:val="16"/>
          <w:b w:val="1"/>
          <w:bCs w:val="1"/>
          <w:color w:val="auto"/>
        </w:rPr>
        <w:t>20850</w:t>
      </w:r>
    </w:p>
    <w:p>
      <w:pPr>
        <w:spacing w:after="0" w:line="38" w:lineRule="exact"/>
        <w:rPr>
          <w:sz w:val="24"/>
          <w:szCs w:val="24"/>
          <w:color w:val="auto"/>
        </w:rPr>
      </w:pPr>
    </w:p>
    <w:p>
      <w:pPr>
        <w:ind w:left="700"/>
        <w:spacing w:after="0"/>
        <w:tabs>
          <w:tab w:leader="none" w:pos="8780" w:val="left"/>
        </w:tabs>
        <w:rPr>
          <w:sz w:val="20"/>
          <w:szCs w:val="20"/>
          <w:color w:val="auto"/>
        </w:rPr>
      </w:pPr>
      <w:r>
        <w:rPr>
          <w:rFonts w:ascii="Times New Roman" w:cs="Times New Roman" w:eastAsia="Times New Roman" w:hAnsi="Times New Roman"/>
          <w:sz w:val="17"/>
          <w:szCs w:val="17"/>
          <w:color w:val="auto"/>
        </w:rPr>
        <w:t>(Address of principal executive offices)</w:t>
      </w:r>
      <w:r>
        <w:rPr>
          <w:sz w:val="20"/>
          <w:szCs w:val="20"/>
          <w:color w:val="auto"/>
        </w:rPr>
        <w:tab/>
      </w:r>
      <w:r>
        <w:rPr>
          <w:rFonts w:ascii="Times New Roman" w:cs="Times New Roman" w:eastAsia="Times New Roman" w:hAnsi="Times New Roman"/>
          <w:sz w:val="17"/>
          <w:szCs w:val="17"/>
          <w:color w:val="auto"/>
        </w:rPr>
        <w:t>(Zip Code)</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(301) 838-2500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45" w:lineRule="exact"/>
        <w:rPr>
          <w:sz w:val="24"/>
          <w:szCs w:val="24"/>
          <w:color w:val="auto"/>
        </w:rPr>
      </w:pPr>
    </w:p>
    <w:p>
      <w:pPr>
        <w:ind w:right="6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49" w:lineRule="exact"/>
        <w:rPr>
          <w:sz w:val="24"/>
          <w:szCs w:val="24"/>
          <w:color w:val="auto"/>
        </w:rPr>
      </w:pPr>
    </w:p>
    <w:p>
      <w:pPr>
        <w:ind w:right="40" w:firstLine="324"/>
        <w:spacing w:after="0" w:line="298"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No </w:t>
      </w:r>
      <w:r>
        <w:rPr>
          <w:rFonts w:ascii="MS PGothic" w:cs="MS PGothic" w:eastAsia="MS PGothic" w:hAnsi="MS PGothic"/>
          <w:sz w:val="18"/>
          <w:szCs w:val="18"/>
          <w:color w:val="auto"/>
        </w:rPr>
        <w:t>☐</w:t>
      </w:r>
    </w:p>
    <w:p>
      <w:pPr>
        <w:spacing w:after="0" w:line="131" w:lineRule="exact"/>
        <w:rPr>
          <w:sz w:val="24"/>
          <w:szCs w:val="24"/>
          <w:color w:val="auto"/>
        </w:rPr>
      </w:pPr>
    </w:p>
    <w:p>
      <w:pPr>
        <w:ind w:right="200" w:firstLine="324"/>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500" w:type="dxa"/>
        <w:tblCellMar>
          <w:top w:w="0" w:type="dxa"/>
          <w:left w:w="0" w:type="dxa"/>
          <w:bottom w:w="0" w:type="dxa"/>
          <w:right w:w="0" w:type="dxa"/>
        </w:tblCellMar>
      </w:tblPr>
      <w:tr>
        <w:trPr>
          <w:trHeight w:val="265"/>
        </w:trPr>
        <w:tc>
          <w:tcPr>
            <w:tcW w:w="20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Large accelerated filer</w:t>
            </w:r>
          </w:p>
        </w:tc>
        <w:tc>
          <w:tcPr>
            <w:tcW w:w="12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Non-accelerated filer</w:t>
            </w:r>
          </w:p>
        </w:tc>
        <w:tc>
          <w:tcPr>
            <w:tcW w:w="12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Smaller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5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43" w:lineRule="exact"/>
        <w:rPr>
          <w:sz w:val="24"/>
          <w:szCs w:val="24"/>
          <w:color w:val="auto"/>
        </w:rPr>
      </w:pPr>
    </w:p>
    <w:p>
      <w:pPr>
        <w:ind w:right="180" w:firstLine="324"/>
        <w:spacing w:after="0" w:line="273"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 w:lineRule="exact"/>
        <w:rPr>
          <w:sz w:val="24"/>
          <w:szCs w:val="24"/>
          <w:color w:val="auto"/>
        </w:rPr>
      </w:pPr>
    </w:p>
    <w:p>
      <w:pPr>
        <w:ind w:left="340" w:right="1660"/>
        <w:spacing w:after="0" w:line="27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Securities registered pursuant to Section 12(b) of the Exchange Act</w:t>
      </w:r>
    </w:p>
    <w:p>
      <w:pPr>
        <w:spacing w:after="0" w:line="17"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 at October 30, 2024</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1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Common Stock, $0.001 par value per</w:t>
            </w:r>
          </w:p>
        </w:tc>
        <w:tc>
          <w:tcPr>
            <w:tcW w:w="100" w:type="dxa"/>
            <w:vAlign w:val="bottom"/>
          </w:tcPr>
          <w:p>
            <w:pPr>
              <w:spacing w:after="0"/>
              <w:rPr>
                <w:sz w:val="15"/>
                <w:szCs w:val="15"/>
                <w:color w:val="auto"/>
              </w:rPr>
            </w:pPr>
          </w:p>
        </w:tc>
        <w:tc>
          <w:tcPr>
            <w:tcW w:w="2600" w:type="dxa"/>
            <w:vAlign w:val="bottom"/>
            <w:vMerge w:val="restart"/>
          </w:tcPr>
          <w:p>
            <w:pPr>
              <w:jc w:val="right"/>
              <w:ind w:right="819"/>
              <w:spacing w:after="0"/>
              <w:rPr>
                <w:sz w:val="20"/>
                <w:szCs w:val="20"/>
                <w:color w:val="auto"/>
              </w:rPr>
            </w:pPr>
            <w:r>
              <w:rPr>
                <w:rFonts w:ascii="Times New Roman" w:cs="Times New Roman" w:eastAsia="Times New Roman" w:hAnsi="Times New Roman"/>
                <w:sz w:val="18"/>
                <w:szCs w:val="18"/>
                <w:color w:val="auto"/>
              </w:rPr>
              <w:t>55,219,273</w:t>
            </w:r>
          </w:p>
        </w:tc>
        <w:tc>
          <w:tcPr>
            <w:tcW w:w="100" w:type="dxa"/>
            <w:vAlign w:val="bottom"/>
          </w:tcPr>
          <w:p>
            <w:pPr>
              <w:spacing w:after="0"/>
              <w:rPr>
                <w:sz w:val="15"/>
                <w:szCs w:val="15"/>
                <w:color w:val="auto"/>
              </w:rPr>
            </w:pP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SUPN</w:t>
            </w:r>
          </w:p>
        </w:tc>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share</w:t>
            </w:r>
          </w:p>
        </w:tc>
        <w:tc>
          <w:tcPr>
            <w:tcW w:w="2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36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240" w:type="dxa"/>
            <w:vAlign w:val="bottom"/>
            <w:gridSpan w:val="2"/>
            <w:vMerge w:val="continue"/>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3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 QUARTERLY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8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1036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360" w:type="dxa"/>
            <w:vAlign w:val="bottom"/>
            <w:gridSpan w:val="21"/>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98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1. Unaudited Condensed Consolidated Financial Statements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4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5140" w:type="dxa"/>
            <w:vAlign w:val="bottom"/>
            <w:gridSpan w:val="6"/>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1E39C6"/>
              </w:rPr>
              <w:t>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Earnings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Earnings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Stockholders' Equity</w:t>
            </w:r>
          </w:p>
        </w:tc>
        <w:tc>
          <w:tcPr>
            <w:tcW w:w="4360" w:type="dxa"/>
            <w:vAlign w:val="bottom"/>
            <w:gridSpan w:val="2"/>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98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486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40" w:type="dxa"/>
            <w:vAlign w:val="bottom"/>
            <w:tcBorders>
              <w:top w:val="single" w:sz="8" w:color="0000FF"/>
            </w:tcBorders>
            <w:gridSpan w:val="4"/>
          </w:tcPr>
          <w:p>
            <w:pPr>
              <w:spacing w:after="0"/>
              <w:rPr>
                <w:sz w:val="18"/>
                <w:szCs w:val="18"/>
                <w:color w:val="auto"/>
              </w:rPr>
            </w:pPr>
          </w:p>
        </w:tc>
        <w:tc>
          <w:tcPr>
            <w:tcW w:w="28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23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Item 4. Controls and Procedures</w:t>
            </w:r>
          </w:p>
        </w:tc>
        <w:tc>
          <w:tcPr>
            <w:tcW w:w="7500" w:type="dxa"/>
            <w:vAlign w:val="bottom"/>
            <w:gridSpan w:val="12"/>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0" w:type="dxa"/>
            <w:vAlign w:val="bottom"/>
          </w:tcPr>
          <w:p>
            <w:pPr>
              <w:spacing w:after="0"/>
              <w:rPr>
                <w:sz w:val="1"/>
                <w:szCs w:val="1"/>
                <w:color w:val="auto"/>
              </w:rPr>
            </w:pPr>
          </w:p>
        </w:tc>
      </w:tr>
      <w:tr>
        <w:trPr>
          <w:trHeight w:val="209"/>
        </w:trPr>
        <w:tc>
          <w:tcPr>
            <w:tcW w:w="27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7600" w:type="dxa"/>
            <w:vAlign w:val="bottom"/>
            <w:gridSpan w:val="13"/>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98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18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940" w:type="dxa"/>
            <w:vAlign w:val="bottom"/>
            <w:gridSpan w:val="14"/>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49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4920" w:type="dxa"/>
            <w:vAlign w:val="bottom"/>
            <w:gridSpan w:val="4"/>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28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Item 3. Defaults Upon Senior Securities</w:t>
            </w:r>
          </w:p>
        </w:tc>
        <w:tc>
          <w:tcPr>
            <w:tcW w:w="6940" w:type="dxa"/>
            <w:vAlign w:val="bottom"/>
            <w:gridSpan w:val="10"/>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23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Item 4. Mine Safety Disclosures</w:t>
            </w:r>
          </w:p>
        </w:tc>
        <w:tc>
          <w:tcPr>
            <w:tcW w:w="7500" w:type="dxa"/>
            <w:vAlign w:val="bottom"/>
            <w:gridSpan w:val="12"/>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98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18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7960" w:type="dxa"/>
            <w:vAlign w:val="bottom"/>
            <w:gridSpan w:val="15"/>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680" w:type="dxa"/>
            <w:vAlign w:val="bottom"/>
            <w:gridSpan w:val="1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0"/>
        </w:trPr>
        <w:tc>
          <w:tcPr>
            <w:tcW w:w="85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236"/>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75,054</w:t>
            </w:r>
          </w:p>
        </w:tc>
      </w:tr>
      <w:tr>
        <w:trPr>
          <w:trHeight w:val="229"/>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179,820</w:t>
            </w:r>
          </w:p>
        </w:tc>
      </w:tr>
      <w:tr>
        <w:trPr>
          <w:trHeight w:val="229"/>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144,155</w:t>
            </w:r>
          </w:p>
        </w:tc>
      </w:tr>
      <w:tr>
        <w:trPr>
          <w:trHeight w:val="230"/>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77,408</w:t>
            </w:r>
          </w:p>
        </w:tc>
      </w:tr>
      <w:tr>
        <w:trPr>
          <w:trHeight w:val="229"/>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16,676</w:t>
            </w:r>
          </w:p>
        </w:tc>
      </w:tr>
      <w:tr>
        <w:trPr>
          <w:trHeight w:val="22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493,113</w:t>
            </w:r>
          </w:p>
        </w:tc>
      </w:tr>
      <w:tr>
        <w:trPr>
          <w:trHeight w:val="229"/>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16,617</w:t>
            </w:r>
          </w:p>
        </w:tc>
      </w:tr>
      <w:tr>
        <w:trPr>
          <w:trHeight w:val="230"/>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13,530</w:t>
            </w:r>
          </w:p>
        </w:tc>
      </w:tr>
      <w:tr>
        <w:trPr>
          <w:trHeight w:val="229"/>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599,889</w:t>
            </w:r>
          </w:p>
        </w:tc>
      </w:tr>
      <w:tr>
        <w:trPr>
          <w:trHeight w:val="229"/>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117,019</w:t>
            </w:r>
          </w:p>
        </w:tc>
      </w:tr>
      <w:tr>
        <w:trPr>
          <w:trHeight w:val="230"/>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37,505</w:t>
            </w:r>
          </w:p>
        </w:tc>
      </w:tr>
      <w:tr>
        <w:trPr>
          <w:trHeight w:val="22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1,342,701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1,277,673</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8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79,569</w:t>
            </w:r>
          </w:p>
        </w:tc>
      </w:tr>
      <w:tr>
        <w:trPr>
          <w:trHeight w:val="230"/>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product returns and rebates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154,274</w:t>
            </w:r>
          </w:p>
        </w:tc>
      </w:tr>
      <w:tr>
        <w:trPr>
          <w:trHeight w:val="229"/>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Contingent consideration, current portion</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52,070</w:t>
            </w:r>
          </w:p>
        </w:tc>
      </w:tr>
      <w:tr>
        <w:trPr>
          <w:trHeight w:val="230"/>
        </w:trPr>
        <w:tc>
          <w:tcPr>
            <w:tcW w:w="8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w:t>
            </w:r>
          </w:p>
        </w:tc>
      </w:tr>
      <w:tr>
        <w:trPr>
          <w:trHeight w:val="22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291,508</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290,196</w:t>
            </w:r>
          </w:p>
        </w:tc>
      </w:tr>
      <w:tr>
        <w:trPr>
          <w:trHeight w:val="230"/>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Contingent consideration, long-term</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r>
      <w:tr>
        <w:trPr>
          <w:trHeight w:val="230"/>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33,196</w:t>
            </w:r>
          </w:p>
        </w:tc>
      </w:tr>
      <w:tr>
        <w:trPr>
          <w:trHeight w:val="230"/>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24,963</w:t>
            </w:r>
          </w:p>
        </w:tc>
      </w:tr>
      <w:tr>
        <w:trPr>
          <w:trHeight w:val="229"/>
        </w:trPr>
        <w:tc>
          <w:tcPr>
            <w:tcW w:w="8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6,422</w:t>
            </w: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335,551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356,157</w:t>
            </w:r>
          </w:p>
        </w:tc>
      </w:tr>
      <w:tr>
        <w:trPr>
          <w:trHeight w:val="196"/>
        </w:trPr>
        <w:tc>
          <w:tcPr>
            <w:tcW w:w="8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14)</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6"/>
        </w:trPr>
        <w:tc>
          <w:tcPr>
            <w:tcW w:w="8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75"/>
        </w:trPr>
        <w:tc>
          <w:tcPr>
            <w:tcW w:w="85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$0.001 par value; 130,000,000 shares authorized; 55,219,273 and 54,723,356 shares issued and</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outstanding as of September 30, 2024 and December 31, 2023, respectively</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439,493</w:t>
            </w:r>
          </w:p>
        </w:tc>
      </w:tr>
      <w:tr>
        <w:trPr>
          <w:trHeight w:val="230"/>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earnings (loss), net of tax</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29"/>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482,561</w:t>
            </w:r>
          </w:p>
        </w:tc>
      </w:tr>
      <w:tr>
        <w:trPr>
          <w:trHeight w:val="223"/>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1,007,150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921,516</w:t>
            </w:r>
          </w:p>
        </w:tc>
      </w:tr>
      <w:tr>
        <w:trPr>
          <w:trHeight w:val="196"/>
        </w:trPr>
        <w:tc>
          <w:tcPr>
            <w:tcW w:w="8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1,342,701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1,277,673</w:t>
            </w:r>
          </w:p>
        </w:tc>
      </w:tr>
      <w:tr>
        <w:trPr>
          <w:trHeight w:val="21"/>
        </w:trPr>
        <w:tc>
          <w:tcPr>
            <w:tcW w:w="8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 (Loss)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2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420" w:type="dxa"/>
            <w:vAlign w:val="bottom"/>
            <w:gridSpan w:val="4"/>
          </w:tcPr>
          <w:p>
            <w:pPr>
              <w:jc w:val="center"/>
              <w:ind w:right="17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5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5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5"/>
        </w:trPr>
        <w:tc>
          <w:tcPr>
            <w:tcW w:w="5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3"/>
          </w:tcPr>
          <w:p>
            <w:pPr>
              <w:jc w:val="center"/>
              <w:ind w:left="53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3"/>
          </w:tcPr>
          <w:p>
            <w:pPr>
              <w:jc w:val="center"/>
              <w:ind w:left="53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80" w:type="dxa"/>
            <w:vAlign w:val="bottom"/>
          </w:tcPr>
          <w:p>
            <w:pPr>
              <w:spacing w:after="0"/>
              <w:rPr>
                <w:sz w:val="17"/>
                <w:szCs w:val="17"/>
                <w:color w:val="auto"/>
              </w:rPr>
            </w:pPr>
          </w:p>
        </w:tc>
      </w:tr>
      <w:tr>
        <w:trPr>
          <w:trHeight w:val="23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9"/>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product sales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170,302</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149,004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471,301</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417,915</w:t>
            </w:r>
          </w:p>
        </w:tc>
      </w:tr>
      <w:tr>
        <w:trPr>
          <w:trHeight w:val="22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Royalty, licensing and other revenues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25,292</w:t>
            </w:r>
          </w:p>
        </w:tc>
      </w:tr>
      <w:tr>
        <w:trPr>
          <w:trHeight w:val="223"/>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175,689</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153,880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487,658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443,207</w:t>
            </w:r>
          </w:p>
        </w:tc>
      </w:tr>
      <w:tr>
        <w:trPr>
          <w:trHeight w:val="237"/>
        </w:trPr>
        <w:tc>
          <w:tcPr>
            <w:tcW w:w="5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7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Cost of goods sold</w:t>
            </w:r>
            <w:r>
              <w:rPr>
                <w:rFonts w:ascii="Times New Roman" w:cs="Times New Roman" w:eastAsia="Times New Roman" w:hAnsi="Times New Roman"/>
                <w:sz w:val="23"/>
                <w:szCs w:val="23"/>
                <w:color w:val="auto"/>
                <w:vertAlign w:val="superscript"/>
              </w:rPr>
              <w:t>(a)</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64,152</w:t>
            </w:r>
          </w:p>
        </w:tc>
      </w:tr>
      <w:tr>
        <w:trPr>
          <w:trHeight w:val="230"/>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68,246</w:t>
            </w:r>
          </w:p>
        </w:tc>
      </w:tr>
      <w:tr>
        <w:trPr>
          <w:trHeight w:val="22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69,753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255,079</w:t>
            </w:r>
          </w:p>
        </w:tc>
      </w:tr>
      <w:tr>
        <w:trPr>
          <w:trHeight w:val="230"/>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61,316</w:t>
            </w:r>
          </w:p>
        </w:tc>
      </w:tr>
      <w:tr>
        <w:trPr>
          <w:trHeight w:val="22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Contingent consideration gain</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r>
      <w:tr>
        <w:trPr>
          <w:trHeight w:val="223"/>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134,844</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145,742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427,397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447,480</w:t>
            </w:r>
          </w:p>
        </w:tc>
      </w:tr>
      <w:tr>
        <w:trPr>
          <w:trHeight w:val="237"/>
        </w:trPr>
        <w:tc>
          <w:tcPr>
            <w:tcW w:w="5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0"/>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earnings (loss)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40,845</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60,261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(4,273)</w:t>
            </w:r>
          </w:p>
        </w:tc>
      </w:tr>
      <w:tr>
        <w:trPr>
          <w:trHeight w:val="236"/>
        </w:trPr>
        <w:tc>
          <w:tcPr>
            <w:tcW w:w="5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8,467</w:t>
            </w:r>
          </w:p>
        </w:tc>
      </w:tr>
      <w:tr>
        <w:trPr>
          <w:trHeight w:val="230"/>
        </w:trPr>
        <w:tc>
          <w:tcPr>
            <w:tcW w:w="5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w:t>
            </w:r>
          </w:p>
        </w:tc>
      </w:tr>
      <w:tr>
        <w:trPr>
          <w:trHeight w:val="223"/>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11,227</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w:t>
            </w:r>
          </w:p>
        </w:tc>
      </w:tr>
      <w:tr>
        <w:trPr>
          <w:trHeight w:val="237"/>
        </w:trPr>
        <w:tc>
          <w:tcPr>
            <w:tcW w:w="5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r>
      <w:tr>
        <w:trPr>
          <w:trHeight w:val="256"/>
        </w:trPr>
        <w:tc>
          <w:tcPr>
            <w:tcW w:w="5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38,497</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58,537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5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30"/>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56"/>
        </w:trPr>
        <w:tc>
          <w:tcPr>
            <w:tcW w:w="57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55,149,760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54,608,963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54,977,199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54,498,687</w:t>
            </w:r>
          </w:p>
        </w:tc>
      </w:tr>
      <w:tr>
        <w:trPr>
          <w:trHeight w:val="234"/>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56,016,350</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54,608,963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55,791,185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55,574,922</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w:t>
      </w:r>
    </w:p>
    <w:p>
      <w:pPr>
        <w:ind w:left="160" w:hanging="152"/>
        <w:spacing w:after="0" w:line="229" w:lineRule="auto"/>
        <w:tabs>
          <w:tab w:leader="none" w:pos="160"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Excludes amortization of acquired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Earnings (Loss)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8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380" w:type="dxa"/>
            <w:vAlign w:val="bottom"/>
            <w:gridSpan w:val="4"/>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95"/>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3"/>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3"/>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40" w:type="dxa"/>
            <w:vAlign w:val="bottom"/>
          </w:tcPr>
          <w:p>
            <w:pPr>
              <w:spacing w:after="0"/>
              <w:rPr>
                <w:sz w:val="17"/>
                <w:szCs w:val="17"/>
                <w:color w:val="auto"/>
              </w:rPr>
            </w:pPr>
          </w:p>
        </w:tc>
      </w:tr>
      <w:tr>
        <w:trPr>
          <w:trHeight w:val="23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38,497</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58,537</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gain</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on marketable securities, net of tax</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r>
      <w:tr>
        <w:trPr>
          <w:trHeight w:val="223"/>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gain</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earnings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160"/>
          </w:cols>
          <w:pgMar w:left="320" w:top="121" w:right="419" w:bottom="11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145"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Nine Months Ended September 30, 2024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data)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2520" w:type="dxa"/>
            <w:vAlign w:val="bottom"/>
            <w:gridSpan w:val="5"/>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09"/>
        </w:trPr>
        <w:tc>
          <w:tcPr>
            <w:tcW w:w="30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9"/>
                <w:szCs w:val="9"/>
                <w:color w:val="auto"/>
              </w:rPr>
            </w:pPr>
          </w:p>
        </w:tc>
        <w:tc>
          <w:tcPr>
            <w:tcW w:w="154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9"/>
                <w:szCs w:val="9"/>
                <w:color w:val="auto"/>
              </w:rPr>
            </w:pPr>
          </w:p>
        </w:tc>
        <w:tc>
          <w:tcPr>
            <w:tcW w:w="1120" w:type="dxa"/>
            <w:vAlign w:val="bottom"/>
            <w:gridSpan w:val="2"/>
            <w:vMerge w:val="restart"/>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9"/>
                <w:szCs w:val="9"/>
                <w:color w:val="auto"/>
              </w:rPr>
            </w:pPr>
          </w:p>
        </w:tc>
        <w:tc>
          <w:tcPr>
            <w:tcW w:w="1120" w:type="dxa"/>
            <w:vAlign w:val="bottom"/>
            <w:vMerge w:val="restart"/>
          </w:tcPr>
          <w:p>
            <w:pPr>
              <w:jc w:val="center"/>
              <w:ind w:right="93"/>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000" w:type="dxa"/>
            <w:vAlign w:val="bottom"/>
          </w:tcPr>
          <w:p>
            <w:pPr>
              <w:spacing w:after="0"/>
              <w:rPr>
                <w:sz w:val="16"/>
                <w:szCs w:val="16"/>
                <w:color w:val="auto"/>
              </w:rPr>
            </w:pPr>
          </w:p>
        </w:tc>
        <w:tc>
          <w:tcPr>
            <w:tcW w:w="12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Earnings (Loss)</w:t>
            </w:r>
          </w:p>
        </w:tc>
        <w:tc>
          <w:tcPr>
            <w:tcW w:w="22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112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54,723,356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439,493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921,516</w:t>
            </w:r>
          </w:p>
        </w:tc>
        <w:tc>
          <w:tcPr>
            <w:tcW w:w="0" w:type="dxa"/>
            <w:vAlign w:val="bottom"/>
          </w:tcPr>
          <w:p>
            <w:pPr>
              <w:spacing w:after="0"/>
              <w:rPr>
                <w:sz w:val="1"/>
                <w:szCs w:val="1"/>
                <w:color w:val="auto"/>
              </w:rPr>
            </w:pPr>
          </w:p>
        </w:tc>
      </w:tr>
      <w:tr>
        <w:trPr>
          <w:trHeight w:val="175"/>
        </w:trPr>
        <w:tc>
          <w:tcPr>
            <w:tcW w:w="30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0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related to employee stock purchase</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plan and share-based awards</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Issuance of common stock related to</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0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employee stock purchase plan and</w:t>
            </w: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0" w:type="dxa"/>
            <w:vAlign w:val="bottom"/>
            <w:shd w:val="clear" w:color="auto" w:fill="CCEEFF"/>
          </w:tcPr>
          <w:p>
            <w:pPr>
              <w:ind w:left="200"/>
              <w:spacing w:after="0" w:line="181" w:lineRule="exact"/>
              <w:rPr>
                <w:sz w:val="20"/>
                <w:szCs w:val="20"/>
                <w:color w:val="auto"/>
              </w:rPr>
            </w:pPr>
            <w:r>
              <w:rPr>
                <w:rFonts w:ascii="Times New Roman" w:cs="Times New Roman" w:eastAsia="Times New Roman" w:hAnsi="Times New Roman"/>
                <w:sz w:val="18"/>
                <w:szCs w:val="18"/>
                <w:color w:val="auto"/>
              </w:rPr>
              <w:t>share-based awards, net of taxes</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241,960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withheld</w:t>
            </w: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Unrealized gain on marketable</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securities, net of tax</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2024</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54,965,316</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446,960</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482,685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929,166</w:t>
            </w: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0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related to employee stock purchase</w:t>
            </w: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plan and share-based awards</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w:t>
            </w:r>
          </w:p>
        </w:tc>
        <w:tc>
          <w:tcPr>
            <w:tcW w:w="0" w:type="dxa"/>
            <w:vAlign w:val="bottom"/>
          </w:tcPr>
          <w:p>
            <w:pPr>
              <w:spacing w:after="0"/>
              <w:rPr>
                <w:sz w:val="1"/>
                <w:szCs w:val="1"/>
                <w:color w:val="auto"/>
              </w:rPr>
            </w:pPr>
          </w:p>
        </w:tc>
      </w:tr>
      <w:tr>
        <w:trPr>
          <w:trHeight w:val="175"/>
        </w:trPr>
        <w:tc>
          <w:tcPr>
            <w:tcW w:w="30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Issuance of common stock related to</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0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employee stock purchase plan and</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share-based awards, net of taxes</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80,733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0" w:type="dxa"/>
            <w:vAlign w:val="bottom"/>
          </w:tcPr>
          <w:p>
            <w:pPr>
              <w:spacing w:after="0"/>
              <w:rPr>
                <w:sz w:val="1"/>
                <w:szCs w:val="1"/>
                <w:color w:val="auto"/>
              </w:rPr>
            </w:pPr>
          </w:p>
        </w:tc>
      </w:tr>
      <w:tr>
        <w:trPr>
          <w:trHeight w:val="229"/>
        </w:trPr>
        <w:tc>
          <w:tcPr>
            <w:tcW w:w="3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withheld</w:t>
            </w: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19,916</w:t>
            </w:r>
          </w:p>
        </w:tc>
        <w:tc>
          <w:tcPr>
            <w:tcW w:w="0" w:type="dxa"/>
            <w:vAlign w:val="bottom"/>
          </w:tcPr>
          <w:p>
            <w:pPr>
              <w:spacing w:after="0"/>
              <w:rPr>
                <w:sz w:val="1"/>
                <w:szCs w:val="1"/>
                <w:color w:val="auto"/>
              </w:rPr>
            </w:pPr>
          </w:p>
        </w:tc>
      </w:tr>
      <w:tr>
        <w:trPr>
          <w:trHeight w:val="175"/>
        </w:trPr>
        <w:tc>
          <w:tcPr>
            <w:tcW w:w="30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Unrealized gain on marketable</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securities, net of tax</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3"/>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June 30, 2024</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55,046,049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455,170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502,601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957,454</w:t>
            </w:r>
          </w:p>
        </w:tc>
        <w:tc>
          <w:tcPr>
            <w:tcW w:w="0" w:type="dxa"/>
            <w:vAlign w:val="bottom"/>
          </w:tcPr>
          <w:p>
            <w:pPr>
              <w:spacing w:after="0"/>
              <w:rPr>
                <w:sz w:val="1"/>
                <w:szCs w:val="1"/>
                <w:color w:val="auto"/>
              </w:rPr>
            </w:pPr>
          </w:p>
        </w:tc>
      </w:tr>
      <w:tr>
        <w:trPr>
          <w:trHeight w:val="176"/>
        </w:trPr>
        <w:tc>
          <w:tcPr>
            <w:tcW w:w="30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0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related to employee stock purchase</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plan and share-based awards</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7,674</w:t>
            </w: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Issuance of common stock related to</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0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employee stock purchase plan and</w:t>
            </w: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0" w:type="dxa"/>
            <w:vAlign w:val="bottom"/>
            <w:shd w:val="clear" w:color="auto" w:fill="CCEEFF"/>
          </w:tcPr>
          <w:p>
            <w:pPr>
              <w:ind w:left="200"/>
              <w:spacing w:after="0" w:line="181" w:lineRule="exact"/>
              <w:rPr>
                <w:sz w:val="20"/>
                <w:szCs w:val="20"/>
                <w:color w:val="auto"/>
              </w:rPr>
            </w:pPr>
            <w:r>
              <w:rPr>
                <w:rFonts w:ascii="Times New Roman" w:cs="Times New Roman" w:eastAsia="Times New Roman" w:hAnsi="Times New Roman"/>
                <w:sz w:val="18"/>
                <w:szCs w:val="18"/>
                <w:color w:val="auto"/>
              </w:rPr>
              <w:t>share-based awards, net of taxes</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173,224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withheld</w:t>
            </w: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38,497</w:t>
            </w: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Unrealized gain on marketable</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securities, net of tax</w:t>
            </w:r>
          </w:p>
        </w:tc>
        <w:tc>
          <w:tcPr>
            <w:tcW w:w="12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September 30, 2024</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55,219,273</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465,919</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541,098</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1,007,150</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Stockholders’ Equity</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Nine Months Ended September 30, 2024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data)</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Balance, December 31, 2022</w:t>
      </w:r>
    </w:p>
    <w:p>
      <w:pPr>
        <w:spacing w:after="0" w:line="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Share-based compensation expense</w:t>
      </w:r>
    </w:p>
    <w:p>
      <w:pPr>
        <w:spacing w:after="0" w:line="2" w:lineRule="exact"/>
        <w:rPr>
          <w:sz w:val="20"/>
          <w:szCs w:val="20"/>
          <w:color w:val="auto"/>
        </w:rPr>
      </w:pPr>
    </w:p>
    <w:p>
      <w:pPr>
        <w:ind w:left="160" w:right="120"/>
        <w:spacing w:after="0" w:line="239" w:lineRule="auto"/>
        <w:rPr>
          <w:sz w:val="20"/>
          <w:szCs w:val="20"/>
          <w:color w:val="auto"/>
        </w:rPr>
      </w:pPr>
      <w:r>
        <w:rPr>
          <w:rFonts w:ascii="Times New Roman" w:cs="Times New Roman" w:eastAsia="Times New Roman" w:hAnsi="Times New Roman"/>
          <w:sz w:val="17"/>
          <w:szCs w:val="17"/>
          <w:color w:val="auto"/>
        </w:rPr>
        <w:t>related to employee stock purchase plan and share-based awards</w:t>
      </w:r>
    </w:p>
    <w:p>
      <w:pPr>
        <w:ind w:left="160"/>
        <w:spacing w:after="0" w:line="237" w:lineRule="auto"/>
        <w:rPr>
          <w:sz w:val="20"/>
          <w:szCs w:val="20"/>
          <w:color w:val="auto"/>
        </w:rPr>
      </w:pPr>
      <w:r>
        <w:rPr>
          <w:rFonts w:ascii="Times New Roman" w:cs="Times New Roman" w:eastAsia="Times New Roman" w:hAnsi="Times New Roman"/>
          <w:sz w:val="18"/>
          <w:szCs w:val="18"/>
          <w:color w:val="auto"/>
        </w:rPr>
        <w:t>Issuance of common stock related to</w:t>
      </w:r>
    </w:p>
    <w:p>
      <w:pPr>
        <w:ind w:left="160" w:right="180"/>
        <w:spacing w:after="0" w:line="218" w:lineRule="auto"/>
        <w:rPr>
          <w:sz w:val="20"/>
          <w:szCs w:val="20"/>
          <w:color w:val="auto"/>
        </w:rPr>
      </w:pPr>
      <w:r>
        <w:rPr>
          <w:rFonts w:ascii="Times New Roman" w:cs="Times New Roman" w:eastAsia="Times New Roman" w:hAnsi="Times New Roman"/>
          <w:sz w:val="18"/>
          <w:szCs w:val="18"/>
          <w:color w:val="auto"/>
        </w:rPr>
        <w:t>employee stock purchase plan and share-based awards, net of taxes withheld</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Net earnings</w:t>
      </w:r>
    </w:p>
    <w:p>
      <w:pPr>
        <w:spacing w:after="0" w:line="23" w:lineRule="exact"/>
        <w:rPr>
          <w:sz w:val="20"/>
          <w:szCs w:val="20"/>
          <w:color w:val="auto"/>
        </w:rPr>
      </w:pPr>
    </w:p>
    <w:p>
      <w:pPr>
        <w:ind w:left="160" w:right="420"/>
        <w:spacing w:after="0" w:line="242" w:lineRule="auto"/>
        <w:rPr>
          <w:sz w:val="20"/>
          <w:szCs w:val="20"/>
          <w:color w:val="auto"/>
        </w:rPr>
      </w:pPr>
      <w:r>
        <w:rPr>
          <w:rFonts w:ascii="Times New Roman" w:cs="Times New Roman" w:eastAsia="Times New Roman" w:hAnsi="Times New Roman"/>
          <w:sz w:val="18"/>
          <w:szCs w:val="18"/>
          <w:color w:val="auto"/>
        </w:rPr>
        <w:t>Unrealized gain on marketable securities, net of tax</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Balance, March 31, 2023</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Share-based compensation expense</w:t>
      </w:r>
    </w:p>
    <w:p>
      <w:pPr>
        <w:spacing w:after="0" w:line="2" w:lineRule="exact"/>
        <w:rPr>
          <w:sz w:val="20"/>
          <w:szCs w:val="20"/>
          <w:color w:val="auto"/>
        </w:rPr>
      </w:pPr>
    </w:p>
    <w:p>
      <w:pPr>
        <w:ind w:left="160" w:right="120"/>
        <w:spacing w:after="0" w:line="239" w:lineRule="auto"/>
        <w:rPr>
          <w:sz w:val="20"/>
          <w:szCs w:val="20"/>
          <w:color w:val="auto"/>
        </w:rPr>
      </w:pPr>
      <w:r>
        <w:rPr>
          <w:rFonts w:ascii="Times New Roman" w:cs="Times New Roman" w:eastAsia="Times New Roman" w:hAnsi="Times New Roman"/>
          <w:sz w:val="17"/>
          <w:szCs w:val="17"/>
          <w:color w:val="auto"/>
        </w:rPr>
        <w:t>related to employee stock purchase plan and share-based awards</w:t>
      </w:r>
    </w:p>
    <w:p>
      <w:pPr>
        <w:ind w:left="160"/>
        <w:spacing w:after="0" w:line="237" w:lineRule="auto"/>
        <w:rPr>
          <w:sz w:val="20"/>
          <w:szCs w:val="20"/>
          <w:color w:val="auto"/>
        </w:rPr>
      </w:pPr>
      <w:r>
        <w:rPr>
          <w:rFonts w:ascii="Times New Roman" w:cs="Times New Roman" w:eastAsia="Times New Roman" w:hAnsi="Times New Roman"/>
          <w:sz w:val="18"/>
          <w:szCs w:val="18"/>
          <w:color w:val="auto"/>
        </w:rPr>
        <w:t>Issuance of common stock related to</w:t>
      </w:r>
    </w:p>
    <w:p>
      <w:pPr>
        <w:ind w:left="160" w:right="180"/>
        <w:spacing w:after="0" w:line="218" w:lineRule="auto"/>
        <w:rPr>
          <w:sz w:val="20"/>
          <w:szCs w:val="20"/>
          <w:color w:val="auto"/>
        </w:rPr>
      </w:pPr>
      <w:r>
        <w:rPr>
          <w:rFonts w:ascii="Times New Roman" w:cs="Times New Roman" w:eastAsia="Times New Roman" w:hAnsi="Times New Roman"/>
          <w:sz w:val="18"/>
          <w:szCs w:val="18"/>
          <w:color w:val="auto"/>
        </w:rPr>
        <w:t>employee stock purchase plan and share-based awards, net of taxes withheld</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Net loss</w:t>
      </w:r>
    </w:p>
    <w:p>
      <w:pPr>
        <w:spacing w:after="0" w:line="23" w:lineRule="exact"/>
        <w:rPr>
          <w:sz w:val="20"/>
          <w:szCs w:val="20"/>
          <w:color w:val="auto"/>
        </w:rPr>
      </w:pPr>
    </w:p>
    <w:p>
      <w:pPr>
        <w:ind w:left="160" w:right="420"/>
        <w:spacing w:after="0" w:line="242" w:lineRule="auto"/>
        <w:rPr>
          <w:sz w:val="20"/>
          <w:szCs w:val="20"/>
          <w:color w:val="auto"/>
        </w:rPr>
      </w:pPr>
      <w:r>
        <w:rPr>
          <w:rFonts w:ascii="Times New Roman" w:cs="Times New Roman" w:eastAsia="Times New Roman" w:hAnsi="Times New Roman"/>
          <w:sz w:val="18"/>
          <w:szCs w:val="18"/>
          <w:color w:val="auto"/>
        </w:rPr>
        <w:t>Unrealized gain on marketable securities, net of tax</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Balance, June 30, 2023</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Share-based compensation expense</w:t>
      </w:r>
    </w:p>
    <w:p>
      <w:pPr>
        <w:spacing w:after="0" w:line="2" w:lineRule="exact"/>
        <w:rPr>
          <w:sz w:val="20"/>
          <w:szCs w:val="20"/>
          <w:color w:val="auto"/>
        </w:rPr>
      </w:pPr>
    </w:p>
    <w:p>
      <w:pPr>
        <w:ind w:left="160" w:right="120"/>
        <w:spacing w:after="0" w:line="239" w:lineRule="auto"/>
        <w:rPr>
          <w:sz w:val="20"/>
          <w:szCs w:val="20"/>
          <w:color w:val="auto"/>
        </w:rPr>
      </w:pPr>
      <w:r>
        <w:rPr>
          <w:rFonts w:ascii="Times New Roman" w:cs="Times New Roman" w:eastAsia="Times New Roman" w:hAnsi="Times New Roman"/>
          <w:sz w:val="17"/>
          <w:szCs w:val="17"/>
          <w:color w:val="auto"/>
        </w:rPr>
        <w:t>related to employee stock purchase plan and share-based awards</w:t>
      </w:r>
    </w:p>
    <w:p>
      <w:pPr>
        <w:ind w:left="160"/>
        <w:spacing w:after="0" w:line="237" w:lineRule="auto"/>
        <w:rPr>
          <w:sz w:val="20"/>
          <w:szCs w:val="20"/>
          <w:color w:val="auto"/>
        </w:rPr>
      </w:pPr>
      <w:r>
        <w:rPr>
          <w:rFonts w:ascii="Times New Roman" w:cs="Times New Roman" w:eastAsia="Times New Roman" w:hAnsi="Times New Roman"/>
          <w:sz w:val="18"/>
          <w:szCs w:val="18"/>
          <w:color w:val="auto"/>
        </w:rPr>
        <w:t>Issuance of common stock related to</w:t>
      </w:r>
    </w:p>
    <w:p>
      <w:pPr>
        <w:ind w:left="160" w:right="180"/>
        <w:spacing w:after="0" w:line="218" w:lineRule="auto"/>
        <w:rPr>
          <w:sz w:val="20"/>
          <w:szCs w:val="20"/>
          <w:color w:val="auto"/>
        </w:rPr>
      </w:pPr>
      <w:r>
        <w:rPr>
          <w:rFonts w:ascii="Times New Roman" w:cs="Times New Roman" w:eastAsia="Times New Roman" w:hAnsi="Times New Roman"/>
          <w:sz w:val="18"/>
          <w:szCs w:val="18"/>
          <w:color w:val="auto"/>
        </w:rPr>
        <w:t>employee stock purchase plan and share-based awards, net of taxes withheld</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Net loss</w:t>
      </w:r>
    </w:p>
    <w:p>
      <w:pPr>
        <w:spacing w:after="0" w:line="23" w:lineRule="exact"/>
        <w:rPr>
          <w:sz w:val="20"/>
          <w:szCs w:val="20"/>
          <w:color w:val="auto"/>
        </w:rPr>
      </w:pPr>
    </w:p>
    <w:p>
      <w:pPr>
        <w:ind w:left="160" w:right="420"/>
        <w:spacing w:after="0" w:line="242" w:lineRule="auto"/>
        <w:rPr>
          <w:sz w:val="20"/>
          <w:szCs w:val="20"/>
          <w:color w:val="auto"/>
        </w:rPr>
      </w:pPr>
      <w:r>
        <w:rPr>
          <w:rFonts w:ascii="Times New Roman" w:cs="Times New Roman" w:eastAsia="Times New Roman" w:hAnsi="Times New Roman"/>
          <w:sz w:val="18"/>
          <w:szCs w:val="18"/>
          <w:color w:val="auto"/>
        </w:rPr>
        <w:t>Unrealized gain on marketable securities, net of tax</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Balance, September 30, 2023</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40" w:type="dxa"/>
            <w:vAlign w:val="bottom"/>
            <w:gridSpan w:val="3"/>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1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9"/>
                <w:szCs w:val="9"/>
                <w:color w:val="auto"/>
              </w:rPr>
            </w:pPr>
          </w:p>
        </w:tc>
        <w:tc>
          <w:tcPr>
            <w:tcW w:w="154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9"/>
                <w:szCs w:val="9"/>
                <w:color w:val="auto"/>
              </w:rPr>
            </w:pPr>
          </w:p>
        </w:tc>
        <w:tc>
          <w:tcPr>
            <w:tcW w:w="1100" w:type="dxa"/>
            <w:vAlign w:val="bottom"/>
            <w:gridSpan w:val="2"/>
            <w:vMerge w:val="restart"/>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9"/>
                <w:szCs w:val="9"/>
                <w:color w:val="auto"/>
              </w:rPr>
            </w:pPr>
          </w:p>
        </w:tc>
        <w:tc>
          <w:tcPr>
            <w:tcW w:w="1120" w:type="dxa"/>
            <w:vAlign w:val="bottom"/>
            <w:vMerge w:val="restart"/>
          </w:tcPr>
          <w:p>
            <w:pPr>
              <w:jc w:val="center"/>
              <w:ind w:right="73"/>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2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Earnings (Loss)</w:t>
            </w:r>
          </w:p>
        </w:tc>
        <w:tc>
          <w:tcPr>
            <w:tcW w:w="22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112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3"/>
        </w:trPr>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54,253,796</w:t>
            </w:r>
          </w:p>
        </w:tc>
        <w:tc>
          <w:tcPr>
            <w:tcW w:w="80" w:type="dxa"/>
            <w:vAlign w:val="bottom"/>
          </w:tcPr>
          <w:p>
            <w:pPr>
              <w:spacing w:after="0"/>
              <w:rPr>
                <w:sz w:val="20"/>
                <w:szCs w:val="20"/>
                <w:color w:val="auto"/>
              </w:rPr>
            </w:pPr>
          </w:p>
        </w:tc>
        <w:tc>
          <w:tcPr>
            <w:tcW w:w="880" w:type="dxa"/>
            <w:vAlign w:val="bottom"/>
            <w:tcBorders>
              <w:top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408,115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481,245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886,204</w:t>
            </w:r>
          </w:p>
        </w:tc>
        <w:tc>
          <w:tcPr>
            <w:tcW w:w="0" w:type="dxa"/>
            <w:vAlign w:val="bottom"/>
          </w:tcPr>
          <w:p>
            <w:pPr>
              <w:spacing w:after="0"/>
              <w:rPr>
                <w:sz w:val="1"/>
                <w:szCs w:val="1"/>
                <w:color w:val="auto"/>
              </w:rPr>
            </w:pPr>
          </w:p>
        </w:tc>
      </w:tr>
      <w:tr>
        <w:trPr>
          <w:trHeight w:val="589"/>
        </w:trPr>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4"/>
                <w:szCs w:val="2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6,306</w:t>
            </w:r>
          </w:p>
        </w:tc>
        <w:tc>
          <w:tcPr>
            <w:tcW w:w="0" w:type="dxa"/>
            <w:vAlign w:val="bottom"/>
          </w:tcPr>
          <w:p>
            <w:pPr>
              <w:spacing w:after="0"/>
              <w:rPr>
                <w:sz w:val="1"/>
                <w:szCs w:val="1"/>
                <w:color w:val="auto"/>
              </w:rPr>
            </w:pPr>
          </w:p>
        </w:tc>
      </w:tr>
      <w:tr>
        <w:trPr>
          <w:trHeight w:val="765"/>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216,826</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34"/>
        </w:trPr>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16,948</w:t>
            </w:r>
          </w:p>
        </w:tc>
        <w:tc>
          <w:tcPr>
            <w:tcW w:w="0" w:type="dxa"/>
            <w:vAlign w:val="bottom"/>
          </w:tcPr>
          <w:p>
            <w:pPr>
              <w:spacing w:after="0"/>
              <w:rPr>
                <w:sz w:val="1"/>
                <w:szCs w:val="1"/>
                <w:color w:val="auto"/>
              </w:rPr>
            </w:pPr>
          </w:p>
        </w:tc>
      </w:tr>
      <w:tr>
        <w:trPr>
          <w:trHeight w:val="418"/>
        </w:trPr>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4"/>
                <w:szCs w:val="2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28"/>
        </w:trPr>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54,470,622</w:t>
            </w:r>
          </w:p>
        </w:tc>
        <w:tc>
          <w:tcPr>
            <w:tcW w:w="8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416,232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498,193</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912,150</w:t>
            </w:r>
          </w:p>
        </w:tc>
        <w:tc>
          <w:tcPr>
            <w:tcW w:w="0" w:type="dxa"/>
            <w:vAlign w:val="bottom"/>
          </w:tcPr>
          <w:p>
            <w:pPr>
              <w:spacing w:after="0"/>
              <w:rPr>
                <w:sz w:val="1"/>
                <w:szCs w:val="1"/>
                <w:color w:val="auto"/>
              </w:rPr>
            </w:pPr>
          </w:p>
        </w:tc>
      </w:tr>
      <w:tr>
        <w:trPr>
          <w:trHeight w:val="589"/>
        </w:trPr>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4"/>
                <w:szCs w:val="2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6,088</w:t>
            </w:r>
          </w:p>
        </w:tc>
        <w:tc>
          <w:tcPr>
            <w:tcW w:w="0" w:type="dxa"/>
            <w:vAlign w:val="bottom"/>
          </w:tcPr>
          <w:p>
            <w:pPr>
              <w:spacing w:after="0"/>
              <w:rPr>
                <w:sz w:val="1"/>
                <w:szCs w:val="1"/>
                <w:color w:val="auto"/>
              </w:rPr>
            </w:pPr>
          </w:p>
        </w:tc>
      </w:tr>
      <w:tr>
        <w:trPr>
          <w:trHeight w:val="765"/>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122,279</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0" w:type="dxa"/>
            <w:vAlign w:val="bottom"/>
          </w:tcPr>
          <w:p>
            <w:pPr>
              <w:spacing w:after="0"/>
              <w:rPr>
                <w:sz w:val="1"/>
                <w:szCs w:val="1"/>
                <w:color w:val="auto"/>
              </w:rPr>
            </w:pPr>
          </w:p>
        </w:tc>
      </w:tr>
      <w:tr>
        <w:trPr>
          <w:trHeight w:val="234"/>
        </w:trPr>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418"/>
        </w:trPr>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4"/>
                <w:szCs w:val="2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28"/>
        </w:trPr>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54,592,901</w:t>
            </w:r>
          </w:p>
        </w:tc>
        <w:tc>
          <w:tcPr>
            <w:tcW w:w="8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424,266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497,362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919,908</w:t>
            </w:r>
          </w:p>
        </w:tc>
        <w:tc>
          <w:tcPr>
            <w:tcW w:w="0" w:type="dxa"/>
            <w:vAlign w:val="bottom"/>
          </w:tcPr>
          <w:p>
            <w:pPr>
              <w:spacing w:after="0"/>
              <w:rPr>
                <w:sz w:val="1"/>
                <w:szCs w:val="1"/>
                <w:color w:val="auto"/>
              </w:rPr>
            </w:pPr>
          </w:p>
        </w:tc>
      </w:tr>
      <w:tr>
        <w:trPr>
          <w:trHeight w:val="589"/>
        </w:trPr>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4"/>
                <w:szCs w:val="2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7,920</w:t>
            </w:r>
          </w:p>
        </w:tc>
        <w:tc>
          <w:tcPr>
            <w:tcW w:w="0" w:type="dxa"/>
            <w:vAlign w:val="bottom"/>
          </w:tcPr>
          <w:p>
            <w:pPr>
              <w:spacing w:after="0"/>
              <w:rPr>
                <w:sz w:val="1"/>
                <w:szCs w:val="1"/>
                <w:color w:val="auto"/>
              </w:rPr>
            </w:pPr>
          </w:p>
        </w:tc>
      </w:tr>
      <w:tr>
        <w:trPr>
          <w:trHeight w:val="765"/>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37,857</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34"/>
        </w:trPr>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(15,976)</w:t>
            </w:r>
          </w:p>
        </w:tc>
        <w:tc>
          <w:tcPr>
            <w:tcW w:w="0" w:type="dxa"/>
            <w:vAlign w:val="bottom"/>
          </w:tcPr>
          <w:p>
            <w:pPr>
              <w:spacing w:after="0"/>
              <w:rPr>
                <w:sz w:val="1"/>
                <w:szCs w:val="1"/>
                <w:color w:val="auto"/>
              </w:rPr>
            </w:pPr>
          </w:p>
        </w:tc>
      </w:tr>
      <w:tr>
        <w:trPr>
          <w:trHeight w:val="418"/>
        </w:trPr>
        <w:tc>
          <w:tcPr>
            <w:tcW w:w="12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23"/>
        </w:trPr>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54,630,758</w:t>
            </w: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431,956</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481,386</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912,191</w:t>
            </w:r>
          </w:p>
        </w:tc>
        <w:tc>
          <w:tcPr>
            <w:tcW w:w="0" w:type="dxa"/>
            <w:vAlign w:val="bottom"/>
          </w:tcPr>
          <w:p>
            <w:pPr>
              <w:spacing w:after="0"/>
              <w:rPr>
                <w:sz w:val="1"/>
                <w:szCs w:val="1"/>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-1903730</wp:posOffset>
            </wp:positionH>
            <wp:positionV relativeFrom="paragraph">
              <wp:posOffset>-4482465</wp:posOffset>
            </wp:positionV>
            <wp:extent cx="7115175"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-1903730</wp:posOffset>
            </wp:positionH>
            <wp:positionV relativeFrom="paragraph">
              <wp:posOffset>-3950970</wp:posOffset>
            </wp:positionV>
            <wp:extent cx="7115175" cy="488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488315"/>
                    </a:xfrm>
                    <a:prstGeom prst="rect">
                      <a:avLst/>
                    </a:prstGeom>
                    <a:noFill/>
                  </pic:spPr>
                </pic:pic>
              </a:graphicData>
            </a:graphic>
          </wp:anchor>
        </w:drawing>
        <w:drawing>
          <wp:anchor simplePos="0" relativeHeight="251657728" behindDoc="1" locked="0" layoutInCell="0" allowOverlap="1">
            <wp:simplePos x="0" y="0"/>
            <wp:positionH relativeFrom="column">
              <wp:posOffset>-1903730</wp:posOffset>
            </wp:positionH>
            <wp:positionV relativeFrom="paragraph">
              <wp:posOffset>-3316605</wp:posOffset>
            </wp:positionV>
            <wp:extent cx="7115175"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-1903730</wp:posOffset>
            </wp:positionH>
            <wp:positionV relativeFrom="paragraph">
              <wp:posOffset>-2896870</wp:posOffset>
            </wp:positionV>
            <wp:extent cx="7115175" cy="377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377190"/>
                    </a:xfrm>
                    <a:prstGeom prst="rect">
                      <a:avLst/>
                    </a:prstGeom>
                    <a:noFill/>
                  </pic:spPr>
                </pic:pic>
              </a:graphicData>
            </a:graphic>
          </wp:anchor>
        </w:drawing>
        <w:drawing>
          <wp:anchor simplePos="0" relativeHeight="251657728" behindDoc="1" locked="0" layoutInCell="0" allowOverlap="1">
            <wp:simplePos x="0" y="0"/>
            <wp:positionH relativeFrom="column">
              <wp:posOffset>-1903730</wp:posOffset>
            </wp:positionH>
            <wp:positionV relativeFrom="paragraph">
              <wp:posOffset>-2030730</wp:posOffset>
            </wp:positionV>
            <wp:extent cx="711517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-1903730</wp:posOffset>
            </wp:positionH>
            <wp:positionV relativeFrom="paragraph">
              <wp:posOffset>-1619250</wp:posOffset>
            </wp:positionV>
            <wp:extent cx="711517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-1903730</wp:posOffset>
            </wp:positionH>
            <wp:positionV relativeFrom="paragraph">
              <wp:posOffset>-1087755</wp:posOffset>
            </wp:positionV>
            <wp:extent cx="7115175" cy="488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488950"/>
                    </a:xfrm>
                    <a:prstGeom prst="rect">
                      <a:avLst/>
                    </a:prstGeom>
                    <a:noFill/>
                  </pic:spPr>
                </pic:pic>
              </a:graphicData>
            </a:graphic>
          </wp:anchor>
        </w:drawing>
        <w:drawing>
          <wp:anchor simplePos="0" relativeHeight="251657728" behindDoc="1" locked="0" layoutInCell="0" allowOverlap="1">
            <wp:simplePos x="0" y="0"/>
            <wp:positionH relativeFrom="column">
              <wp:posOffset>-1903730</wp:posOffset>
            </wp:positionH>
            <wp:positionV relativeFrom="paragraph">
              <wp:posOffset>-453390</wp:posOffset>
            </wp:positionV>
            <wp:extent cx="7115175" cy="266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266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00" w:space="220"/>
            <w:col w:w="820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See accompanying notes.</w:t>
      </w: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gridSpan w:val="4"/>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80" w:type="dxa"/>
            <w:vAlign w:val="bottom"/>
          </w:tcPr>
          <w:p>
            <w:pPr>
              <w:spacing w:after="0"/>
              <w:rPr>
                <w:sz w:val="17"/>
                <w:szCs w:val="17"/>
                <w:color w:val="auto"/>
              </w:rPr>
            </w:pPr>
          </w:p>
        </w:tc>
      </w:tr>
      <w:tr>
        <w:trPr>
          <w:trHeight w:val="236"/>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58,537</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63,183</w:t>
            </w:r>
          </w:p>
        </w:tc>
      </w:tr>
      <w:tr>
        <w:trPr>
          <w:trHeight w:val="230"/>
        </w:trPr>
        <w:tc>
          <w:tcPr>
            <w:tcW w:w="8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Amortization of deferred financing costs and debt discount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29"/>
        </w:trPr>
        <w:tc>
          <w:tcPr>
            <w:tcW w:w="8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Amortization of premium/discount on marketable securities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r>
      <w:tr>
        <w:trPr>
          <w:trHeight w:val="229"/>
        </w:trPr>
        <w:tc>
          <w:tcPr>
            <w:tcW w:w="8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r>
      <w:tr>
        <w:trPr>
          <w:trHeight w:val="230"/>
        </w:trPr>
        <w:tc>
          <w:tcPr>
            <w:tcW w:w="8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Realized gains from sales of marketable securities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noncash adjustments, net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10,485</w:t>
            </w:r>
          </w:p>
        </w:tc>
      </w:tr>
      <w:tr>
        <w:trPr>
          <w:trHeight w:val="230"/>
        </w:trPr>
        <w:tc>
          <w:tcPr>
            <w:tcW w:w="8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20,314</w:t>
            </w:r>
          </w:p>
        </w:tc>
      </w:tr>
      <w:tr>
        <w:trPr>
          <w:trHeight w:val="229"/>
        </w:trPr>
        <w:tc>
          <w:tcPr>
            <w:tcW w:w="8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(15,255)</w:t>
            </w:r>
          </w:p>
        </w:tc>
      </w:tr>
      <w:tr>
        <w:trPr>
          <w:trHeight w:val="229"/>
        </w:trPr>
        <w:tc>
          <w:tcPr>
            <w:tcW w:w="8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21,155</w:t>
            </w:r>
          </w:p>
        </w:tc>
      </w:tr>
      <w:tr>
        <w:trPr>
          <w:trHeight w:val="229"/>
        </w:trPr>
        <w:tc>
          <w:tcPr>
            <w:tcW w:w="8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r>
      <w:tr>
        <w:trPr>
          <w:trHeight w:val="229"/>
        </w:trPr>
        <w:tc>
          <w:tcPr>
            <w:tcW w:w="8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(8,138)</w:t>
            </w:r>
          </w:p>
        </w:tc>
      </w:tr>
      <w:tr>
        <w:trPr>
          <w:trHeight w:val="230"/>
        </w:trPr>
        <w:tc>
          <w:tcPr>
            <w:tcW w:w="8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Accrued product returns and rebates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10,808</w:t>
            </w:r>
          </w:p>
        </w:tc>
      </w:tr>
      <w:tr>
        <w:trPr>
          <w:trHeight w:val="229"/>
        </w:trPr>
        <w:tc>
          <w:tcPr>
            <w:tcW w:w="8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(36,018)</w:t>
            </w:r>
          </w:p>
        </w:tc>
      </w:tr>
      <w:tr>
        <w:trPr>
          <w:trHeight w:val="223"/>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127,545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66,127</w:t>
            </w:r>
          </w:p>
        </w:tc>
      </w:tr>
      <w:tr>
        <w:trPr>
          <w:trHeight w:val="196"/>
        </w:trPr>
        <w:tc>
          <w:tcPr>
            <w:tcW w:w="8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335,297</w:t>
            </w:r>
          </w:p>
        </w:tc>
      </w:tr>
      <w:tr>
        <w:trPr>
          <w:trHeight w:val="230"/>
        </w:trPr>
        <w:tc>
          <w:tcPr>
            <w:tcW w:w="8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23"/>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(177,229)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334,710</w:t>
            </w:r>
          </w:p>
        </w:tc>
      </w:tr>
      <w:tr>
        <w:trPr>
          <w:trHeight w:val="196"/>
        </w:trPr>
        <w:tc>
          <w:tcPr>
            <w:tcW w:w="8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Proceeds from Credit Line</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93,000</w:t>
            </w:r>
          </w:p>
        </w:tc>
      </w:tr>
      <w:tr>
        <w:trPr>
          <w:trHeight w:val="230"/>
        </w:trPr>
        <w:tc>
          <w:tcPr>
            <w:tcW w:w="8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Payments on Credit Line</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(93,000)</w:t>
            </w:r>
          </w:p>
        </w:tc>
      </w:tr>
      <w:tr>
        <w:trPr>
          <w:trHeight w:val="229"/>
        </w:trPr>
        <w:tc>
          <w:tcPr>
            <w:tcW w:w="8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Payment on convertible notes</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(402,500)</w:t>
            </w:r>
          </w:p>
        </w:tc>
      </w:tr>
      <w:tr>
        <w:trPr>
          <w:trHeight w:val="230"/>
        </w:trPr>
        <w:tc>
          <w:tcPr>
            <w:tcW w:w="8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w:t>
            </w:r>
          </w:p>
        </w:tc>
      </w:tr>
      <w:tr>
        <w:trPr>
          <w:trHeight w:val="230"/>
        </w:trPr>
        <w:tc>
          <w:tcPr>
            <w:tcW w:w="8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Employee taxes paid related to net share settlement of equity awards</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r>
      <w:tr>
        <w:trPr>
          <w:trHeight w:val="223"/>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(398,972)</w:t>
            </w:r>
          </w:p>
        </w:tc>
      </w:tr>
      <w:tr>
        <w:trPr>
          <w:trHeight w:val="196"/>
        </w:trPr>
        <w:tc>
          <w:tcPr>
            <w:tcW w:w="8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r>
      <w:tr>
        <w:trPr>
          <w:trHeight w:val="230"/>
        </w:trPr>
        <w:tc>
          <w:tcPr>
            <w:tcW w:w="8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93,120</w:t>
            </w:r>
          </w:p>
        </w:tc>
      </w:tr>
      <w:tr>
        <w:trPr>
          <w:trHeight w:val="223"/>
        </w:trPr>
        <w:tc>
          <w:tcPr>
            <w:tcW w:w="8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31,673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94,985</w:t>
            </w: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8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Cash paid for interest on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r>
      <w:tr>
        <w:trPr>
          <w:trHeight w:val="230"/>
        </w:trPr>
        <w:tc>
          <w:tcPr>
            <w:tcW w:w="8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27,055</w:t>
            </w:r>
          </w:p>
        </w:tc>
      </w:tr>
      <w:tr>
        <w:trPr>
          <w:trHeight w:val="229"/>
        </w:trPr>
        <w:tc>
          <w:tcPr>
            <w:tcW w:w="8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13,242</w:t>
            </w:r>
          </w:p>
        </w:tc>
      </w:tr>
      <w:tr>
        <w:trPr>
          <w:trHeight w:val="216"/>
        </w:trPr>
        <w:tc>
          <w:tcPr>
            <w:tcW w:w="8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4"/>
        </w:trPr>
        <w:tc>
          <w:tcPr>
            <w:tcW w:w="8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 assets obtained for new operating leases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6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Business Organization</w:t>
      </w:r>
    </w:p>
    <w:p>
      <w:pPr>
        <w:spacing w:after="0" w:line="200" w:lineRule="exact"/>
        <w:rPr>
          <w:sz w:val="20"/>
          <w:szCs w:val="20"/>
          <w:color w:val="auto"/>
        </w:rPr>
      </w:pPr>
    </w:p>
    <w:p>
      <w:pPr>
        <w:ind w:right="160" w:firstLine="648"/>
        <w:spacing w:after="0" w:line="277" w:lineRule="auto"/>
        <w:rPr>
          <w:sz w:val="20"/>
          <w:szCs w:val="20"/>
          <w:color w:val="auto"/>
        </w:rPr>
      </w:pPr>
      <w:r>
        <w:rPr>
          <w:rFonts w:ascii="Times New Roman" w:cs="Times New Roman" w:eastAsia="Times New Roman" w:hAnsi="Times New Roman"/>
          <w:sz w:val="17"/>
          <w:szCs w:val="17"/>
          <w:color w:val="auto"/>
        </w:rPr>
        <w:t xml:space="preserve">Supernus Pharmaceuticals, Inc. (the Company, see </w:t>
      </w:r>
      <w:r>
        <w:rPr>
          <w:rFonts w:ascii="Times New Roman" w:cs="Times New Roman" w:eastAsia="Times New Roman" w:hAnsi="Times New Roman"/>
          <w:sz w:val="17"/>
          <w:szCs w:val="17"/>
          <w:i w:val="1"/>
          <w:iCs w:val="1"/>
          <w:color w:val="auto"/>
        </w:rPr>
        <w:t>Consolidation</w:t>
      </w:r>
      <w:r>
        <w:rPr>
          <w:rFonts w:ascii="Times New Roman" w:cs="Times New Roman" w:eastAsia="Times New Roman" w:hAnsi="Times New Roman"/>
          <w:sz w:val="17"/>
          <w:szCs w:val="17"/>
          <w:color w:val="auto"/>
        </w:rPr>
        <w:t xml:space="preserve"> in Note 2, </w:t>
      </w:r>
      <w:r>
        <w:rPr>
          <w:rFonts w:ascii="Times New Roman" w:cs="Times New Roman" w:eastAsia="Times New Roman" w:hAnsi="Times New Roman"/>
          <w:sz w:val="17"/>
          <w:szCs w:val="17"/>
          <w:i w:val="1"/>
          <w:iCs w:val="1"/>
          <w:color w:val="auto"/>
        </w:rPr>
        <w:t>Summary of Significant Accounting Policies</w:t>
      </w:r>
      <w:r>
        <w:rPr>
          <w:rFonts w:ascii="Times New Roman" w:cs="Times New Roman" w:eastAsia="Times New Roman" w:hAnsi="Times New Roman"/>
          <w:sz w:val="17"/>
          <w:szCs w:val="17"/>
          <w:color w:val="auto"/>
        </w:rPr>
        <w:t>) is a biopharmaceutical company focused on developing and commercializing products for the treatment of central nervous system (CNS) diseases. The Company's diverse neuroscience portfolio includes approved treatments for epilepsy, migraine, attention-deficit hyperactivity disorder (ADHD), hypomobility in Parkinson’s Disease (PD), cervical dystonia, chronic sialorrhea, and dyskinesia in PD patients receiving levodopa-based therapy. The Company is developing a broad range of novel CNS product candidates including new potential treatments for hypomobility in PD, epilepsy, depression, and other CNS disorders.</w:t>
      </w:r>
    </w:p>
    <w:p>
      <w:pPr>
        <w:spacing w:after="0" w:line="126"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The Company has seven commercial products that it markets: Qelbree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GOCOVRI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Oxtellar XR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Trokendi XR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APOKYN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XADAGO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MYOBLOC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 addition, SPN-830 (apomorphine infusion device) is a late-stage drug/device combination product candidate for the continuous treatment of motor fluctuations ("OFF" episodes) in PD patients that are not adequately controlled with oral levodopa and one or more adjunct PD medications. In August 2024, the Company resubmitted to the U.S Food and Drug Administration (FDA) the New Drug Application (NDA) for apomorphine infusion device (SPN-830) for the continuous treatment of motor fluctuations ("OFF" episodes) in Parkinson’s disease. On August 16, 2024, the FDA acknowledged the resubmission of the NDA for the apomorphine infusion device (SPN-830). The resubmission is considered filed, with a user fee goal date (PDUFA date) of February 1, 2025.</w:t>
      </w:r>
    </w:p>
    <w:p>
      <w:pPr>
        <w:spacing w:after="0" w:line="156" w:lineRule="exact"/>
        <w:rPr>
          <w:sz w:val="20"/>
          <w:szCs w:val="20"/>
          <w:color w:val="auto"/>
        </w:rPr>
      </w:pPr>
    </w:p>
    <w:p>
      <w:pPr>
        <w:ind w:right="7540" w:firstLine="8"/>
        <w:spacing w:after="0" w:line="464" w:lineRule="auto"/>
        <w:tabs>
          <w:tab w:leader="none" w:pos="31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have been prepared in accordance with the requirements of the U.S. Securities and Exchange Commission (SEC) for interim financial information. As permitted under Generally Accepted Accounting Principles in the United States (U.S. GAAP), certain notes and other information have been omitted from the interim unaudited condensed consolidated financial statements presented in this Quarterly Report on Form 10-Q. Therefore, these unaudited condensed consolidated financial statements should be read in conjunction with the Company’s most recent Annual Report on Form 10-K, for the year ended December 31, 2023, filed with the SEC.</w:t>
      </w:r>
    </w:p>
    <w:p>
      <w:pPr>
        <w:spacing w:after="0" w:line="14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management’s opinion, the unaudited condensed consolidated financial statements include all normal and recurring adjustments necessary for a fair presentation of the Company’s financial position, results of operations, and cash flows. The results of operations for any interim period are not necessarily indicative of the Company’s future quarterly or annual results.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which is primarily located in the U.S., operates in one operating segment.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185" w:lineRule="exact"/>
        <w:rPr>
          <w:sz w:val="20"/>
          <w:szCs w:val="20"/>
          <w:color w:val="auto"/>
        </w:rPr>
      </w:pPr>
    </w:p>
    <w:p>
      <w:pPr>
        <w:jc w:val="both"/>
        <w:ind w:right="1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prior year amount related to the caption </w:t>
      </w:r>
      <w:r>
        <w:rPr>
          <w:rFonts w:ascii="Times New Roman" w:cs="Times New Roman" w:eastAsia="Times New Roman" w:hAnsi="Times New Roman"/>
          <w:sz w:val="18"/>
          <w:szCs w:val="18"/>
          <w:i w:val="1"/>
          <w:iCs w:val="1"/>
          <w:color w:val="auto"/>
        </w:rPr>
        <w:t>Employee taxes paid related to net share settlement of equity awards</w:t>
      </w:r>
      <w:r>
        <w:rPr>
          <w:rFonts w:ascii="Times New Roman" w:cs="Times New Roman" w:eastAsia="Times New Roman" w:hAnsi="Times New Roman"/>
          <w:sz w:val="18"/>
          <w:szCs w:val="18"/>
          <w:color w:val="auto"/>
        </w:rPr>
        <w:t xml:space="preserve"> in the condensed consolidated statements of cash flows has been reclassified to conform to current year presentation. The reclassification did not affect the other condensed consolidated financial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w:t>
      </w:r>
    </w:p>
    <w:p>
      <w:pPr>
        <w:spacing w:after="0" w:line="18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include the accounts of Supernus Pharmaceuticals, Inc. and its wholly owned subsidiaries. These are collectively referred to herein as "Supernus" or "the Company." Supernus Pharmaceuticals, Inc. and each of its subsidiaries are distinct legal entities. All material intercompany transactions and balances have been eliminated in consolidation.</w:t>
      </w:r>
    </w:p>
    <w:p>
      <w:pPr>
        <w:spacing w:after="0" w:line="135"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unaudited condensed consolidated financial statements reflect the consolidation of entities in which the Company has a controlling financial interest. In determining whether there is a controlling financial interest, the Company considers if it has a majority of the voting interests of the entity, or if the entity is a variable interest entity (VIE) and if the Company is the primary beneficiary. In determining the primary beneficiary of a VIE, the Company evaluates whether it has both: the power to direct the activities of the VIE that most significantly impact the VIE's economic performance; and the obligation to absorb losses of, or the right to receive benefits from the VIE that could potentially be significant to that VIE. The Company's judgment with respect to its level of influence or control of an entity involves the consideration of various factors, including the form of an ownership interest; representation in the entity's governance; the size of the investment; estimates of future cash flows; the ability to</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participate in policymaking decisions; and the rights of the other investors to participate in the decision making process, including the right to liquidate the entity, if applicable. If the Company is not the primary beneficiary of the VIE, and an ownership interest is maintained in the entity, the interest is accounted for under the equity or cost methods of accounting, as appropriate.</w:t>
      </w:r>
    </w:p>
    <w:p>
      <w:pPr>
        <w:spacing w:after="0" w:line="14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Company continuously assesses whether it is the primary beneficiary of a VIE as changes to existing relationships or future transactions may affect its conclusions.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bases its estimates on: historical experience; forecasts; information received from its service providers; information from other sources, including public and proprietary sources; and other assumptions that the Company believes are reasonable under the circumstances. Actual results could differ materially from the Company’s estimates. The Company periodically evaluates the methodologies employed in making its estimates.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Expense</w:t>
      </w:r>
    </w:p>
    <w:p>
      <w:pPr>
        <w:spacing w:after="0" w:line="1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Advertising expense includes the cost of promotional materials and activities, such as printed materials and digital marketing, marketing programs and speaker programs. The cost of the Company's advertising efforts is expensed as incurred.</w:t>
      </w:r>
    </w:p>
    <w:p>
      <w:pPr>
        <w:spacing w:after="0" w:line="121"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incurred approximately $19.6 million and $67.5 million in advertising expense for the three and nine months ended September 30, 2024, respectively, and approximately $25.1 million and $76.9 million for the three and nine months ended September 30, 2023. These expenses are recorded as a component of </w:t>
      </w: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xml:space="preserve"> in the unaudited condensed consolidated statements of earnings (loss).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Recoveries</w:t>
      </w:r>
    </w:p>
    <w:p>
      <w:pPr>
        <w:spacing w:after="0" w:line="189"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The Company has several policies with third-party insurers that provide for the recovery of certain costs incurred by the Company. The Company records our rights to insurance recoveries as a receivable when the respective costs are reimbursable under applicable insurance policies, it is probable that such costs will be reimbursed, and reimbursement can be reasonably estimated. As such, the Company estimates the percentage of costs that will be reimbursed by the insurance provider to determine the proper amount to record for the insurance recovery receivable.</w:t>
      </w:r>
    </w:p>
    <w:p>
      <w:pPr>
        <w:spacing w:after="0" w:line="15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recorded approximately $11.5 million and $12.0 million of insurance recoveries during the three and nine months ended September 30, 2024, respectively. There were no insurance recoveries during the three and nine months ended September 30, 2023. To date, there have not been any material adjustments to our prior estimates of the insurance recovery receivable. Insurance recoveries recognized in fiscal year 2024 were recorded as a reduction to </w:t>
      </w: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and Disclosure Rules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 Not Yet Adopted</w:t>
      </w:r>
    </w:p>
    <w:p>
      <w:pPr>
        <w:spacing w:after="0" w:line="19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Accounting Standards Update (ASU) 2023-07, </w:t>
      </w:r>
      <w:r>
        <w:rPr>
          <w:rFonts w:ascii="Times New Roman" w:cs="Times New Roman" w:eastAsia="Times New Roman" w:hAnsi="Times New Roman"/>
          <w:sz w:val="18"/>
          <w:szCs w:val="18"/>
          <w:i w:val="1"/>
          <w:iCs w:val="1"/>
          <w:color w:val="auto"/>
        </w:rPr>
        <w:t>Improvements to Reportable Segment Disclosures (Topic 280)</w:t>
      </w:r>
      <w:r>
        <w:rPr>
          <w:rFonts w:ascii="Times New Roman" w:cs="Times New Roman" w:eastAsia="Times New Roman" w:hAnsi="Times New Roman"/>
          <w:sz w:val="18"/>
          <w:szCs w:val="18"/>
          <w:color w:val="auto"/>
        </w:rPr>
        <w:t xml:space="preserve"> - The new standard, issued in November 2023, improves reportable segment disclosure requirements, primarily through enhanced disclosures about significant segment expenses that are regularly provided to the chief operating decision maker. ASU 2023-07 also clarifies that entities with a single reportable segment are subject to both new and existing reporting requirements under Topic 280. The standard is effective for fiscal years beginning after December 15, 2023, and interim periods within fiscal years beginning after December 15, 2024, on a retrospective basis, with early adoption permitted. The Company plans to adopt the guidance for the fiscal year ending December 31, 2024. The Company expects ASU 2023-07 to require additional disclosures in the notes to its consolidated financial statements. The Company is currently evaluating the effects the adoption of this guidance will have on the consolidated financial statements.</w:t>
      </w:r>
    </w:p>
    <w:p>
      <w:pPr>
        <w:spacing w:after="0" w:line="142"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(Topic 740) - The new standard, issued in December 2023, requires entities to disclose additional information with respect to the effective tax rate reconciliation and to disclose the disaggregation by jurisdiction of income tax expense and income taxes paid. The standard is effective with annual periods beginning after December 15, 2024, with early adoption permitted. The standard is to be applied on a prospective basis, although optional retrospective application is permitted. The Company plans to adopt the guidance for the fiscal year ending December 31, 2025. The Company expects ASU 2023-09 to require additional disclosures in the notes to its consolidated financial statements. The Company is currently evaluating the effects the adoption of this guidance will have on the consolidated financial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 Final Climate Rule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March 2024, the U.S. Securities and Exchange Commission (SEC) adopted the final rule under SEC Release No. 33-11275, </w:t>
      </w:r>
      <w:r>
        <w:rPr>
          <w:rFonts w:ascii="Times New Roman" w:cs="Times New Roman" w:eastAsia="Times New Roman" w:hAnsi="Times New Roman"/>
          <w:sz w:val="18"/>
          <w:szCs w:val="18"/>
          <w:i w:val="1"/>
          <w:iCs w:val="1"/>
          <w:color w:val="auto"/>
        </w:rPr>
        <w:t>The Enhancement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Standardization of Climate-Related Disclosures for Investors </w:t>
      </w:r>
      <w:r>
        <w:rPr>
          <w:rFonts w:ascii="Times New Roman" w:cs="Times New Roman" w:eastAsia="Times New Roman" w:hAnsi="Times New Roman"/>
          <w:sz w:val="18"/>
          <w:szCs w:val="18"/>
          <w:color w:val="auto"/>
        </w:rPr>
        <w:t>(Final Rule). This rule will require registrants to disclose certain climate-related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in registration statements and annual reports with staggered compliance dates for large accelerated filers for the various aspects of the Final Rule. On April 4, 2024, the SEC issued an order staying the Final Rule. The SEC’s administrative stay is expected to remain in place until the completion of litigation filed in various federal courts challenging, among other things, the agency’s authority to adopt the Final Rule. The Company is currently evaluating the final rule to determine its impact on the Company's disclosures.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Disaggregated Revenues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total revenues (dollars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0" w:type="dxa"/>
            <w:vAlign w:val="bottom"/>
          </w:tcPr>
          <w:p>
            <w:pPr>
              <w:spacing w:after="0"/>
              <w:rPr>
                <w:sz w:val="13"/>
                <w:szCs w:val="13"/>
                <w:color w:val="auto"/>
              </w:rPr>
            </w:pPr>
          </w:p>
        </w:tc>
      </w:tr>
      <w:tr>
        <w:trPr>
          <w:trHeight w:val="196"/>
        </w:trPr>
        <w:tc>
          <w:tcPr>
            <w:tcW w:w="45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Borders>
              <w:bottom w:val="single" w:sz="8" w:color="auto"/>
            </w:tcBorders>
          </w:tcPr>
          <w:p>
            <w:pPr>
              <w:spacing w:after="0"/>
              <w:rPr>
                <w:sz w:val="17"/>
                <w:szCs w:val="17"/>
                <w:color w:val="auto"/>
              </w:rPr>
            </w:pPr>
          </w:p>
        </w:tc>
      </w:tr>
      <w:tr>
        <w:trPr>
          <w:trHeight w:val="196"/>
        </w:trPr>
        <w:tc>
          <w:tcPr>
            <w:tcW w:w="45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4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gridSpan w:val="3"/>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0" w:type="dxa"/>
            <w:vAlign w:val="bottom"/>
          </w:tcPr>
          <w:p>
            <w:pPr>
              <w:spacing w:after="0"/>
              <w:rPr>
                <w:sz w:val="17"/>
                <w:szCs w:val="17"/>
                <w:color w:val="auto"/>
              </w:rPr>
            </w:pPr>
          </w:p>
        </w:tc>
      </w:tr>
      <w:tr>
        <w:trPr>
          <w:trHeight w:val="23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w:t>
            </w:r>
          </w:p>
        </w:tc>
        <w:tc>
          <w:tcPr>
            <w:tcW w:w="9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Qelbree</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62,359</w:t>
            </w:r>
          </w:p>
        </w:tc>
        <w:tc>
          <w:tcPr>
            <w:tcW w:w="12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166,857</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93,840</w:t>
            </w:r>
          </w:p>
        </w:tc>
      </w:tr>
      <w:tr>
        <w:trPr>
          <w:trHeight w:val="230"/>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GOCOVRI</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35,657</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93,922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87,650</w:t>
            </w:r>
          </w:p>
        </w:tc>
      </w:tr>
      <w:tr>
        <w:trPr>
          <w:trHeight w:val="229"/>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Oxtellar XR</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29,805</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86,265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82,359</w:t>
            </w:r>
          </w:p>
        </w:tc>
      </w:tr>
      <w:tr>
        <w:trPr>
          <w:trHeight w:val="229"/>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APOKYN</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19,867</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56,324</w:t>
            </w:r>
          </w:p>
        </w:tc>
      </w:tr>
      <w:tr>
        <w:trPr>
          <w:trHeight w:val="230"/>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Trokendi XR</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15,318</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48,393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74,734</w:t>
            </w:r>
          </w:p>
        </w:tc>
      </w:tr>
      <w:tr>
        <w:trPr>
          <w:trHeight w:val="229"/>
        </w:trPr>
        <w:tc>
          <w:tcPr>
            <w:tcW w:w="45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9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22,053</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23,008</w:t>
            </w: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product sales</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170,302</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471,301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417,915</w:t>
            </w: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licensing and other revenues</w:t>
            </w:r>
          </w:p>
        </w:tc>
        <w:tc>
          <w:tcPr>
            <w:tcW w:w="9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16,357</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25,292</w:t>
            </w: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175,689</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153,880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487,658</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443,207</w:t>
            </w:r>
          </w:p>
        </w:tc>
      </w:tr>
      <w:tr>
        <w:trPr>
          <w:trHeight w:val="20"/>
        </w:trPr>
        <w:tc>
          <w:tcPr>
            <w:tcW w:w="45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w:t>
      </w:r>
    </w:p>
    <w:p>
      <w:pPr>
        <w:ind w:left="180" w:hanging="172"/>
        <w:spacing w:after="0" w:line="218" w:lineRule="auto"/>
        <w:tabs>
          <w:tab w:leader="none" w:pos="18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net product sales of MYOBLOC, XADAGO and Osmolex ER.</w:t>
      </w:r>
    </w:p>
    <w:p>
      <w:pPr>
        <w:spacing w:after="0" w:line="16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In December 2023, the Company submitted to the FDA a notification of discontinuance to withdraw Osmolex ER from distribution.</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Distribution of Osmolex ER ceased on April 1, 2024.</w:t>
      </w:r>
    </w:p>
    <w:p>
      <w:pPr>
        <w:spacing w:after="0" w:line="166" w:lineRule="exact"/>
        <w:rPr>
          <w:sz w:val="20"/>
          <w:szCs w:val="20"/>
          <w:color w:val="auto"/>
        </w:rPr>
      </w:pPr>
    </w:p>
    <w:p>
      <w:pPr>
        <w:ind w:left="180" w:right="380"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recognized noncash royalty revenue of $4.0 million for the nine months ended September 30, 2023. The Company no longer recognizes noncash royalty revenue as ownership of the royalty rights reverted back to the Company during the second quarter of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Investments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Marketable Securities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Unrestricted available-for-sale marketable securities held by the Company are as follows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16"/>
                <w:szCs w:val="16"/>
                <w:color w:val="auto"/>
              </w:rPr>
            </w:pPr>
          </w:p>
        </w:tc>
        <w:tc>
          <w:tcPr>
            <w:tcW w:w="146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90"/>
        </w:trPr>
        <w:tc>
          <w:tcPr>
            <w:tcW w:w="79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r>
      <w:tr>
        <w:trPr>
          <w:trHeight w:val="23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U.S. government agency and municipal debt securities</w:t>
            </w: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30"/>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Amortized cost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371,381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197,153</w:t>
            </w:r>
          </w:p>
        </w:tc>
      </w:tr>
      <w:tr>
        <w:trPr>
          <w:trHeight w:val="230"/>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unrealized gains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7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Gross unrealized losses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196,437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2024, all of our unrestricted available-for-sale marketable securities have contractual maturities of one year or less.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2024, there was no impairment due to credit loss on any available-for-sale marketable securities.</w:t>
      </w:r>
    </w:p>
    <w:p>
      <w:pPr>
        <w:spacing w:after="0" w:line="18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an asset or liability represents the price that would be received to sell an asset or paid to transfer a liability in an orderly transaction between unrelated market participants.</w:t>
      </w:r>
    </w:p>
    <w:p>
      <w:pPr>
        <w:spacing w:after="0" w:line="13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Company reports the fair value of assets and liabilities using a three level measurement hierarchy that prioritizes the inputs used to measure fair value. Fair value hierarchy consists of the following three levels:</w:t>
      </w:r>
    </w:p>
    <w:p>
      <w:pPr>
        <w:spacing w:after="0" w:line="121"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Times New Roman" w:cs="Times New Roman" w:eastAsia="Times New Roman" w:hAnsi="Times New Roman"/>
          <w:sz w:val="18"/>
          <w:szCs w:val="18"/>
          <w:color w:val="auto"/>
        </w:rPr>
        <w:t>Level 1—Valuations based on unadjusted quoted prices in active markets that are accessible at measurement date for identical assets.</w:t>
      </w:r>
    </w:p>
    <w:p>
      <w:pPr>
        <w:spacing w:after="0" w:line="183" w:lineRule="exact"/>
        <w:rPr>
          <w:rFonts w:ascii="Arial" w:cs="Arial" w:eastAsia="Arial" w:hAnsi="Arial"/>
          <w:sz w:val="18"/>
          <w:szCs w:val="18"/>
          <w:color w:val="auto"/>
        </w:rPr>
      </w:pPr>
    </w:p>
    <w:p>
      <w:pPr>
        <w:ind w:left="980" w:right="40" w:hanging="324"/>
        <w:spacing w:after="0" w:line="266"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quoted prices for similar assets or liabilities in active markets, quoted prices for identical or similar assets or liabilities in markets that are not active and model-based valuations in which all significant inputs are observable in the market, either directly or indirectly (e.g., interest rates; yield curves).</w:t>
      </w:r>
    </w:p>
    <w:p>
      <w:pPr>
        <w:spacing w:after="0" w:line="148" w:lineRule="exact"/>
        <w:rPr>
          <w:rFonts w:ascii="Times New Roman" w:cs="Times New Roman" w:eastAsia="Times New Roman" w:hAnsi="Times New Roman"/>
          <w:sz w:val="18"/>
          <w:szCs w:val="18"/>
          <w:color w:val="auto"/>
        </w:rPr>
      </w:pPr>
    </w:p>
    <w:p>
      <w:pPr>
        <w:ind w:left="980" w:right="400" w:hanging="324"/>
        <w:spacing w:after="0" w:line="281" w:lineRule="auto"/>
        <w:tabs>
          <w:tab w:leader="none" w:pos="975" w:val="left"/>
        </w:tabs>
        <w:numPr>
          <w:ilvl w:val="0"/>
          <w:numId w:val="7"/>
        </w:numPr>
        <w:rPr>
          <w:rFonts w:ascii="Arial" w:cs="Arial" w:eastAsia="Arial" w:hAnsi="Arial"/>
          <w:sz w:val="18"/>
          <w:szCs w:val="18"/>
          <w:color w:val="auto"/>
        </w:rPr>
      </w:pPr>
      <w:r>
        <w:rPr>
          <w:rFonts w:ascii="Times New Roman" w:cs="Times New Roman" w:eastAsia="Times New Roman" w:hAnsi="Times New Roman"/>
          <w:sz w:val="18"/>
          <w:szCs w:val="18"/>
          <w:color w:val="auto"/>
        </w:rPr>
        <w:t>Level 3—Valuations using significant inputs that are unobservable in the market and inputs that reflect the Company’s own assumptions. These are based on the best information available, including the Company’s own data.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Assets and Liabilities Recorded at Fair Value</w:t>
      </w:r>
    </w:p>
    <w:p>
      <w:pPr>
        <w:spacing w:after="0" w:line="185" w:lineRule="exact"/>
        <w:rPr>
          <w:sz w:val="20"/>
          <w:szCs w:val="20"/>
          <w:color w:val="auto"/>
        </w:rPr>
      </w:pPr>
    </w:p>
    <w:p>
      <w:pPr>
        <w:ind w:right="580" w:firstLine="810"/>
        <w:spacing w:after="0" w:line="270" w:lineRule="auto"/>
        <w:rPr>
          <w:sz w:val="20"/>
          <w:szCs w:val="20"/>
          <w:color w:val="auto"/>
        </w:rPr>
      </w:pPr>
      <w:r>
        <w:rPr>
          <w:rFonts w:ascii="Times New Roman" w:cs="Times New Roman" w:eastAsia="Times New Roman" w:hAnsi="Times New Roman"/>
          <w:sz w:val="18"/>
          <w:szCs w:val="18"/>
          <w:color w:val="auto"/>
        </w:rPr>
        <w:t>The Company’s financial assets and liabilities that are required to be measured at fair value on a recurring basis are as follows (dollars in thousands):</w:t>
      </w: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20" w:type="dxa"/>
            <w:vAlign w:val="bottom"/>
            <w:gridSpan w:val="9"/>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Fair Value Measurements as of September 30, 2024 (unaudited)</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4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20"/>
                <w:szCs w:val="20"/>
                <w:color w:val="auto"/>
              </w:rPr>
            </w:pPr>
          </w:p>
        </w:tc>
        <w:tc>
          <w:tcPr>
            <w:tcW w:w="14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Pr>
          <w:p>
            <w:pPr>
              <w:spacing w:after="0"/>
              <w:rPr>
                <w:sz w:val="20"/>
                <w:szCs w:val="20"/>
                <w:color w:val="auto"/>
              </w:rPr>
            </w:pPr>
          </w:p>
        </w:tc>
        <w:tc>
          <w:tcPr>
            <w:tcW w:w="14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Pr>
          <w:p>
            <w:pPr>
              <w:spacing w:after="0"/>
              <w:rPr>
                <w:sz w:val="20"/>
                <w:szCs w:val="20"/>
                <w:color w:val="auto"/>
              </w:rPr>
            </w:pPr>
          </w:p>
        </w:tc>
        <w:tc>
          <w:tcPr>
            <w:tcW w:w="1340" w:type="dxa"/>
            <w:vAlign w:val="bottom"/>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68"/>
        </w:trPr>
        <w:tc>
          <w:tcPr>
            <w:tcW w:w="40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4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08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Corporate, U.S. government agency and municipal</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 securities</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371,537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371,537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Marketable securities - restricted (SERP)</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372,153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46,984</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at fair value</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46,984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46,984</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2023</w:t>
            </w: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4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20"/>
                <w:szCs w:val="20"/>
                <w:color w:val="auto"/>
              </w:rPr>
            </w:pPr>
          </w:p>
        </w:tc>
        <w:tc>
          <w:tcPr>
            <w:tcW w:w="16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Pr>
          <w:p>
            <w:pPr>
              <w:spacing w:after="0"/>
              <w:rPr>
                <w:sz w:val="20"/>
                <w:szCs w:val="20"/>
                <w:color w:val="auto"/>
              </w:rPr>
            </w:pPr>
          </w:p>
        </w:tc>
        <w:tc>
          <w:tcPr>
            <w:tcW w:w="14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Pr>
          <w:p>
            <w:pPr>
              <w:spacing w:after="0"/>
              <w:rPr>
                <w:sz w:val="20"/>
                <w:szCs w:val="20"/>
                <w:color w:val="auto"/>
              </w:rPr>
            </w:pPr>
          </w:p>
        </w:tc>
        <w:tc>
          <w:tcPr>
            <w:tcW w:w="1340" w:type="dxa"/>
            <w:vAlign w:val="bottom"/>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68"/>
        </w:trPr>
        <w:tc>
          <w:tcPr>
            <w:tcW w:w="40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4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08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Corporate, U.S. government agency and municipal</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 securities</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179,820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and municipal debt securities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Marketable securities - restricted (SERP)</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196,989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53,450</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at fair value</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53,450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53,450</w:t>
            </w: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ind w:right="3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fair value of restricted marketable securities is recorded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on the condensed consolidated balance sheets. There have been no transfers of assets or liabilities into or out of Level 3 of the fair value hierarchy.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Financial Instruments</w:t>
      </w:r>
    </w:p>
    <w:p>
      <w:pPr>
        <w:spacing w:after="0" w:line="187"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carrying amounts of other financial instruments, including accounts receivable, accounts payable, and accrued expenses approximate fair value due to their short-term maturities.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Contingent Consideration</w:t>
      </w:r>
    </w:p>
    <w:p>
      <w:pPr>
        <w:spacing w:after="0" w:line="18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the current and long-term portions related to the contingent consideration for the USWM Acquisition and Adamas Acquisition (as defined below) (dollars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38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Reported under the following captions in the condensed consolidated balance sheets:</w:t>
            </w:r>
          </w:p>
        </w:tc>
        <w:tc>
          <w:tcPr>
            <w:tcW w:w="24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current portion</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52,070</w:t>
            </w: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consideration, long-term</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Company's contingent consideration liabilities are related to the USWM Acquisition in 2020 and the Adamas Acquisition in 2021. The contingent consideration liabilities are measured at fair value using either a Monte Carlo simulation or the income approach. The Company classifies its contingent consideration liabilities as Level 3 fair value measurements based on the significant unobservable inputs used to estimate fair value. These reflect the inputs and assumptions the Company believes would be made by market participants. Changes in any of those inputs together or in isolation may result in significantly lower or higher fair value measurement. The change in fair value is reported on the condensed consolidated statement of earnings (loss) in </w:t>
      </w:r>
      <w:r>
        <w:rPr>
          <w:rFonts w:ascii="Times New Roman" w:cs="Times New Roman" w:eastAsia="Times New Roman" w:hAnsi="Times New Roman"/>
          <w:sz w:val="18"/>
          <w:szCs w:val="18"/>
          <w:i w:val="1"/>
          <w:iCs w:val="1"/>
          <w:color w:val="auto"/>
        </w:rPr>
        <w:t>Contingent consideration gain</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USWM Contingent Consideration</w:t>
      </w:r>
    </w:p>
    <w:p>
      <w:pPr>
        <w:spacing w:after="0" w:line="200"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On June 9, 2020 (the USWM Closing Date), the Company completed its acquisition of all the outstanding equity of USWM Enterprises, LLC (USWM Enterprises) (USWM Acquisition). The USWM Acquisition included potential additional contingent consideration payments for regulatory and development milestones and sales-based milestones. As of September 30, 2024, the remaining potential contingent consideration payments are up to $55 million in regulatory and development milestones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comprised of (1) $25 million related to the FDA's approval of the SPN-830 NDA and (2) $30 million related to the subsequent commercial product launch.</w:t>
      </w:r>
    </w:p>
    <w:p>
      <w:pPr>
        <w:spacing w:after="0" w:line="198"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key assumptions considered in estimating the fair value include the estimated probability and timing of milestone achievement, such as the probability and timing of obtaining regulatory approval, timing of projected revenues, and the discount rate.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Adamas Contingent Consideration</w:t>
      </w:r>
    </w:p>
    <w:p>
      <w:pPr>
        <w:spacing w:after="0" w:line="18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On November 24, 2021 (the Adamas Closing Date), the Company completed its acquisition of all the outstanding equity of Adamas (Adamas Acquisition). The Adamas Acquisition included payment of two non-tradable contingent value rights (CVRs) each of which represents the contractual right to receive a contingent payment upon the achievement of the applicable aggregate worldwide net product sales of GOCOVRI.</w:t>
      </w:r>
    </w:p>
    <w:p>
      <w:pPr>
        <w:spacing w:after="0" w:line="14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Each CVR represents the contractual right to receive a contingent payment of $0.50 per share in cash, less any applicable withholding taxes and without interest, upon the achievement of the applicable milestone (each such amount, a Milestone Payment) in accordance with the terms of a Contingent Value Rights Agreement entered into between the Company and American Stock Transfer &amp; Trust Company, LLC, as rights agent, as further defined in the CVR agreement. One Milestone Payment is payable (subject to certain terms and conditions) upon the first occurrence of the achievement of aggregate worldwide net sales of GOCOVRI in excess of $150 million during any consecutive 12-month period ending on or before December 31, 2024 (Milestone 2024). Another Milestone Payment is payable (subject to certain terms and conditions) upon the first occurrence of the achievement of aggregate worldwide net sales of GOCOVRI in excess of $225 million during any consecutive 12-month period ending on or before December 31, 2025 (Milestone 2025 and, together with Milestone 2024, the Milestones). Each Milestone may only be achieved once. The possible outcomes for the contingent consideration range from $0 to $50.9 million on an undiscounted basis.</w:t>
      </w:r>
    </w:p>
    <w:p>
      <w:pPr>
        <w:spacing w:after="0" w:line="148"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key assumptions considered in estimating the fair value of the Adamas sales-based milestones include the estimated revenue projections, volatility, estimated discount rates and risk-free interest rate.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the Fair Value of Contingent Consideration</w:t>
      </w:r>
    </w:p>
    <w:p>
      <w:pPr>
        <w:spacing w:after="0" w:line="200" w:lineRule="exact"/>
        <w:rPr>
          <w:sz w:val="20"/>
          <w:szCs w:val="20"/>
          <w:color w:val="auto"/>
        </w:rPr>
      </w:pPr>
    </w:p>
    <w:p>
      <w:pPr>
        <w:ind w:right="680" w:firstLine="648"/>
        <w:spacing w:after="0" w:line="270" w:lineRule="auto"/>
        <w:rPr>
          <w:sz w:val="20"/>
          <w:szCs w:val="20"/>
          <w:color w:val="auto"/>
        </w:rPr>
      </w:pPr>
      <w:r>
        <w:rPr>
          <w:rFonts w:ascii="Times New Roman" w:cs="Times New Roman" w:eastAsia="Times New Roman" w:hAnsi="Times New Roman"/>
          <w:sz w:val="18"/>
          <w:szCs w:val="18"/>
          <w:color w:val="auto"/>
        </w:rPr>
        <w:t>The following tables provide a reconciliation of the beginning and ending balances related to the contingent consideration for the USWM Acquisition and Adamas Acquisition (dollars in thousands):</w:t>
      </w: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USWM Acquisition</w:t>
            </w:r>
          </w:p>
        </w:tc>
        <w:tc>
          <w:tcPr>
            <w:tcW w:w="16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Adamas Acquisition</w:t>
            </w:r>
          </w:p>
        </w:tc>
        <w:tc>
          <w:tcPr>
            <w:tcW w:w="380" w:type="dxa"/>
            <w:vAlign w:val="bottom"/>
          </w:tcPr>
          <w:p>
            <w:pPr>
              <w:spacing w:after="0"/>
              <w:rPr>
                <w:sz w:val="16"/>
                <w:szCs w:val="16"/>
                <w:color w:val="auto"/>
              </w:rPr>
            </w:pPr>
          </w:p>
        </w:tc>
        <w:tc>
          <w:tcPr>
            <w:tcW w:w="12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53,450</w:t>
            </w:r>
          </w:p>
        </w:tc>
      </w:tr>
      <w:tr>
        <w:trPr>
          <w:trHeight w:val="230"/>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 recognized in earnings</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(6,466)</w:t>
            </w: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 (unaudited)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46,984</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450"/>
        </w:trPr>
        <w:tc>
          <w:tcPr>
            <w:tcW w:w="6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USWM Acquisition</w:t>
            </w:r>
          </w:p>
        </w:tc>
        <w:tc>
          <w:tcPr>
            <w:tcW w:w="160" w:type="dxa"/>
            <w:vAlign w:val="bottom"/>
          </w:tcPr>
          <w:p>
            <w:pPr>
              <w:spacing w:after="0"/>
              <w:rPr>
                <w:sz w:val="24"/>
                <w:szCs w:val="24"/>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Adamas Acquisition</w:t>
            </w:r>
          </w:p>
        </w:tc>
        <w:tc>
          <w:tcPr>
            <w:tcW w:w="380" w:type="dxa"/>
            <w:vAlign w:val="bottom"/>
          </w:tcPr>
          <w:p>
            <w:pPr>
              <w:spacing w:after="0"/>
              <w:rPr>
                <w:sz w:val="24"/>
                <w:szCs w:val="24"/>
                <w:color w:val="auto"/>
              </w:rPr>
            </w:pPr>
          </w:p>
        </w:tc>
        <w:tc>
          <w:tcPr>
            <w:tcW w:w="12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54,967</w:t>
            </w:r>
          </w:p>
        </w:tc>
      </w:tr>
      <w:tr>
        <w:trPr>
          <w:trHeight w:val="230"/>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 recognized in earnings</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(1,313)</w:t>
            </w: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2023 (unaudited)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53,654</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recorded the following changes in fair value of the contingent consideration liability for the USWM milestones:</w:t>
      </w:r>
    </w:p>
    <w:p>
      <w:pPr>
        <w:spacing w:after="0" w:line="171" w:lineRule="exact"/>
        <w:rPr>
          <w:sz w:val="20"/>
          <w:szCs w:val="20"/>
          <w:color w:val="auto"/>
        </w:rPr>
      </w:pPr>
    </w:p>
    <w:p>
      <w:pPr>
        <w:ind w:left="660" w:right="60" w:firstLine="320"/>
        <w:spacing w:after="0" w:line="250" w:lineRule="auto"/>
        <w:tabs>
          <w:tab w:leader="none" w:pos="13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recorded a $1.3 million expense and a $0.1 million expense due to the change in fair value of contingent consideration liabilities for the USWM milestones for the three and nine months ended September 30, 2024, respectively. The change in fair value of contingent consideration for the USWM milestones was primarily due to the change in timing of milestone achievement and estimated discount rate in the third quarter of 2024 and passage of time in both periods.</w:t>
      </w:r>
    </w:p>
    <w:p>
      <w:pPr>
        <w:spacing w:after="0" w:line="150" w:lineRule="exact"/>
        <w:rPr>
          <w:rFonts w:ascii="Times New Roman" w:cs="Times New Roman" w:eastAsia="Times New Roman" w:hAnsi="Times New Roman"/>
          <w:sz w:val="18"/>
          <w:szCs w:val="18"/>
          <w:color w:val="auto"/>
        </w:rPr>
      </w:pPr>
    </w:p>
    <w:p>
      <w:pPr>
        <w:ind w:left="660" w:right="40" w:firstLine="320"/>
        <w:spacing w:after="0" w:line="246" w:lineRule="auto"/>
        <w:tabs>
          <w:tab w:leader="none" w:pos="13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recorded a $0.7 million expense and a $0.4 million gain due to the change in the fair value of the contingent consideration liabilities for the USWM milestones for the three and nine months ended September 30, 2023, respectively. The change in the fair value of contingent consideration for the USWM milestones was primarily driven by the change in estimated fair value of regulatory and developmental milestones due to passage of time in both periods, as well as the change in timing of milestone achievement and estimated discount rate in the first quarter of 2023.</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recorded the following changes in fair value of the contingent consideration liabilities for the Adamas CVRs:</w:t>
      </w:r>
    </w:p>
    <w:p>
      <w:pPr>
        <w:spacing w:after="0" w:line="185" w:lineRule="exact"/>
        <w:rPr>
          <w:sz w:val="20"/>
          <w:szCs w:val="20"/>
          <w:color w:val="auto"/>
        </w:rPr>
      </w:pPr>
    </w:p>
    <w:p>
      <w:pPr>
        <w:ind w:left="660" w:right="360" w:firstLine="320"/>
        <w:spacing w:after="0" w:line="258" w:lineRule="auto"/>
        <w:tabs>
          <w:tab w:leader="none" w:pos="130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recorded a $2.3 million gain and a $6.6 million gain due to the change in fair value of the contingent consideration liabilities for the Adamas CVRs for the three and nine months ended September 30, 2024, respectively. The change in fair value of contingent consideration was primarily due to passage of time.</w:t>
      </w:r>
    </w:p>
    <w:p>
      <w:pPr>
        <w:spacing w:after="0" w:line="128" w:lineRule="exact"/>
        <w:rPr>
          <w:rFonts w:ascii="Times New Roman" w:cs="Times New Roman" w:eastAsia="Times New Roman" w:hAnsi="Times New Roman"/>
          <w:sz w:val="18"/>
          <w:szCs w:val="18"/>
          <w:color w:val="auto"/>
        </w:rPr>
      </w:pPr>
    </w:p>
    <w:p>
      <w:pPr>
        <w:ind w:left="660" w:right="360" w:firstLine="320"/>
        <w:spacing w:after="0" w:line="266" w:lineRule="auto"/>
        <w:tabs>
          <w:tab w:leader="none" w:pos="130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recorded a $1.1 million gain and a $0.9 million gain due to the change in fair value of the contingent consideration liabilities for the Adamas CVRs for the three and nine months ended September 30, 2023, respectively. The change in fair value of contingent consideration for the Adamas milestones was primarily due to passage of time and changes in the estimated discount rate.</w:t>
      </w:r>
    </w:p>
    <w:p>
      <w:pPr>
        <w:spacing w:after="0" w:line="14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Intangibles Assets, Net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sets forth the gross carrying amounts and related accumulated amortization of intangible assets (dollars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920" w:type="dxa"/>
            <w:vAlign w:val="bottom"/>
          </w:tcPr>
          <w:p>
            <w:pPr>
              <w:spacing w:after="0"/>
              <w:rPr>
                <w:sz w:val="13"/>
                <w:szCs w:val="13"/>
                <w:color w:val="auto"/>
              </w:rPr>
            </w:pPr>
          </w:p>
        </w:tc>
        <w:tc>
          <w:tcPr>
            <w:tcW w:w="1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920" w:type="dxa"/>
            <w:vAlign w:val="bottom"/>
          </w:tcPr>
          <w:p>
            <w:pPr>
              <w:spacing w:after="0"/>
              <w:rPr>
                <w:sz w:val="12"/>
                <w:szCs w:val="12"/>
                <w:color w:val="auto"/>
              </w:rPr>
            </w:pPr>
          </w:p>
        </w:tc>
        <w:tc>
          <w:tcPr>
            <w:tcW w:w="12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98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 Life</w:t>
            </w: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9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Gross</w:t>
            </w:r>
          </w:p>
        </w:tc>
        <w:tc>
          <w:tcPr>
            <w:tcW w:w="12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 Net</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Gross</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7"/>
                <w:szCs w:val="17"/>
                <w:color w:val="auto"/>
              </w:rPr>
            </w:pPr>
          </w:p>
        </w:tc>
        <w:tc>
          <w:tcPr>
            <w:tcW w:w="9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Amount, Net</w:t>
            </w:r>
          </w:p>
        </w:tc>
        <w:tc>
          <w:tcPr>
            <w:tcW w:w="0" w:type="dxa"/>
            <w:vAlign w:val="bottom"/>
          </w:tcPr>
          <w:p>
            <w:pPr>
              <w:spacing w:after="0"/>
              <w:rPr>
                <w:sz w:val="1"/>
                <w:szCs w:val="1"/>
                <w:color w:val="auto"/>
              </w:rPr>
            </w:pPr>
          </w:p>
        </w:tc>
      </w:tr>
      <w:tr>
        <w:trPr>
          <w:trHeight w:val="160"/>
        </w:trPr>
        <w:tc>
          <w:tcPr>
            <w:tcW w:w="292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Acquired in-process research and</w:t>
            </w: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124,000</w:t>
            </w:r>
          </w:p>
        </w:tc>
        <w:tc>
          <w:tcPr>
            <w:tcW w:w="0" w:type="dxa"/>
            <w:vAlign w:val="bottom"/>
          </w:tcPr>
          <w:p>
            <w:pPr>
              <w:spacing w:after="0"/>
              <w:rPr>
                <w:sz w:val="1"/>
                <w:szCs w:val="1"/>
                <w:color w:val="auto"/>
              </w:rPr>
            </w:pPr>
          </w:p>
        </w:tc>
      </w:tr>
      <w:tr>
        <w:trPr>
          <w:trHeight w:val="175"/>
        </w:trPr>
        <w:tc>
          <w:tcPr>
            <w:tcW w:w="2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Intangible assets subject to</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920" w:type="dxa"/>
            <w:vAlign w:val="bottom"/>
            <w:shd w:val="clear" w:color="auto" w:fill="CCEEFF"/>
          </w:tcPr>
          <w:p>
            <w:pPr>
              <w:ind w:left="140"/>
              <w:spacing w:after="0" w:line="180" w:lineRule="exact"/>
              <w:rPr>
                <w:sz w:val="20"/>
                <w:szCs w:val="20"/>
                <w:color w:val="auto"/>
              </w:rPr>
            </w:pPr>
            <w:r>
              <w:rPr>
                <w:rFonts w:ascii="Times New Roman" w:cs="Times New Roman" w:eastAsia="Times New Roman" w:hAnsi="Times New Roman"/>
                <w:sz w:val="18"/>
                <w:szCs w:val="18"/>
                <w:color w:val="auto"/>
              </w:rPr>
              <w:t>Acquired developed technology and</w:t>
            </w: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rights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661,311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(245,155)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416,156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661,311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(190,395)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470,916</w:t>
            </w:r>
          </w:p>
        </w:tc>
        <w:tc>
          <w:tcPr>
            <w:tcW w:w="0" w:type="dxa"/>
            <w:vAlign w:val="bottom"/>
          </w:tcPr>
          <w:p>
            <w:pPr>
              <w:spacing w:after="0"/>
              <w:rPr>
                <w:sz w:val="1"/>
                <w:szCs w:val="1"/>
                <w:color w:val="auto"/>
              </w:rPr>
            </w:pPr>
          </w:p>
        </w:tc>
      </w:tr>
      <w:tr>
        <w:trPr>
          <w:trHeight w:val="230"/>
        </w:trPr>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Capitalized patent defense costs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0" w:type="dxa"/>
            <w:vAlign w:val="bottom"/>
          </w:tcPr>
          <w:p>
            <w:pPr>
              <w:spacing w:after="0"/>
              <w:rPr>
                <w:sz w:val="1"/>
                <w:szCs w:val="1"/>
                <w:color w:val="auto"/>
              </w:rPr>
            </w:pPr>
          </w:p>
        </w:tc>
      </w:tr>
      <w:tr>
        <w:trPr>
          <w:trHeight w:val="248"/>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10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599,889</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was $19.5 million and $59.7 million for the three and nine months ended September 30, 2024, and $21.2 million and $61.3 million for the three and nine months ended September 30, 2023, respectively.</w:t>
      </w:r>
    </w:p>
    <w:p>
      <w:pPr>
        <w:spacing w:after="0" w:line="121"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U.S. patents covering Trokendi XR and Oxtellar XR will expire no earlier than 2027. The Company entered into settlement agreements that allowed third parties to enter the Trokendi XR market on January 1, 2023. The Company entered into settlement and license agreements that allowed a third party to enter the Oxtellar XR market in September 2024.</w:t>
      </w:r>
    </w:p>
    <w:p>
      <w:pPr>
        <w:spacing w:after="0" w:line="14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Company entered into settlement and license agreements that allows third parties to enter the XADAGO market in December 2027, or sooner under certain conditions.</w:t>
      </w:r>
    </w:p>
    <w:p>
      <w:pPr>
        <w:spacing w:after="0" w:line="1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Debt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Uncommitted Demand Secured Line of Credit</w:t>
      </w:r>
    </w:p>
    <w:p>
      <w:pPr>
        <w:spacing w:after="0" w:line="20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On February 8, 2023, the Company entered into a credit line agreement with UBS (the Credit Line). The Credit Line provides for a revolving line of credit of up to $150 million, which can be drawn at any time. Any fixed rate borrowing will bear interest at a fixed interest rate, equal to the sum of (i) the UBS Fixed Funding Rate (as defined in the Credit Line) plus (ii) the applicable Percentage Spread established in the Credit Line. Any variable rate borrowing will bear interest at a variable interest rate, equal to the sum of (i) the UBS Variable Rate (as defined in the Credit Line) plus (ii) the applicable Percentage Spread established in the Credit Line.</w:t>
      </w:r>
    </w:p>
    <w:p>
      <w:pPr>
        <w:spacing w:after="0" w:line="143" w:lineRule="exact"/>
        <w:rPr>
          <w:sz w:val="20"/>
          <w:szCs w:val="20"/>
          <w:color w:val="auto"/>
        </w:rPr>
      </w:pPr>
    </w:p>
    <w:p>
      <w:pPr>
        <w:ind w:right="140" w:firstLine="648"/>
        <w:spacing w:after="0" w:line="289" w:lineRule="auto"/>
        <w:rPr>
          <w:sz w:val="20"/>
          <w:szCs w:val="20"/>
          <w:color w:val="auto"/>
        </w:rPr>
      </w:pPr>
      <w:r>
        <w:rPr>
          <w:rFonts w:ascii="Times New Roman" w:cs="Times New Roman" w:eastAsia="Times New Roman" w:hAnsi="Times New Roman"/>
          <w:sz w:val="17"/>
          <w:szCs w:val="17"/>
          <w:color w:val="auto"/>
        </w:rPr>
        <w:t>The Credit Line is secured by a first priority lien and security interest in certain of the Company’s assets, including each account of the Company at UBS Financial Services Inc. (the Collateral Account), and other such collateral (collectively, the Collateral), as further defined in the Credit Line. The Company may be required to post additional collateral if the value of the Collateral declines below the required collateral maintenance requirements.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Upon certain customary events of default, all amounts due under the Credit Line will become immediately due and payable without demand, and UBS has the right, in its discretion, to liquidate, transfer, withdraw or sell all or any part of the Collateral and apply the proceeds to repay any borrowings pursuant to the Credit Line.</w:t>
      </w:r>
    </w:p>
    <w:p>
      <w:pPr>
        <w:spacing w:after="0" w:line="14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Company has the right to repay any variable rate advance under the Credit Line at any time, in whole or in part, without penalty. The Company may repay any fixed rate advance in whole, but may not repay any fixed rate advance in part. In its discretion and without cause, UBS has the right at any time to demand full or partial payment of amounts borrowed pursuant to the Credit Line and terminate the Credit Line.</w:t>
      </w:r>
    </w:p>
    <w:p>
      <w:pPr>
        <w:spacing w:after="0" w:line="13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March 30, 2023, the Company borrowed $93.0 million under the Credit Line, which bore a variable interest rate. The funds from this borrowing were used to repay outstanding indebtedness under the 0.625% Convertible Senior Notes Due 2023 (2023 Notes). In the second quarter of 2023, the Company repaid the total principal balance of $93.0 million under the Credit Line and the interest incurred on the Credit Line of $0.7 million. As of September 30, 2024, there was no outstanding debt under the Credit Line.</w:t>
      </w:r>
    </w:p>
    <w:p>
      <w:pPr>
        <w:spacing w:after="0" w:line="13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Share-Based Payments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18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On June 14, 2024, the Company's shareholders approved, and the Company has adopted, the Amended and Restated 2021 Equity Incentive Plan (the Amended 2021 Plan) to increase the number of shares of the Company's common stock available for issuance under the 2021 Plan by 4,000,000.</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Share-based compensation expense is as follows (dollars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340" w:type="dxa"/>
            <w:vAlign w:val="bottom"/>
            <w:gridSpan w:val="6"/>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80" w:type="dxa"/>
            <w:vAlign w:val="bottom"/>
            <w:gridSpan w:val="6"/>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45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center"/>
              <w:ind w:left="13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45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96"/>
        </w:trPr>
        <w:tc>
          <w:tcPr>
            <w:tcW w:w="4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gridSpan w:val="4"/>
          </w:tcPr>
          <w:p>
            <w:pPr>
              <w:jc w:val="center"/>
              <w:ind w:left="13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5"/>
          </w:tcPr>
          <w:p>
            <w:pPr>
              <w:jc w:val="center"/>
              <w:ind w:left="957"/>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2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16,856</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20,314</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Stock Option</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5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5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activities:</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7"/>
        </w:trPr>
        <w:tc>
          <w:tcPr>
            <w:tcW w:w="45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gridSpan w:val="4"/>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20" w:type="dxa"/>
            <w:vAlign w:val="bottom"/>
          </w:tcPr>
          <w:p>
            <w:pPr>
              <w:spacing w:after="0"/>
              <w:rPr>
                <w:sz w:val="11"/>
                <w:szCs w:val="11"/>
                <w:color w:val="auto"/>
              </w:rPr>
            </w:pPr>
          </w:p>
        </w:tc>
        <w:tc>
          <w:tcPr>
            <w:tcW w:w="1280" w:type="dxa"/>
            <w:vAlign w:val="bottom"/>
          </w:tcPr>
          <w:p>
            <w:pPr>
              <w:jc w:val="center"/>
              <w:ind w:right="257"/>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6"/>
        </w:trPr>
        <w:tc>
          <w:tcPr>
            <w:tcW w:w="4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4"/>
            <w:vMerge w:val="continue"/>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center"/>
              <w:ind w:right="257"/>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4"/>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1280" w:type="dxa"/>
            <w:vAlign w:val="bottom"/>
          </w:tcPr>
          <w:p>
            <w:pPr>
              <w:jc w:val="center"/>
              <w:ind w:right="257"/>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96"/>
        </w:trPr>
        <w:tc>
          <w:tcPr>
            <w:tcW w:w="4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320" w:type="dxa"/>
            <w:vAlign w:val="bottom"/>
          </w:tcPr>
          <w:p>
            <w:pPr>
              <w:spacing w:after="0"/>
              <w:rPr>
                <w:sz w:val="17"/>
                <w:szCs w:val="17"/>
                <w:color w:val="auto"/>
              </w:rPr>
            </w:pPr>
          </w:p>
        </w:tc>
        <w:tc>
          <w:tcPr>
            <w:tcW w:w="1280" w:type="dxa"/>
            <w:vAlign w:val="bottom"/>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0" w:type="dxa"/>
            <w:vAlign w:val="bottom"/>
          </w:tcPr>
          <w:p>
            <w:pPr>
              <w:spacing w:after="0"/>
              <w:rPr>
                <w:sz w:val="1"/>
                <w:szCs w:val="1"/>
                <w:color w:val="auto"/>
              </w:rPr>
            </w:pPr>
          </w:p>
        </w:tc>
      </w:tr>
      <w:tr>
        <w:trPr>
          <w:trHeight w:val="229"/>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96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6,583,822</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30"/>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1,171,612</w:t>
            </w:r>
          </w:p>
        </w:tc>
        <w:tc>
          <w:tcPr>
            <w:tcW w:w="20" w:type="dxa"/>
            <w:vAlign w:val="bottom"/>
          </w:tcPr>
          <w:p>
            <w:pPr>
              <w:spacing w:after="0"/>
              <w:rPr>
                <w:sz w:val="19"/>
                <w:szCs w:val="19"/>
                <w:color w:val="auto"/>
              </w:rPr>
            </w:pPr>
          </w:p>
        </w:tc>
        <w:tc>
          <w:tcPr>
            <w:tcW w:w="3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(336,868)</w:t>
            </w: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(251,657)</w:t>
            </w: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September 30, 2024 (unaudited)</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7,166,909</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September 30, 2024 (unaudited):</w:t>
            </w: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7,166,909</w:t>
            </w:r>
          </w:p>
        </w:tc>
        <w:tc>
          <w:tcPr>
            <w:tcW w:w="20" w:type="dxa"/>
            <w:vAlign w:val="bottom"/>
          </w:tcPr>
          <w:p>
            <w:pPr>
              <w:spacing w:after="0"/>
              <w:rPr>
                <w:sz w:val="19"/>
                <w:szCs w:val="19"/>
                <w:color w:val="auto"/>
              </w:rPr>
            </w:pPr>
          </w:p>
        </w:tc>
        <w:tc>
          <w:tcPr>
            <w:tcW w:w="3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Exercisable</w:t>
            </w: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4,560,609</w:t>
            </w: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70"/>
        </w:trPr>
        <w:tc>
          <w:tcPr>
            <w:tcW w:w="4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2023:</w:t>
            </w: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6,583,822</w:t>
            </w:r>
          </w:p>
        </w:tc>
        <w:tc>
          <w:tcPr>
            <w:tcW w:w="20" w:type="dxa"/>
            <w:vAlign w:val="bottom"/>
          </w:tcPr>
          <w:p>
            <w:pPr>
              <w:spacing w:after="0"/>
              <w:rPr>
                <w:sz w:val="19"/>
                <w:szCs w:val="19"/>
                <w:color w:val="auto"/>
              </w:rPr>
            </w:pPr>
          </w:p>
        </w:tc>
        <w:tc>
          <w:tcPr>
            <w:tcW w:w="3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Exercisable</w:t>
            </w: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4,110,537</w:t>
            </w: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891"/>
        </w:trPr>
        <w:tc>
          <w:tcPr>
            <w:tcW w:w="4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jc w:val="right"/>
              <w:ind w:right="338"/>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restricted stock unit (RSU) activities: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162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790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right="37"/>
              <w:spacing w:after="0" w:line="146"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8"/>
        </w:trPr>
        <w:tc>
          <w:tcPr>
            <w:tcW w:w="79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28"/>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December 31, 2023</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0" w:type="dxa"/>
            <w:vAlign w:val="bottom"/>
          </w:tcPr>
          <w:p>
            <w:pPr>
              <w:spacing w:after="0"/>
              <w:rPr>
                <w:sz w:val="1"/>
                <w:szCs w:val="1"/>
                <w:color w:val="auto"/>
              </w:rPr>
            </w:pPr>
          </w:p>
        </w:tc>
      </w:tr>
      <w:tr>
        <w:trPr>
          <w:trHeight w:val="229"/>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198,414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(100,891)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0" w:type="dxa"/>
            <w:vAlign w:val="bottom"/>
          </w:tcPr>
          <w:p>
            <w:pPr>
              <w:spacing w:after="0"/>
              <w:rPr>
                <w:sz w:val="1"/>
                <w:szCs w:val="1"/>
                <w:color w:val="auto"/>
              </w:rPr>
            </w:pPr>
          </w:p>
        </w:tc>
      </w:tr>
      <w:tr>
        <w:trPr>
          <w:trHeight w:val="229"/>
        </w:trPr>
        <w:tc>
          <w:tcPr>
            <w:tcW w:w="7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(19,124)</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September 30, 2024 (unaudited)</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378,540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Units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performance share unit (PSU) activities: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40" w:type="dxa"/>
            <w:vAlign w:val="bottom"/>
          </w:tcPr>
          <w:p>
            <w:pPr>
              <w:spacing w:after="0"/>
              <w:rPr>
                <w:sz w:val="16"/>
                <w:szCs w:val="16"/>
                <w:color w:val="auto"/>
              </w:rPr>
            </w:pPr>
          </w:p>
        </w:tc>
        <w:tc>
          <w:tcPr>
            <w:tcW w:w="282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Performance-Based Units</w:t>
            </w:r>
          </w:p>
        </w:tc>
        <w:tc>
          <w:tcPr>
            <w:tcW w:w="280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Market-Based Units</w:t>
            </w:r>
          </w:p>
        </w:tc>
        <w:tc>
          <w:tcPr>
            <w:tcW w:w="2720" w:type="dxa"/>
            <w:vAlign w:val="bottom"/>
            <w:gridSpan w:val="4"/>
          </w:tcPr>
          <w:p>
            <w:pPr>
              <w:jc w:val="right"/>
              <w:ind w:right="938"/>
              <w:spacing w:after="0"/>
              <w:rPr>
                <w:sz w:val="20"/>
                <w:szCs w:val="20"/>
                <w:color w:val="auto"/>
              </w:rPr>
            </w:pPr>
            <w:r>
              <w:rPr>
                <w:rFonts w:ascii="Times New Roman" w:cs="Times New Roman" w:eastAsia="Times New Roman" w:hAnsi="Times New Roman"/>
                <w:sz w:val="14"/>
                <w:szCs w:val="14"/>
                <w:b w:val="1"/>
                <w:bCs w:val="1"/>
                <w:color w:val="auto"/>
              </w:rPr>
              <w:t>Total PSUs</w:t>
            </w:r>
          </w:p>
        </w:tc>
        <w:tc>
          <w:tcPr>
            <w:tcW w:w="0" w:type="dxa"/>
            <w:vAlign w:val="bottom"/>
          </w:tcPr>
          <w:p>
            <w:pPr>
              <w:spacing w:after="0"/>
              <w:rPr>
                <w:sz w:val="1"/>
                <w:szCs w:val="1"/>
                <w:color w:val="auto"/>
              </w:rPr>
            </w:pPr>
          </w:p>
        </w:tc>
      </w:tr>
      <w:tr>
        <w:trPr>
          <w:trHeight w:val="23"/>
        </w:trPr>
        <w:tc>
          <w:tcPr>
            <w:tcW w:w="2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840" w:type="dxa"/>
            <w:vAlign w:val="bottom"/>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3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3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7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2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78"/>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2840" w:type="dxa"/>
            <w:vAlign w:val="bottom"/>
          </w:tcPr>
          <w:p>
            <w:pPr>
              <w:spacing w:after="0"/>
              <w:rPr>
                <w:sz w:val="11"/>
                <w:szCs w:val="11"/>
                <w:color w:val="auto"/>
              </w:rPr>
            </w:pPr>
          </w:p>
        </w:tc>
        <w:tc>
          <w:tcPr>
            <w:tcW w:w="13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 PSUs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30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Number of PSUs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3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 PSUs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center"/>
              <w:ind w:right="58"/>
              <w:spacing w:after="0" w:line="137"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0"/>
        </w:trPr>
        <w:tc>
          <w:tcPr>
            <w:tcW w:w="28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3"/>
        </w:trPr>
        <w:tc>
          <w:tcPr>
            <w:tcW w:w="28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December 31, 2023</w:t>
            </w:r>
          </w:p>
        </w:tc>
        <w:tc>
          <w:tcPr>
            <w:tcW w:w="1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251,630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271,630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0" w:type="dxa"/>
            <w:vAlign w:val="bottom"/>
          </w:tcPr>
          <w:p>
            <w:pPr>
              <w:spacing w:after="0"/>
              <w:rPr>
                <w:sz w:val="1"/>
                <w:szCs w:val="1"/>
                <w:color w:val="auto"/>
              </w:rPr>
            </w:pPr>
          </w:p>
        </w:tc>
      </w:tr>
      <w:tr>
        <w:trPr>
          <w:trHeight w:val="229"/>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252,700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252,700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(62,980)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(62,980)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0" w:type="dxa"/>
            <w:vAlign w:val="bottom"/>
          </w:tcPr>
          <w:p>
            <w:pPr>
              <w:spacing w:after="0"/>
              <w:rPr>
                <w:sz w:val="1"/>
                <w:szCs w:val="1"/>
                <w:color w:val="auto"/>
              </w:rPr>
            </w:pPr>
          </w:p>
        </w:tc>
      </w:tr>
      <w:tr>
        <w:trPr>
          <w:trHeight w:val="230"/>
        </w:trPr>
        <w:tc>
          <w:tcPr>
            <w:tcW w:w="2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(58,050)</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(58,050)</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0" w:type="dxa"/>
            <w:vAlign w:val="bottom"/>
          </w:tcPr>
          <w:p>
            <w:pPr>
              <w:spacing w:after="0"/>
              <w:rPr>
                <w:sz w:val="1"/>
                <w:szCs w:val="1"/>
                <w:color w:val="auto"/>
              </w:rPr>
            </w:pPr>
          </w:p>
        </w:tc>
      </w:tr>
      <w:tr>
        <w:trPr>
          <w:trHeight w:val="155"/>
        </w:trPr>
        <w:tc>
          <w:tcPr>
            <w:tcW w:w="28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Nonvested, September 30, 2024</w:t>
            </w:r>
          </w:p>
        </w:tc>
        <w:tc>
          <w:tcPr>
            <w:tcW w:w="1320" w:type="dxa"/>
            <w:vAlign w:val="bottom"/>
            <w:vMerge w:val="restart"/>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383,300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9"/>
              </w:rPr>
              <w:t>403,300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(unaudited)</w:t>
            </w: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Earnings (Loss) per Share</w:t>
      </w:r>
    </w:p>
    <w:p>
      <w:pPr>
        <w:spacing w:after="0" w:line="256" w:lineRule="exact"/>
        <w:rPr>
          <w:sz w:val="20"/>
          <w:szCs w:val="20"/>
          <w:color w:val="auto"/>
        </w:rPr>
      </w:pPr>
    </w:p>
    <w:p>
      <w:pPr>
        <w:ind w:right="280" w:firstLine="648"/>
        <w:spacing w:after="0" w:line="26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(loss) per share for the three and nine months ended September 30, 2024 and 2023 (dollars in thousands, except share and per share amounts):</w:t>
      </w:r>
    </w:p>
    <w:tbl>
      <w:tblPr>
        <w:tblLayout w:type="fixed"/>
        <w:tblInd w:w="0" w:type="dxa"/>
        <w:tblCellMar>
          <w:top w:w="0" w:type="dxa"/>
          <w:left w:w="0" w:type="dxa"/>
          <w:bottom w:w="0" w:type="dxa"/>
          <w:right w:w="0" w:type="dxa"/>
        </w:tblCellMar>
      </w:tblPr>
      <w:tr>
        <w:trPr>
          <w:trHeight w:val="147"/>
        </w:trPr>
        <w:tc>
          <w:tcPr>
            <w:tcW w:w="4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60" w:type="dxa"/>
            <w:vAlign w:val="bottom"/>
            <w:gridSpan w:val="3"/>
          </w:tcPr>
          <w:p>
            <w:pPr>
              <w:jc w:val="center"/>
              <w:ind w:left="497"/>
              <w:spacing w:after="0" w:line="14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40" w:type="dxa"/>
            <w:vAlign w:val="bottom"/>
            <w:gridSpan w:val="3"/>
          </w:tcPr>
          <w:p>
            <w:pPr>
              <w:jc w:val="center"/>
              <w:ind w:left="537"/>
              <w:spacing w:after="0" w:line="147"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000" w:type="dxa"/>
            <w:vAlign w:val="bottom"/>
          </w:tcPr>
          <w:p>
            <w:pPr>
              <w:spacing w:after="0"/>
              <w:rPr>
                <w:sz w:val="12"/>
                <w:szCs w:val="12"/>
                <w:color w:val="auto"/>
              </w:rPr>
            </w:pPr>
          </w:p>
        </w:tc>
      </w:tr>
      <w:tr>
        <w:trPr>
          <w:trHeight w:val="196"/>
        </w:trPr>
        <w:tc>
          <w:tcPr>
            <w:tcW w:w="45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Borders>
              <w:bottom w:val="single" w:sz="8" w:color="auto"/>
            </w:tcBorders>
          </w:tcPr>
          <w:p>
            <w:pPr>
              <w:spacing w:after="0"/>
              <w:rPr>
                <w:sz w:val="17"/>
                <w:szCs w:val="17"/>
                <w:color w:val="auto"/>
              </w:rPr>
            </w:pPr>
          </w:p>
        </w:tc>
      </w:tr>
      <w:tr>
        <w:trPr>
          <w:trHeight w:val="196"/>
        </w:trPr>
        <w:tc>
          <w:tcPr>
            <w:tcW w:w="45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4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60" w:type="dxa"/>
            <w:vAlign w:val="bottom"/>
            <w:gridSpan w:val="3"/>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40" w:type="dxa"/>
            <w:vAlign w:val="bottom"/>
            <w:gridSpan w:val="3"/>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0" w:type="dxa"/>
            <w:vAlign w:val="bottom"/>
          </w:tcPr>
          <w:p>
            <w:pPr>
              <w:spacing w:after="0"/>
              <w:rPr>
                <w:sz w:val="17"/>
                <w:szCs w:val="17"/>
                <w:color w:val="auto"/>
              </w:rPr>
            </w:pPr>
          </w:p>
        </w:tc>
      </w:tr>
      <w:tr>
        <w:trPr>
          <w:trHeight w:val="23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38,497</w:t>
            </w:r>
          </w:p>
        </w:tc>
        <w:tc>
          <w:tcPr>
            <w:tcW w:w="10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58,537</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55,149,760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54,608,963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54,977,199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54,498,687</w:t>
            </w:r>
          </w:p>
        </w:tc>
      </w:tr>
      <w:tr>
        <w:trPr>
          <w:trHeight w:val="230"/>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4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options and stock awards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866,590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813,986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1,076,235</w:t>
            </w:r>
          </w:p>
        </w:tc>
      </w:tr>
      <w:tr>
        <w:trPr>
          <w:trHeight w:val="248"/>
        </w:trPr>
        <w:tc>
          <w:tcPr>
            <w:tcW w:w="45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56,016,350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54,608,963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55,791,185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55,574,922</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 basic</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34"/>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 diluted</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Pr>
          <w:p>
            <w:pPr>
              <w:spacing w:after="0"/>
              <w:rPr>
                <w:sz w:val="20"/>
                <w:szCs w:val="20"/>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24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common stock equivalents of outstanding stock-based awards and shares associated with the conversion of the 2023 Notes excluded in the calculation of diluted earnings (loss) per share, because their inclusion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be anti-dilutive: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2340" w:type="dxa"/>
            <w:vAlign w:val="bottom"/>
          </w:tcPr>
          <w:p>
            <w:pPr>
              <w:jc w:val="center"/>
              <w:ind w:left="88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tcPr>
          <w:p>
            <w:pPr>
              <w:jc w:val="center"/>
              <w:ind w:left="92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0" w:type="dxa"/>
            <w:vAlign w:val="bottom"/>
          </w:tcPr>
          <w:p>
            <w:pPr>
              <w:spacing w:after="0"/>
              <w:rPr>
                <w:sz w:val="13"/>
                <w:szCs w:val="13"/>
                <w:color w:val="auto"/>
              </w:rPr>
            </w:pPr>
          </w:p>
        </w:tc>
      </w:tr>
      <w:tr>
        <w:trPr>
          <w:trHeight w:val="195"/>
        </w:trPr>
        <w:tc>
          <w:tcPr>
            <w:tcW w:w="4520" w:type="dxa"/>
            <w:vAlign w:val="bottom"/>
          </w:tcPr>
          <w:p>
            <w:pPr>
              <w:spacing w:after="0"/>
              <w:rPr>
                <w:sz w:val="16"/>
                <w:szCs w:val="16"/>
                <w:color w:val="auto"/>
              </w:rPr>
            </w:pPr>
          </w:p>
        </w:tc>
        <w:tc>
          <w:tcPr>
            <w:tcW w:w="2340" w:type="dxa"/>
            <w:vAlign w:val="bottom"/>
            <w:tcBorders>
              <w:bottom w:val="single" w:sz="8" w:color="auto"/>
            </w:tcBorders>
          </w:tcPr>
          <w:p>
            <w:pPr>
              <w:jc w:val="center"/>
              <w:ind w:left="90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tcBorders>
              <w:bottom w:val="single" w:sz="8" w:color="auto"/>
            </w:tcBorders>
          </w:tcPr>
          <w:p>
            <w:pPr>
              <w:jc w:val="center"/>
              <w:ind w:left="92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Borders>
              <w:bottom w:val="single" w:sz="8" w:color="auto"/>
            </w:tcBorders>
          </w:tcPr>
          <w:p>
            <w:pPr>
              <w:spacing w:after="0"/>
              <w:rPr>
                <w:sz w:val="16"/>
                <w:szCs w:val="16"/>
                <w:color w:val="auto"/>
              </w:rPr>
            </w:pPr>
          </w:p>
        </w:tc>
      </w:tr>
      <w:tr>
        <w:trPr>
          <w:trHeight w:val="195"/>
        </w:trPr>
        <w:tc>
          <w:tcPr>
            <w:tcW w:w="4520" w:type="dxa"/>
            <w:vAlign w:val="bottom"/>
          </w:tcPr>
          <w:p>
            <w:pPr>
              <w:spacing w:after="0"/>
              <w:rPr>
                <w:sz w:val="16"/>
                <w:szCs w:val="16"/>
                <w:color w:val="auto"/>
              </w:rPr>
            </w:pPr>
          </w:p>
        </w:tc>
        <w:tc>
          <w:tcPr>
            <w:tcW w:w="2340" w:type="dxa"/>
            <w:vAlign w:val="bottom"/>
            <w:tcBorders>
              <w:bottom w:val="single" w:sz="8" w:color="auto"/>
            </w:tcBorders>
          </w:tcPr>
          <w:p>
            <w:pPr>
              <w:jc w:val="right"/>
              <w:ind w:right="1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320" w:type="dxa"/>
            <w:vAlign w:val="bottom"/>
            <w:tcBorders>
              <w:bottom w:val="single" w:sz="8" w:color="auto"/>
            </w:tcBorders>
          </w:tcPr>
          <w:p>
            <w:pPr>
              <w:jc w:val="right"/>
              <w:ind w:right="13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4520" w:type="dxa"/>
            <w:vAlign w:val="bottom"/>
          </w:tcPr>
          <w:p>
            <w:pPr>
              <w:spacing w:after="0"/>
              <w:rPr>
                <w:sz w:val="17"/>
                <w:szCs w:val="17"/>
                <w:color w:val="auto"/>
              </w:rPr>
            </w:pPr>
          </w:p>
        </w:tc>
        <w:tc>
          <w:tcPr>
            <w:tcW w:w="2340" w:type="dxa"/>
            <w:vAlign w:val="bottom"/>
          </w:tcPr>
          <w:p>
            <w:pPr>
              <w:jc w:val="center"/>
              <w:ind w:left="90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tcPr>
          <w:p>
            <w:pPr>
              <w:jc w:val="center"/>
              <w:ind w:left="92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0" w:type="dxa"/>
            <w:vAlign w:val="bottom"/>
          </w:tcPr>
          <w:p>
            <w:pPr>
              <w:spacing w:after="0"/>
              <w:rPr>
                <w:sz w:val="17"/>
                <w:szCs w:val="17"/>
                <w:color w:val="auto"/>
              </w:rPr>
            </w:pPr>
          </w:p>
        </w:tc>
      </w:tr>
      <w:tr>
        <w:trPr>
          <w:trHeight w:val="23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Notes</w:t>
            </w:r>
          </w:p>
        </w:tc>
        <w:tc>
          <w:tcPr>
            <w:tcW w:w="234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2,261,312</w:t>
            </w:r>
          </w:p>
        </w:tc>
      </w:tr>
      <w:tr>
        <w:trPr>
          <w:trHeight w:val="234"/>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and stock awards</w:t>
            </w:r>
          </w:p>
        </w:tc>
        <w:tc>
          <w:tcPr>
            <w:tcW w:w="2340" w:type="dxa"/>
            <w:vAlign w:val="bottom"/>
          </w:tcPr>
          <w:p>
            <w:pPr>
              <w:jc w:val="right"/>
              <w:ind w:right="722"/>
              <w:spacing w:after="0"/>
              <w:rPr>
                <w:sz w:val="20"/>
                <w:szCs w:val="20"/>
                <w:color w:val="auto"/>
              </w:rPr>
            </w:pPr>
            <w:r>
              <w:rPr>
                <w:rFonts w:ascii="Times New Roman" w:cs="Times New Roman" w:eastAsia="Times New Roman" w:hAnsi="Times New Roman"/>
                <w:sz w:val="18"/>
                <w:szCs w:val="18"/>
                <w:color w:val="auto"/>
              </w:rPr>
              <w:t>712,457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411,506</w:t>
            </w:r>
          </w:p>
        </w:tc>
        <w:tc>
          <w:tcPr>
            <w:tcW w:w="100" w:type="dxa"/>
            <w:vAlign w:val="bottom"/>
          </w:tcPr>
          <w:p>
            <w:pPr>
              <w:spacing w:after="0"/>
              <w:rPr>
                <w:sz w:val="20"/>
                <w:szCs w:val="20"/>
                <w:color w:val="auto"/>
              </w:rPr>
            </w:pPr>
          </w:p>
        </w:tc>
        <w:tc>
          <w:tcPr>
            <w:tcW w:w="2320" w:type="dxa"/>
            <w:vAlign w:val="bottom"/>
          </w:tcPr>
          <w:p>
            <w:pPr>
              <w:jc w:val="right"/>
              <w:ind w:right="702"/>
              <w:spacing w:after="0"/>
              <w:rPr>
                <w:sz w:val="20"/>
                <w:szCs w:val="20"/>
                <w:color w:val="auto"/>
              </w:rPr>
            </w:pPr>
            <w:r>
              <w:rPr>
                <w:rFonts w:ascii="Times New Roman" w:cs="Times New Roman" w:eastAsia="Times New Roman" w:hAnsi="Times New Roman"/>
                <w:sz w:val="18"/>
                <w:szCs w:val="18"/>
                <w:color w:val="auto"/>
              </w:rPr>
              <w:t>772,255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486,080</w:t>
            </w:r>
          </w:p>
        </w:tc>
      </w:tr>
    </w:tbl>
    <w:p>
      <w:pPr>
        <w:spacing w:after="0" w:line="243" w:lineRule="exact"/>
        <w:rPr>
          <w:sz w:val="20"/>
          <w:szCs w:val="20"/>
          <w:color w:val="auto"/>
        </w:rPr>
      </w:pPr>
    </w:p>
    <w:p>
      <w:pPr>
        <w:ind w:left="400" w:hanging="392"/>
        <w:spacing w:after="0"/>
        <w:tabs>
          <w:tab w:leader="none" w:pos="4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Expense</w:t>
      </w:r>
    </w:p>
    <w:p>
      <w:pPr>
        <w:spacing w:after="0" w:line="202" w:lineRule="exact"/>
        <w:rPr>
          <w:sz w:val="20"/>
          <w:szCs w:val="20"/>
          <w:color w:val="auto"/>
        </w:rPr>
      </w:pPr>
    </w:p>
    <w:p>
      <w:pPr>
        <w:ind w:right="160" w:firstLine="648"/>
        <w:spacing w:after="0" w:line="270"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Company’s income tax expense for the three and nine months ended September 30, 2024 and 2023 (dollars in thousands):</w:t>
      </w:r>
    </w:p>
    <w:tbl>
      <w:tblPr>
        <w:tblLayout w:type="fixed"/>
        <w:tblInd w:w="0" w:type="dxa"/>
        <w:tblCellMar>
          <w:top w:w="0" w:type="dxa"/>
          <w:left w:w="0" w:type="dxa"/>
          <w:bottom w:w="0" w:type="dxa"/>
          <w:right w:w="0" w:type="dxa"/>
        </w:tblCellMar>
      </w:tblPr>
      <w:tr>
        <w:trPr>
          <w:trHeight w:val="147"/>
        </w:trPr>
        <w:tc>
          <w:tcPr>
            <w:tcW w:w="4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80" w:type="dxa"/>
            <w:vAlign w:val="bottom"/>
            <w:gridSpan w:val="3"/>
            <w:vMerge w:val="restart"/>
          </w:tcPr>
          <w:p>
            <w:pPr>
              <w:jc w:val="center"/>
              <w:ind w:right="2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gridSpan w:val="2"/>
          </w:tcPr>
          <w:p>
            <w:pPr>
              <w:jc w:val="center"/>
              <w:ind w:left="70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6,446</w:t>
            </w:r>
          </w:p>
        </w:tc>
        <w:tc>
          <w:tcPr>
            <w:tcW w:w="7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25,865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12,951</w:t>
            </w:r>
          </w:p>
        </w:tc>
        <w:tc>
          <w:tcPr>
            <w:tcW w:w="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1,638</w:t>
            </w:r>
          </w:p>
        </w:tc>
        <w:tc>
          <w:tcPr>
            <w:tcW w:w="0" w:type="dxa"/>
            <w:vAlign w:val="bottom"/>
          </w:tcPr>
          <w:p>
            <w:pPr>
              <w:spacing w:after="0"/>
              <w:rPr>
                <w:sz w:val="1"/>
                <w:szCs w:val="1"/>
                <w:color w:val="auto"/>
              </w:rPr>
            </w:pPr>
          </w:p>
        </w:tc>
      </w:tr>
      <w:tr>
        <w:trPr>
          <w:trHeight w:val="234"/>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7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5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92.1 %</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Income tax expense was $6.4 million (14.3% effective tax rate) and $13.0 million (18.1% effective tax rate) for the three and nine months ended September 30, 2024, as compared to an income tax expense of $25.9 million (261.6% effective tax rate) and $1.6 million (92.1% effective tax rate) for the three and nine months ended September 30, 2023. The change in both periods was primarily due to higher forecasted earnings before taxes for the three and nine months ended September 30, 2024 as compared to the near break-even forecasted earnings before taxes in 2023.</w:t>
      </w:r>
    </w:p>
    <w:p>
      <w:pPr>
        <w:spacing w:after="0" w:line="20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Company's effective income tax rates for the three and nine months ended September 30, 2024 vary from the statutory federal tax rate in United States (U.S. federal tax rate) of 21% primarily due to increased tax benefits related to current and prior years research and development tax credits. The Company's effective income tax rates for the three and nine months ended September 30, 2023 vary from the statutory U.S. federal tax rate primarily due to near break-even forecasted earnings before taxes.</w:t>
      </w:r>
    </w:p>
    <w:p>
      <w:pPr>
        <w:spacing w:after="0" w:line="207"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annual forecasted earnings represent the Company's best estimate as of September 30, 2024 and 2023, are subject to change and could have a material impact on the effective tax rate in subsequent periods. Accounting Standard Codification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requires the Company to estimate the annual effective income tax rate for the full year and apply it to pre-tax income (loss) for each interim period, taking into account year-to-date amounts and projected results for the full year.</w:t>
      </w:r>
    </w:p>
    <w:p>
      <w:pPr>
        <w:spacing w:after="0" w:line="14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Operating lease assets and lease liabilities as reported on the condensed consolidated balance sheets are as follows (dollars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2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5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4280" w:type="dxa"/>
            <w:vAlign w:val="bottom"/>
            <w:tcBorders>
              <w:bottom w:val="single" w:sz="8" w:color="CCEEFF"/>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6"/>
        </w:trPr>
        <w:tc>
          <w:tcPr>
            <w:tcW w:w="428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assets</w:t>
            </w:r>
          </w:p>
        </w:tc>
        <w:tc>
          <w:tcPr>
            <w:tcW w:w="3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28,994</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assets</w:t>
            </w:r>
          </w:p>
        </w:tc>
        <w:tc>
          <w:tcPr>
            <w:tcW w:w="3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28,994</w:t>
            </w: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37"/>
        </w:trPr>
        <w:tc>
          <w:tcPr>
            <w:tcW w:w="4280" w:type="dxa"/>
            <w:vAlign w:val="bottom"/>
            <w:shd w:val="clear" w:color="auto" w:fill="CCEEFF"/>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3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Accounts payable and accrued liabilities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8,331</w:t>
            </w:r>
          </w:p>
        </w:tc>
      </w:tr>
      <w:tr>
        <w:trPr>
          <w:trHeight w:val="230"/>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340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Operating lease liabilities, long-term</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33,196</w:t>
            </w: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41,527</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Composition of Other Balance Sheet Items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details the composition of other balance sheet items (dollars in thousands for amounts in tables):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 Net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38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5"/>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16,274</w:t>
            </w: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31,212</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29,922</w:t>
            </w:r>
          </w:p>
        </w:tc>
        <w:tc>
          <w:tcPr>
            <w:tcW w:w="0" w:type="dxa"/>
            <w:vAlign w:val="bottom"/>
          </w:tcPr>
          <w:p>
            <w:pPr>
              <w:spacing w:after="0"/>
              <w:rPr>
                <w:sz w:val="1"/>
                <w:szCs w:val="1"/>
                <w:color w:val="auto"/>
              </w:rPr>
            </w:pP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63,981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77,408</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Property and Equipment, Net</w:t>
            </w: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79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24"/>
                <w:szCs w:val="24"/>
                <w:color w:val="auto"/>
              </w:rPr>
            </w:pPr>
          </w:p>
        </w:tc>
        <w:tc>
          <w:tcPr>
            <w:tcW w:w="138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9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7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 equipment and furniture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13,069</w:t>
            </w: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14,023</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28,935</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(15,405)</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13,530</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on property and equipment was approximately $0.6 million and $1.8 million for the three and nine months ended September 30, 2024 respectively, and $0.6 million and $1.9 million for the three and nine months ended September 30, 2023,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Payable and Accrued Liabilities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3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3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benefits, &amp; related accruals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20,722</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sales &amp; marketing</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11,666</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manufacturing expenses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11,652</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R&amp;D expenses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10,530</w:t>
            </w:r>
          </w:p>
        </w:tc>
      </w:tr>
      <w:tr>
        <w:trPr>
          <w:trHeight w:val="230"/>
        </w:trPr>
        <w:tc>
          <w:tcPr>
            <w:tcW w:w="7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lease liabilities, current portion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8,331</w:t>
            </w:r>
          </w:p>
        </w:tc>
      </w:tr>
      <w:tr>
        <w:trPr>
          <w:trHeight w:val="230"/>
        </w:trPr>
        <w:tc>
          <w:tcPr>
            <w:tcW w:w="7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Accrued royalties </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7,918</w:t>
            </w:r>
          </w:p>
        </w:tc>
      </w:tr>
      <w:tr>
        <w:trPr>
          <w:trHeight w:val="229"/>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6,786</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79,569</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ind w:left="180" w:hanging="172"/>
        <w:spacing w:after="0" w:line="212" w:lineRule="auto"/>
        <w:tabs>
          <w:tab w:leader="none" w:pos="1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 xml:space="preserve">Refer to Note 12,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w:t>
      </w:r>
    </w:p>
    <w:p>
      <w:pPr>
        <w:spacing w:after="0" w:line="10" w:lineRule="exact"/>
        <w:rPr>
          <w:rFonts w:ascii="Times New Roman" w:cs="Times New Roman" w:eastAsia="Times New Roman" w:hAnsi="Times New Roman"/>
          <w:sz w:val="22"/>
          <w:szCs w:val="22"/>
          <w:color w:val="auto"/>
          <w:vertAlign w:val="superscript"/>
        </w:rPr>
      </w:pPr>
    </w:p>
    <w:p>
      <w:pPr>
        <w:ind w:left="180" w:hanging="172"/>
        <w:spacing w:after="0" w:line="188" w:lineRule="auto"/>
        <w:tabs>
          <w:tab w:leader="none" w:pos="1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 xml:space="preserve">Refer to Note 14,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Product Returns and Rebates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38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79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7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product rebates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111,695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96,984</w:t>
            </w:r>
          </w:p>
        </w:tc>
      </w:tr>
      <w:tr>
        <w:trPr>
          <w:trHeight w:val="229"/>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product returns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57,290</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154,274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Licenses</w:t>
      </w:r>
    </w:p>
    <w:p>
      <w:pPr>
        <w:spacing w:after="0" w:line="18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 has obtained exclusive licenses from third parties for proprietary rights to support the product candidates in the Company's CNS portfolio. Under these license agreements, the Company may be required to pay certain amounts upon the achievement of defined milestones. If these products are ultimately commercialized, the Company is also obligated to pay royalties to third parties, computed as a percentage of net product sales, for each respective product under a license agreement.</w:t>
      </w:r>
    </w:p>
    <w:p>
      <w:pPr>
        <w:spacing w:after="0" w:line="153"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Through the USWM Acquisition, the Company acquired licensing agreements with other pharmaceutical companies for APOKYN, XADAGO, and MYOBLOC. The Company is obligated to pay royalties to third parties, computed as a percentage of net product sales, for each of the products under the respective license agreements. The royalty expense incurred for these acquired products is recognized as </w:t>
      </w: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xml:space="preserve"> in the condensed consolidated statements of earnings (loss).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Navitor Development Agreement</w:t>
      </w:r>
    </w:p>
    <w:p>
      <w:pPr>
        <w:spacing w:after="0" w:line="18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April 2020, the Company entered into a development agreement (Development Agreement) with Navitor Pharmaceuticals, Inc. (Navitor Inc.). The Company can terminate the Development Agreement upon 30 days' notice. Under the terms of the Development Agreement, the Company and Navitor Inc. will jointly conduct a Phase II clinical program for NV-5138 (SPN-820) for treatment-resistant depression. The Company agreed to bear certain Phase I and Phase II development costs incurred by either party, up to a maximum of $50 million, which amount could be increased under the terms of the Development Agreement upon Navitor’s request and the Company’s consent. In 2020, the Company paid a one-time, nonrefundable, and non-creditable fee of $10 million for the option to acquire or license NV-5138 (SPN-820) and made a $15 million equity investment representing approximately 13% ownership in Navitor Inc. There are also certain additional payments which could be incurred by the Company that are contingent upon Navitor Inc. achieving defined milestones. These payments include an additional license or acquisition fee depending on whether the Company ultimately licenses or acquires NV-5138 (SPN-820), and subsequent clinical, regulatory and sales milestone payments. The total payments, exclusive of the royalty payments on net sales of NV-5138 (SPN-820) and development costs paid by the Company under the agreement, have the potential to reach $410 million to</w:t>
      </w:r>
    </w:p>
    <w:p>
      <w:pPr>
        <w:spacing w:after="0" w:line="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$475 million, which includes an aggregate upfront payment of $25 million paid in 2020 for the option to acquire or license NV-5138 (SPN-820) and the equity investment, an additional license or acquisition fee depending on whether the Company ultimately licenses or acquires NV-5138 (SPN-820), and subsequent clinical, regulatory and sales based milestone payments. The Company also will have the first right of refusal for any compound with a similar mechanism of action to NV-5138 (SPN-820) on mTORC1 in the central nervous system.</w:t>
      </w:r>
    </w:p>
    <w:p>
      <w:pPr>
        <w:spacing w:after="0" w:line="148"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In addition to entering into the Development Agreement in April 2020, as above mentioned, the Company acquired Series D Preferred Shares of Navitor Inc. (the Navitor Shares), an equity investment representing an approximately 13% ownership position in Navitor Inc. As part of a legal restructuring in March 2021, the Company's Navitor Inc. Shares were exchanged for membership interests in Navitor Pharmaceutics LLC (Navitor LLC), which became the sole shareholder of Navitor Inc. The Company has determined that although Navitor LLC is a VIE, the Company does not consolidate the results of this VIE into its financial results because the Company lacks the power to direct the activities that most significantly impact Navitor’s economic performance.</w:t>
      </w:r>
    </w:p>
    <w:p>
      <w:pPr>
        <w:spacing w:after="0" w:line="16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In the second quarter of 2024, the Company consented to payment of additional Phase II development costs for NV-5138 (SPN-820) as they are incurred, but reserves the right to terminate payment of future development costs at its discretion.</w:t>
      </w:r>
    </w:p>
    <w:p>
      <w:pPr>
        <w:spacing w:after="0" w:line="121"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maximum exposure to losses related to Navitor LLC includes the approximately $50 million for Phase I and Phase II development of NV-5138 (SPN-820) already paid by the Company, plus the cost of other development and formulation activities provided by the Company and additional Phase II development costs the Company agreed to pay pursuant to the Development Agreement.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Subsequent to the Development Agreement entered into in 2020, no additional equity investment has been made or financing has been provided to Navitor Inc. or Navitor LLC.</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USWM Enterprise Commitments Assumed</w:t>
      </w:r>
    </w:p>
    <w:p>
      <w:pPr>
        <w:spacing w:after="0" w:line="187"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As part of the USWM Acquisition, the Company assumed the remaining commitments of USWM Enterprises and its subsidiaries, which are discussed below.</w:t>
      </w:r>
    </w:p>
    <w:p>
      <w:pPr>
        <w:spacing w:after="0" w:line="121"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Company assumed the annual minimum purchase requirement of MYOBLOC, amounting to an estimated €3.9 million annually, under the contract manufacturing agreement with Merz for manufacture and supply.</w:t>
      </w:r>
    </w:p>
    <w:p>
      <w:pPr>
        <w:spacing w:after="0" w:line="121"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MDD US Operations, LLC (formerly US WorldMeds, LLC) and its subsidiary, Solstice Neurosciences, LLC (US) (collectively, the MDD Subsidiaries) entered into a Corporate Integrity Agreement (CIA) with the Office of Inspector General of the U.S. Department of Health and Human Services which was effective in April 2019. Under the CIA, the MDD Subsidiaries agreed to and paid $17.5 million to resolve U.S. Department of Justice allegations that it violated the False Claims Act and committed to the establishment and ongoing maintenance of an effective compliance program. The fine was paid by the MDD Subsidiaries prior to closing of the USWM Acquisition. As part of the USWM Acquisition, the Company assumed the obligations of the CIA and could become liable for payment of certain stipulated monetary penalties in the event of any CIA violations. In addition, the Company continues to maintain a broad array of processes, policies and procedures necessary to comply with the CIA and submitted its final report during the second quarter of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 and Litigation</w:t>
      </w:r>
    </w:p>
    <w:p>
      <w:pPr>
        <w:spacing w:after="0" w:line="20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From time to time, the Company may be involved in various claims, litigation and legal proceedings. These matters may involve patent litigation, product liability and other product-related litigation, commercial and other matters, and government investigations, among others.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will accrue a liability for the estimated loss. Because of uncertainties related to claims, legal proceedings and litigation, accruals will be based on the Company's best estimates based on available information. The Company does not believe that any of these matters will have a material adverse effect on our financial position. The Company may reassess the potential liability related to these matters and may revise these estimates. The process of resolving matters through litigation or other means is inherently uncertain and it is possible that an unfavorable resolution of these matters will adversely affect the Company, its results of operations, financial condition and cash flows.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NAMENDA XR/Namzaric Qui Tam Litigation</w:t>
      </w:r>
    </w:p>
    <w:p>
      <w:pPr>
        <w:spacing w:after="0" w:line="18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On April 1, 2019, Adamas was served with a complaint filed in the United States District Court for the Northern District of California (the District Court) (Case No. 3:18-cv-03018-JCS) against it and several Allergan entities alleging violations of federal and state false claims acts (FCA) in connection with the commercialization of NAMENDA XR and Namzaric by Allergan. The lawsuit is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complaint brought by an individual, asserting rights of the federal government and various state governments. The lawsuit was originally filed in May 2018 under seal, and Adamas became aware of the lawsuit when it was served. The complaint alleges that patents held by Allergan and Adamas covering NAMENDA XR and Namzaric were procured through fraud on the United States Patent and Trademark Office and that these patents were asserted against potential generic manufacturers of NAMENDA XR and Namzaric to prevent the generic manufacturers from entering the market, thereby wrongfully excluding generic competition resulting in artificially high price being charged to government payors. Adamas' patents in question were licensed exclusively to Forest Laboratories Holdings Limited. The complaint includes a claim for damages of "potentially more than $2.5 billion dollars," treble damages and statutory penalties. To date the federal and state governments have declined to intervene in this action. This case is currently stayed pending Adamas's and Allergan's interlocutory appeal of the District Court's December 11, 2020 order denying Adamas's and Allergan's motion to dismiss the complaint. The appeal is pending in the United States Court of Appeals for the Ninth Circuit (Case No. 21-80005). Argument was held on January 10, 2022. On August 25, 2022, the Ninth Circuit sided with the defendants by reversing the District Court’s public disclosure bar rulings and remanding the case back to the District Court to decide certain issues in the first instance. On October 11, 2022, the plaintiff filed a petition for rehearing with the Ninth Circuit which was denied on November 3, 2022. On December 23, 2022, the defendants filed renewed motions to dismiss directed to the remaining unresolved issue. On March 20, 2023, the District Court entered an order and final judgement dismissing with prejudice the FCA claim while declining to exercise supplemental jurisdiction over the state false claims act claims which were dismissed without prejudice. On April 19, 2023, the plaintiff appealed the District Court's dismissal of the Federal False Claims Act claim. </w:t>
      </w:r>
      <w:r>
        <w:rPr>
          <w:rFonts w:ascii="Times New Roman" w:cs="Times New Roman" w:eastAsia="Times New Roman" w:hAnsi="Times New Roman"/>
          <w:sz w:val="18"/>
          <w:szCs w:val="18"/>
          <w:color w:val="333333"/>
        </w:rPr>
        <w:t>On February 20, 2024, the plaintiff filed a motion for an indicative ruling and to set aside the judgment in the District Court, based on the same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arguments raised in his appeal. That motion was fully briefed and the District Court determined that the motion for an indicative ruling was suitable for determination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333333"/>
        </w:rPr>
        <w:t>without a hearing. On May 7, 2024, the District Court denied the plaintiff’s motion for an indicative ruling. The appeal is fully briefed, and the Ninth Circuit has set oral argument for November 21,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APOKYN Litigation</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October 3, 2022, Sage Chemical, Inc. and TruPharma, LLC filed a lawsuit in the United States District Court for the District of Delaware (Case No.22-cv-1302) alleging that Supernus Pharmaceuticals, Inc., Britannia Pharmaceuticals Limited, and US WorldMeds Partners, LLC violated state and federal antitrust law in connection with APOKYN. On January 10, 2023, the Company filed motions to dismiss all claims and the lawsuit in its entirety. Between May 9, 2024 and June 4, 2024, the Court ruled on all motions to dismiss, declining to dismiss any claims against the Company, its subsidiaries, or Britannia Pharmaceuticals Limited and dismissing US WorldMeds Partners, LLC, USWM, LLC, and all of the individual defendants (former US WorldMeds executives) out of the case completely. On June 13, 2024, the Court issued a scheduling order that provides for a pretrial conference on September 12, 2025 and a jury trial beginning on September 22, 2025. Pre-trial discovery is ongoing as of the date of this filing. The Company intends to defend itself vigorously. However, the Company can offer no assurances that it will be successful in a litigation.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Management’s Discussion and Analysis of Financial Condition and Results of Operations is intended to help the reader understand the results of operations and the financial condition of Supernus Pharmaceuticals, Inc. The interim condensed consolidated financial statements included in this report and this Management’s Discussion and Analysis of Financial Condition and Results of Operations should be read in conjunction with our audited consolidated financial statements and notes thereto for the year ended December 31, 2023 and the related Management’s Discussion and Analysis of Financial Condition and Results of Operations, both of which are contained in our Annual Report on Form 10-K, filed with the Securities and Exchange Commission on February 27, 2024.</w:t>
      </w:r>
    </w:p>
    <w:p>
      <w:pPr>
        <w:spacing w:after="0" w:line="14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Quarterly Report on Form 10-Q contains forward-looking statements within the meaning of Section 27A of the Securities Act of 1933, as amended, and Section 21E of the Securities Exchange Act of 1934, as amended, which are intended to be covered by the safe harbors created thereby. These forward-looking statements may include declarations regarding the Company’s belief or current expectations of management, such as statements including the words “budgeted,” “anticipate,” “project,” “forecast,” “estimate,” “expect,” “may,” “believe,” “potential,” and similar statements or expressions, which are intended to be among the statements that are forward-looking statements, as such statements reflect the reality of risk and uncertainty that is inherent in our business. Actual results may differ materially from those expressed or implied by such forward-looking statements. Readers are cautioned not to place undue reliance on these forward-looking statements, which are made as of the date this report was filed with the Securities and Exchange Commission. Our actual results and the timing of events could differ materially from those discussed in our forward-looking statements because of many factors, including those set forth under the “Risk Factors” section of our Annual Report on Form 10-K and elsewhere in this report as well as in other reports and documents we file with the Securities and Exchange Commission from time to time. Except as required by law, we undertake no obligation to update any forward-looking statements to reflect events or circumstances occurring after the date of this Quarterly Report on Form 10-Q.</w:t>
      </w:r>
    </w:p>
    <w:p>
      <w:pPr>
        <w:spacing w:after="0" w:line="149"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17"/>
          <w:szCs w:val="17"/>
          <w:i w:val="1"/>
          <w:iCs w:val="1"/>
          <w:color w:val="auto"/>
        </w:rPr>
        <w:t>Unless the content requires otherwise, the words "Supernus," "we," "our" and "the Company" refer to Supernus Pharmaceuticals, Inc. and/or one or more of its subsidiaries, as the case may be. These terms are used solely for the convenience of the reader. Supernus Pharmaceuticals, Inc. and each of its subsidiaries are distinct legal entities. For example, MDD US Operations, LLC, a wholly-owned indirect subsidiary of Supernus Pharmaceuticals, Inc., is the exclusive licensee and distributor of APOKYN in the United States and its territories. Adamas Operations, LLC, a wholly-owned indirect subsidiary of Supernus Pharmaceuticals, Inc., wholly owns the patents and patent applications related to GOCOVRI and Osmolex ER and has a license agreement with Supernus Pharmaceuticals, Inc., granting Supernus Pharmaceuticals, Inc. rights to market and sell GOCOVRI and Osmolex ER.</w:t>
      </w:r>
    </w:p>
    <w:p>
      <w:pPr>
        <w:spacing w:after="0" w:line="141" w:lineRule="exact"/>
        <w:rPr>
          <w:sz w:val="20"/>
          <w:szCs w:val="20"/>
          <w:color w:val="auto"/>
        </w:rPr>
      </w:pPr>
    </w:p>
    <w:p>
      <w:pPr>
        <w:ind w:right="2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Solely for convenience, in this Quarterly Report on Form 10-Q, the trade names are referred to without the TM symbols and the trademark registrations are referred to without the circled R, but such references should not be construed as any indicator that the Company will not assert, to the fullest extent under applicable law, our rights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a biopharmaceutical company focused on developing and commercializing products for the treatment of central nervous system (CNS) diseases. Our diverse neuroscience portfolio includes approved treatments for epilepsy, migraine, attention-deficit hyperactivity disorder (ADHD), hypomobility in Parkinson’s Disease (PD), cervical dystonia, chronic sialorrhea, and dyskinesia in PD patients receiving levodopa-based therapy. We are developing a broad range of novel CNS product candidates including new potential treatments for hypomobility in PD, epilepsy, depression, and other CNS disorders.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 portfolio of commercial products and product candidates.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Products</w:t>
      </w:r>
    </w:p>
    <w:p>
      <w:pPr>
        <w:spacing w:after="0" w:line="197" w:lineRule="exact"/>
        <w:rPr>
          <w:sz w:val="20"/>
          <w:szCs w:val="20"/>
          <w:color w:val="auto"/>
        </w:rPr>
      </w:pPr>
    </w:p>
    <w:p>
      <w:pPr>
        <w:ind w:left="660" w:right="60" w:hanging="328"/>
        <w:spacing w:after="0"/>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Qelbree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(viloxazine) extended-release capsules is a novel non-stimulant product indicated for the treatment of ADHD in adults and pediatric patients 6 years and older. The United States Food and Drug Administration (FDA) approved Qelbree for the treatment of ADHD in pediatric patients 6 to 17 years of age in April 2021, and in adult patients in April 2022. The Company launched Qelbree for pediatric patients in May 2021 and for adult patients in May 2022 in the United States (U.S.).</w:t>
      </w:r>
    </w:p>
    <w:p>
      <w:pPr>
        <w:spacing w:after="0" w:line="154" w:lineRule="exact"/>
        <w:rPr>
          <w:rFonts w:ascii="Times New Roman" w:cs="Times New Roman" w:eastAsia="Times New Roman" w:hAnsi="Times New Roman"/>
          <w:sz w:val="18"/>
          <w:szCs w:val="18"/>
          <w:color w:val="auto"/>
        </w:rPr>
      </w:pPr>
    </w:p>
    <w:p>
      <w:pPr>
        <w:jc w:val="both"/>
        <w:ind w:left="660" w:right="360" w:hanging="328"/>
        <w:spacing w:after="0" w:line="23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GOCOVRI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(amantadine) extended-release capsules is the first and only FDA approved medicine indicated for the treatment of dyskinesia in patients with PD receiving levodopa-based therapy, with or without concomitant dopaminergic medications, and as an adjunctive treatment to levodopa/carbidopa with PD experiencing "OFF" episodes.</w:t>
      </w:r>
    </w:p>
    <w:p>
      <w:pPr>
        <w:spacing w:after="0" w:line="159" w:lineRule="exact"/>
        <w:rPr>
          <w:rFonts w:ascii="Times New Roman" w:cs="Times New Roman" w:eastAsia="Times New Roman" w:hAnsi="Times New Roman"/>
          <w:sz w:val="18"/>
          <w:szCs w:val="18"/>
          <w:color w:val="auto"/>
        </w:rPr>
      </w:pPr>
    </w:p>
    <w:p>
      <w:pPr>
        <w:ind w:left="660" w:right="240" w:hanging="328"/>
        <w:spacing w:after="0" w:line="229"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Oxtellar XR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(oxcarbazepine) is indicated as therapy for the treatment of partial onset seizures in patients 6 years of age and older. It is also the first once-daily extended-release oxcarbazepine product indicated for the treatment of epilepsy in the U.S. market.</w:t>
      </w:r>
    </w:p>
    <w:p>
      <w:pPr>
        <w:spacing w:after="0" w:line="167" w:lineRule="exact"/>
        <w:rPr>
          <w:rFonts w:ascii="Times New Roman" w:cs="Times New Roman" w:eastAsia="Times New Roman" w:hAnsi="Times New Roman"/>
          <w:sz w:val="18"/>
          <w:szCs w:val="18"/>
          <w:color w:val="auto"/>
        </w:rPr>
      </w:pPr>
    </w:p>
    <w:p>
      <w:pPr>
        <w:ind w:left="660" w:right="40" w:hanging="328"/>
        <w:spacing w:after="0" w:line="23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Trokendi XR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(topiramate) is the first once-daily extended-release topiramate product indicated for the treatment of epilepsy in patients 6 years of age and older in the U.S. market. It is also indicated for the prophylaxis of migraine headache in adults and adolescents 12 years and older.</w:t>
      </w:r>
    </w:p>
    <w:p>
      <w:pPr>
        <w:spacing w:after="0" w:line="155" w:lineRule="exact"/>
        <w:rPr>
          <w:rFonts w:ascii="Times New Roman" w:cs="Times New Roman" w:eastAsia="Times New Roman" w:hAnsi="Times New Roman"/>
          <w:sz w:val="18"/>
          <w:szCs w:val="18"/>
          <w:color w:val="auto"/>
        </w:rPr>
      </w:pPr>
    </w:p>
    <w:p>
      <w:pPr>
        <w:ind w:left="660" w:right="280" w:hanging="328"/>
        <w:spacing w:after="0" w:line="23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APOKYN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(apomorphine hydrochloride injection) is a product indicated for the acute, intermittent treatment of hypomobility, "OFF" episodes ("end-of-dose wearing off" and unpredictable "ON/OFF" episodes) in patients with advanced PD.</w:t>
      </w:r>
    </w:p>
    <w:p>
      <w:pPr>
        <w:spacing w:after="0" w:line="159" w:lineRule="exact"/>
        <w:rPr>
          <w:rFonts w:ascii="Times New Roman" w:cs="Times New Roman" w:eastAsia="Times New Roman" w:hAnsi="Times New Roman"/>
          <w:sz w:val="18"/>
          <w:szCs w:val="18"/>
          <w:color w:val="auto"/>
        </w:rPr>
      </w:pPr>
    </w:p>
    <w:p>
      <w:pPr>
        <w:ind w:left="660" w:right="60" w:hanging="328"/>
        <w:spacing w:after="0" w:line="229"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XADAGO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(safinamide) is a once-daily product indicated as adjunctive treatment to levodopa/carbidopa in patients with PD experiencing "OFF" episodes.</w:t>
      </w:r>
    </w:p>
    <w:p>
      <w:pPr>
        <w:spacing w:after="0" w:line="167" w:lineRule="exact"/>
        <w:rPr>
          <w:rFonts w:ascii="Times New Roman" w:cs="Times New Roman" w:eastAsia="Times New Roman" w:hAnsi="Times New Roman"/>
          <w:sz w:val="18"/>
          <w:szCs w:val="18"/>
          <w:color w:val="auto"/>
        </w:rPr>
      </w:pPr>
    </w:p>
    <w:p>
      <w:pPr>
        <w:ind w:left="660" w:right="220" w:hanging="328"/>
        <w:spacing w:after="0" w:line="23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MYOBLOC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(rimabotulinumtoxinB injection) is a product indicated for the treatment of cervical dystonia and chronic sialorrhea in adults. It is the only botulinum toxin type B available on the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committed to the development of innovative product candidates in neurology and psychiatry,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5854700" cy="2297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5470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SPN-830 (apomorphine infusion device)</w:t>
      </w:r>
    </w:p>
    <w:p>
      <w:pPr>
        <w:spacing w:after="0" w:line="18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SPN-830 is a late-stage drug/device combination product candidate for the continuous treatment of motor fluctuations ("OFF" episodes) in PD patients that are not adequately controlled with oral levodopa and one or more adjunct PD medications. If approved, it would be the only continuous infusion of apomorphine available in the U.S. and an important step for PD patients that would have otherwise been candidates for potentially invasive surgical procedures, such as deep brain stimulation. Continuous slow infusion may also limit some of the side effects of a bolus injection of apomorphine.</w:t>
      </w:r>
    </w:p>
    <w:p>
      <w:pPr>
        <w:spacing w:after="0" w:line="13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In April 2024, the FDA issued a Complete Response Letter regarding the NDA for SPN-830. In August 2024, we resubmitted the New Drug Application (NDA) for SPN-830 to the FDA. For further discussion, see </w:t>
      </w:r>
      <w:r>
        <w:rPr>
          <w:rFonts w:ascii="Times New Roman" w:cs="Times New Roman" w:eastAsia="Times New Roman" w:hAnsi="Times New Roman"/>
          <w:sz w:val="18"/>
          <w:szCs w:val="18"/>
          <w:i w:val="1"/>
          <w:iCs w:val="1"/>
          <w:color w:val="auto"/>
        </w:rPr>
        <w:t>Operational Highlights</w:t>
      </w:r>
      <w:r>
        <w:rPr>
          <w:rFonts w:ascii="Times New Roman" w:cs="Times New Roman" w:eastAsia="Times New Roman" w:hAnsi="Times New Roman"/>
          <w:sz w:val="18"/>
          <w:szCs w:val="18"/>
          <w:color w:val="auto"/>
        </w:rPr>
        <w:t xml:space="preserve"> section below.</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SPN-820 (NV-5138)</w:t>
      </w:r>
    </w:p>
    <w:p>
      <w:pPr>
        <w:spacing w:after="0" w:line="18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SPN-820 is a first-in-class, orally active small molecule that increases the brain mechanistic target of rapamycin complex 1 (mTORC1) mediated synaptic function intracellularly. SPN-820 does not bind to or modulate any cell surface receptors and therefore is unlikely to have abuse potential given lack of binding to targets implicated in drug abuse. In addition, unlike leucine, it is not incorporated into proteins during protein synthesis, and therefore, it is more available at the target site in the brain than leucine.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SPN-817 (huperzine A)</w:t>
      </w:r>
    </w:p>
    <w:p>
      <w:pPr>
        <w:spacing w:after="0" w:line="20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SPN-817 represents a novel mechanism of action (MOA) for an anticonvulsant. SPN-817 is a novel synthetic form of huperzine A, whose MOA includes potent acetylcholinesterase inhibition, with pharmacological activities in CNS conditions such as epilepsy. The development will initially focus on the drug's anticonvulsant activity, which has been shown in preclinical models to be effective for the treatment of partial seizures and Dravet Syndrome. SPN-817 is in clinical development and has received Orphan Drug designation for several epilepsy indications from the FDA.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Highlights</w:t>
      </w:r>
    </w:p>
    <w:p>
      <w:pPr>
        <w:spacing w:after="0" w:line="189"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IQVIA prescriptions for Qelbree were 194,025 in the third quarter 2024, an increase of 19% compared to the prior year period.</w:t>
      </w:r>
    </w:p>
    <w:p>
      <w:pPr>
        <w:spacing w:after="0" w:line="19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2024, the Company resubmitted to the FDA the NDA for apomorphine infusion device (SPN-830) for the continuous treatment of motor fluctuations ("OFF" episodes) in Parkinson’s disease. On August 16, 2024, the FDA</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acknowledged the resubmission of the NDA for the apomorphine infusion device (SPN-830). The resubmission is considered filed, with a user fee goal date (PDUFA date) of February 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Pipeline Update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SPN-820 – Novel first-in-class molecule that increases mTORC1 mediated synaptic function for depression</w:t>
      </w:r>
    </w:p>
    <w:p>
      <w:pPr>
        <w:spacing w:after="0" w:line="173" w:lineRule="exact"/>
        <w:rPr>
          <w:sz w:val="20"/>
          <w:szCs w:val="20"/>
          <w:color w:val="auto"/>
        </w:rPr>
      </w:pPr>
    </w:p>
    <w:p>
      <w:pPr>
        <w:jc w:val="both"/>
        <w:ind w:left="660" w:hanging="328"/>
        <w:spacing w:after="0" w:line="245"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2024, the Company announced and discussed the data from its exploratory open-label Phase 2a clinical study of SPN-820 in adults with major depressive disorder (MDD). The data were based on 40 enrolled subjects, of which 38 completed the 10-day treatment period. The primary objective of the study was to assess efficacy in MDD, as well as the onset of efficacy. The Phase 2a study demonstrated rapid and substantial decrease in depressive symptoms, and 80% decrease in suicidal ideation. SPN-820 was well-tolerated with few adverse events.</w:t>
      </w:r>
    </w:p>
    <w:p>
      <w:pPr>
        <w:spacing w:after="0" w:line="1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Company presented new data at the 2024 Psych Congress in October 2024 that demonstrate a rapid Montgomery–Asberg Depression Rating Scale (MADRS) response rate (≥50% reduction) and remission (MADRS ≤10), reaching 50.0% and 35.0% of participants, respectively, at 4 hours, with additional improvement to 84.2% and 63.2% of participants by Day 10.</w:t>
      </w:r>
    </w:p>
    <w:p>
      <w:pPr>
        <w:spacing w:after="0" w:line="148"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to complete enrollment in the ongoing Phase 2b multi-center randomized double-blind placebo-controlled parallel design study of SPN-820 in adults with treatment-resistant depression in November 2024. The study will examine the efficacy and safety of SPN-820 over a course of five weeks of treatment in approximately 236 patients in approximately 50 clinical sites. The primary outcome measure is the change from baseline to end of treatment period on the MADRS Total Score. Topline data from the Phase 2b trial are expected in the first half of 2025.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SPN-817 – Novel first-in-class highly selective AChE inhibitor for epilepsy</w:t>
      </w:r>
    </w:p>
    <w:p>
      <w:pPr>
        <w:spacing w:after="0" w:line="187" w:lineRule="exact"/>
        <w:rPr>
          <w:sz w:val="20"/>
          <w:szCs w:val="20"/>
          <w:color w:val="auto"/>
        </w:rPr>
      </w:pPr>
    </w:p>
    <w:p>
      <w:pPr>
        <w:jc w:val="both"/>
        <w:ind w:left="6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conducting an open label Phase 2a study in patients with treatment-resistant seizures. In May 2024, the Company announced data from a planned interim analysis from the initial stage of the study (Stage A). The Company has now completed enrollment of Stage A and is reporting topline data from all subjects with focal seizures who received the 3mg and 4mg twice daily doses, completed the maintenance period (n=10), and enrolled in the post-maintenance extension period (n=6).</w:t>
      </w:r>
    </w:p>
    <w:p>
      <w:pPr>
        <w:spacing w:after="0" w:line="1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period:</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 median seizure reduction from baseline.</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of subjects had 30% or more seizure reduction.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of subjects had 50% or more seizure reduction.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of subjects had 75% or more seizure reduction.</w:t>
      </w:r>
    </w:p>
    <w:p>
      <w:pPr>
        <w:spacing w:after="0" w:line="16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Post-maintenance extension period:</w:t>
      </w:r>
    </w:p>
    <w:p>
      <w:pPr>
        <w:spacing w:after="0" w:line="19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 median seizure reduction from baseline.</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 of subjects had 30% or more seizure reduction.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of subjects had 50% or more seizure reduction.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subjects had 75% or more seizure reduction.</w:t>
      </w:r>
    </w:p>
    <w:p>
      <w:pPr>
        <w:spacing w:after="0" w:line="16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 Freedom:</w:t>
      </w:r>
    </w:p>
    <w:p>
      <w:pPr>
        <w:spacing w:after="0" w:line="184" w:lineRule="exact"/>
        <w:rPr>
          <w:rFonts w:ascii="Times New Roman" w:cs="Times New Roman" w:eastAsia="Times New Roman" w:hAnsi="Times New Roman"/>
          <w:sz w:val="18"/>
          <w:szCs w:val="18"/>
          <w:color w:val="auto"/>
        </w:rPr>
      </w:pPr>
    </w:p>
    <w:p>
      <w:pPr>
        <w:ind w:left="1300" w:hanging="320"/>
        <w:spacing w:after="0" w:line="261" w:lineRule="auto"/>
        <w:tabs>
          <w:tab w:leader="none" w:pos="131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period: 1 out of 10 subjects (10%) who completed a post-baseline seizure diary had at least one four-week seizure free period.</w:t>
      </w:r>
    </w:p>
    <w:p>
      <w:pPr>
        <w:ind w:left="1300" w:hanging="320"/>
        <w:spacing w:after="0"/>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Post-maintenance extension period: 1 out of 6 subjects (17%) had at least one four-week seizure free period.</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by EpiTrack®, a validated cognitive screening tool designed for patients with epilepsy, indicated that 75% of 16 subjects was equally split between those who improved and those who had no change in cognitive function.</w:t>
      </w:r>
    </w:p>
    <w:p>
      <w:pPr>
        <w:spacing w:after="0" w:line="12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SPN-817 was safe and had acceptable tolerability with 2 subjects discontinuing because of treatment related adverse events out of the 26 subjects who entered the maintenance period. Stage B of the study is on-going and includes the concomitant use of an anti-emetic to reduce cholinergic adverse events observed in the study.</w:t>
      </w:r>
    </w:p>
    <w:p>
      <w:pPr>
        <w:spacing w:after="0" w:line="12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Phase 2b randomized, double-blind, placebo-controlled study in patients with treatment resistant focal seizures is expected to start by the end of 2024 studying 3mg and 4mg twice daily doses.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SPN-443 – Novel stimulant for ADHD/CNS</w:t>
      </w:r>
    </w:p>
    <w:p>
      <w:pPr>
        <w:spacing w:after="0" w:line="200" w:lineRule="exact"/>
        <w:rPr>
          <w:sz w:val="20"/>
          <w:szCs w:val="20"/>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initiated a Phase 1 single dose study in healthy adults in the third quarter of 2024. The primary objective of the study is to assess safety and tolerability.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the Use of Estimates</w:t>
      </w:r>
    </w:p>
    <w:p>
      <w:pPr>
        <w:spacing w:after="0" w:line="187" w:lineRule="exact"/>
        <w:rPr>
          <w:sz w:val="20"/>
          <w:szCs w:val="20"/>
          <w:color w:val="auto"/>
        </w:rPr>
      </w:pPr>
    </w:p>
    <w:p>
      <w:pPr>
        <w:ind w:right="2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A summary of our significant accounting policies is included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of our audited consolidated financial statements included in the Annual Report on Form 10-K for the year ended December 31, 2023. There were no significant changes to the disclosures with respect to our critical accounting policies in our Annual Report on Form 10-K for the year ended December 31, 2023.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September 30, 2024 and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02" w:lineRule="exact"/>
        <w:rPr>
          <w:sz w:val="20"/>
          <w:szCs w:val="20"/>
          <w:color w:val="auto"/>
        </w:rPr>
      </w:pPr>
    </w:p>
    <w:p>
      <w:pPr>
        <w:ind w:right="100" w:firstLine="648"/>
        <w:spacing w:after="0" w:line="263" w:lineRule="auto"/>
        <w:rPr>
          <w:sz w:val="20"/>
          <w:szCs w:val="20"/>
          <w:color w:val="auto"/>
        </w:rPr>
      </w:pPr>
      <w:r>
        <w:rPr>
          <w:rFonts w:ascii="Times New Roman" w:cs="Times New Roman" w:eastAsia="Times New Roman" w:hAnsi="Times New Roman"/>
          <w:sz w:val="18"/>
          <w:szCs w:val="18"/>
          <w:color w:val="auto"/>
        </w:rPr>
        <w:t>Revenues consist primarily of net product sales of our commercial products in the U.S., supplemented by royalty and licensing revenues from our collaborative licensing arrangements. The following table provides information regarding our revenues during the three and nine months ended September 30, 2024 (dollars in thousands):</w:t>
      </w:r>
    </w:p>
    <w:tbl>
      <w:tblPr>
        <w:tblLayout w:type="fixed"/>
        <w:tblInd w:w="0" w:type="dxa"/>
        <w:tblCellMar>
          <w:top w:w="0" w:type="dxa"/>
          <w:left w:w="0" w:type="dxa"/>
          <w:bottom w:w="0" w:type="dxa"/>
          <w:right w:w="0" w:type="dxa"/>
        </w:tblCellMar>
      </w:tblPr>
      <w:tr>
        <w:trPr>
          <w:trHeight w:val="148"/>
        </w:trPr>
        <w:tc>
          <w:tcPr>
            <w:tcW w:w="2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5"/>
          </w:tcPr>
          <w:p>
            <w:pPr>
              <w:jc w:val="center"/>
              <w:ind w:right="300"/>
              <w:spacing w:after="0" w:line="148"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2"/>
                <w:szCs w:val="12"/>
                <w:color w:val="auto"/>
              </w:rPr>
            </w:pPr>
          </w:p>
        </w:tc>
        <w:tc>
          <w:tcPr>
            <w:tcW w:w="110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gridSpan w:val="5"/>
          </w:tcPr>
          <w:p>
            <w:pPr>
              <w:jc w:val="center"/>
              <w:ind w:right="300"/>
              <w:spacing w:after="0" w:line="148"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2"/>
                <w:szCs w:val="12"/>
                <w:color w:val="auto"/>
              </w:rPr>
            </w:pPr>
          </w:p>
        </w:tc>
        <w:tc>
          <w:tcPr>
            <w:tcW w:w="110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00" w:type="dxa"/>
            <w:vAlign w:val="bottom"/>
            <w:gridSpan w:val="5"/>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20" w:type="dxa"/>
            <w:vAlign w:val="bottom"/>
            <w:gridSpan w:val="5"/>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900" w:type="dxa"/>
            <w:vAlign w:val="bottom"/>
            <w:gridSpan w:val="5"/>
            <w:vMerge w:val="continue"/>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920" w:type="dxa"/>
            <w:vAlign w:val="bottom"/>
            <w:gridSpan w:val="5"/>
            <w:vMerge w:val="continue"/>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16"/>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Qelbree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62,359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166,857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93,840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GOCOVRI</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30"/>
        </w:trPr>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Oxtellar XR</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APOKYN</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30"/>
        </w:trPr>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Trokendi XR</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product sales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53,386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licensing and other revenues</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(8,935)</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175,689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153,880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487,658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443,207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44,451</w:t>
            </w:r>
          </w:p>
        </w:tc>
        <w:tc>
          <w:tcPr>
            <w:tcW w:w="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
        </w:trPr>
        <w:tc>
          <w:tcPr>
            <w:tcW w:w="2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w:t>
      </w:r>
    </w:p>
    <w:p>
      <w:pPr>
        <w:ind w:left="180" w:hanging="172"/>
        <w:spacing w:after="0" w:line="218" w:lineRule="auto"/>
        <w:tabs>
          <w:tab w:leader="none" w:pos="18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net product sales of MYOBLOC, XADAGO and Osmolex 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Product Sales</w:t>
      </w:r>
    </w:p>
    <w:p>
      <w:pPr>
        <w:spacing w:after="0" w:line="18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Net product sales were $170.3 million and $149.0 million for the three months ended September 30, 2024 and 2023, respectively. The increase was primarily due to increases in net product sales from Qelbree and GOCOVRI partially offset by the decline in net product sales of Trokendi XR due to generic erosion.</w:t>
      </w:r>
    </w:p>
    <w:p>
      <w:pPr>
        <w:spacing w:after="0" w:line="14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Net product sales were $471.3 million and $417.9 million for the nine months ended September 30, 2024 and 2023, respectively. The increase was primarily due to increases in net product sales from Qelbree and GOCOVRI, partially offset by the decline in net product sales of Trokendi XR due to generic erosion.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Sales Deductions and Related Accruals</w:t>
      </w:r>
    </w:p>
    <w:p>
      <w:pPr>
        <w:spacing w:after="0" w:line="18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record accrued product returns and accrued product rebates as current liabilities in </w:t>
      </w:r>
      <w:r>
        <w:rPr>
          <w:rFonts w:ascii="Times New Roman" w:cs="Times New Roman" w:eastAsia="Times New Roman" w:hAnsi="Times New Roman"/>
          <w:sz w:val="18"/>
          <w:szCs w:val="18"/>
          <w:i w:val="1"/>
          <w:iCs w:val="1"/>
          <w:color w:val="auto"/>
        </w:rPr>
        <w:t>Accrued product returns and rebates,</w:t>
      </w:r>
      <w:r>
        <w:rPr>
          <w:rFonts w:ascii="Times New Roman" w:cs="Times New Roman" w:eastAsia="Times New Roman" w:hAnsi="Times New Roman"/>
          <w:sz w:val="18"/>
          <w:szCs w:val="18"/>
          <w:color w:val="auto"/>
        </w:rPr>
        <w:t xml:space="preserve"> on our condensed consolidated balance sheets. We record sales discounts as a reduction against </w:t>
      </w:r>
      <w:r>
        <w:rPr>
          <w:rFonts w:ascii="Times New Roman" w:cs="Times New Roman" w:eastAsia="Times New Roman" w:hAnsi="Times New Roman"/>
          <w:sz w:val="18"/>
          <w:szCs w:val="18"/>
          <w:i w:val="1"/>
          <w:iCs w:val="1"/>
          <w:color w:val="auto"/>
        </w:rPr>
        <w:t>Accounts receivable, net</w:t>
      </w:r>
      <w:r>
        <w:rPr>
          <w:rFonts w:ascii="Times New Roman" w:cs="Times New Roman" w:eastAsia="Times New Roman" w:hAnsi="Times New Roman"/>
          <w:sz w:val="18"/>
          <w:szCs w:val="18"/>
          <w:color w:val="auto"/>
        </w:rPr>
        <w:t xml:space="preserve"> on the unaudited condensed consolidated balance sheets. Both amounts are generally affected by changes in gross product sales, changes in the provision for net product sales deductions, and the timing of payments/credits.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40" w:firstLine="648"/>
        <w:spacing w:after="0" w:line="270" w:lineRule="auto"/>
        <w:rPr>
          <w:sz w:val="20"/>
          <w:szCs w:val="20"/>
          <w:color w:val="auto"/>
        </w:rPr>
      </w:pPr>
      <w:r>
        <w:rPr>
          <w:rFonts w:ascii="Times New Roman" w:cs="Times New Roman" w:eastAsia="Times New Roman" w:hAnsi="Times New Roman"/>
          <w:sz w:val="18"/>
          <w:szCs w:val="18"/>
          <w:color w:val="auto"/>
        </w:rPr>
        <w:t>The following table provides a summary of activity with respect to accrued product returns and rebates during the periods indicated (dollars in thousands):</w:t>
      </w: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Accrued Product Returns and Rebates</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3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260"/>
              <w:spacing w:after="0" w:line="131" w:lineRule="exact"/>
              <w:rPr>
                <w:sz w:val="20"/>
                <w:szCs w:val="20"/>
                <w:color w:val="auto"/>
              </w:rPr>
            </w:pPr>
            <w:r>
              <w:rPr>
                <w:rFonts w:ascii="Times New Roman" w:cs="Times New Roman" w:eastAsia="Times New Roman" w:hAnsi="Times New Roman"/>
                <w:sz w:val="14"/>
                <w:szCs w:val="14"/>
                <w:b w:val="1"/>
                <w:bCs w:val="1"/>
                <w:color w:val="auto"/>
              </w:rPr>
              <w:t>Product</w:t>
            </w:r>
          </w:p>
        </w:tc>
        <w:tc>
          <w:tcPr>
            <w:tcW w:w="2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375"/>
              <w:spacing w:after="0" w:line="131" w:lineRule="exact"/>
              <w:rPr>
                <w:sz w:val="20"/>
                <w:szCs w:val="20"/>
                <w:color w:val="auto"/>
              </w:rPr>
            </w:pPr>
            <w:r>
              <w:rPr>
                <w:rFonts w:ascii="Times New Roman" w:cs="Times New Roman" w:eastAsia="Times New Roman" w:hAnsi="Times New Roman"/>
                <w:sz w:val="14"/>
                <w:szCs w:val="14"/>
                <w:b w:val="1"/>
                <w:bCs w:val="1"/>
                <w:color w:val="auto"/>
              </w:rPr>
              <w:t>Product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Sales Discounts</w:t>
            </w:r>
          </w:p>
        </w:tc>
        <w:tc>
          <w:tcPr>
            <w:tcW w:w="320" w:type="dxa"/>
            <w:vAlign w:val="bottom"/>
          </w:tcPr>
          <w:p>
            <w:pPr>
              <w:spacing w:after="0"/>
              <w:rPr>
                <w:sz w:val="11"/>
                <w:szCs w:val="11"/>
                <w:color w:val="auto"/>
              </w:rPr>
            </w:pPr>
          </w:p>
        </w:tc>
        <w:tc>
          <w:tcPr>
            <w:tcW w:w="10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280" w:type="dxa"/>
            <w:vAlign w:val="bottom"/>
          </w:tcPr>
          <w:p>
            <w:pPr>
              <w:spacing w:after="0"/>
              <w:rPr>
                <w:sz w:val="16"/>
                <w:szCs w:val="16"/>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57,290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96,984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164,993</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current year sales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363,818</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Adjustments relating to prior year sales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(9,595)</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354,223</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Actual payments/credits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(278,876)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(339,104)</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180,112</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Accrued Product Returns and Rebates</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3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260"/>
              <w:spacing w:after="0" w:line="131" w:lineRule="exact"/>
              <w:rPr>
                <w:sz w:val="20"/>
                <w:szCs w:val="20"/>
                <w:color w:val="auto"/>
              </w:rPr>
            </w:pPr>
            <w:r>
              <w:rPr>
                <w:rFonts w:ascii="Times New Roman" w:cs="Times New Roman" w:eastAsia="Times New Roman" w:hAnsi="Times New Roman"/>
                <w:sz w:val="14"/>
                <w:szCs w:val="14"/>
                <w:b w:val="1"/>
                <w:bCs w:val="1"/>
                <w:color w:val="auto"/>
              </w:rPr>
              <w:t>Product</w:t>
            </w:r>
          </w:p>
        </w:tc>
        <w:tc>
          <w:tcPr>
            <w:tcW w:w="2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375"/>
              <w:spacing w:after="0" w:line="131" w:lineRule="exact"/>
              <w:rPr>
                <w:sz w:val="20"/>
                <w:szCs w:val="20"/>
                <w:color w:val="auto"/>
              </w:rPr>
            </w:pPr>
            <w:r>
              <w:rPr>
                <w:rFonts w:ascii="Times New Roman" w:cs="Times New Roman" w:eastAsia="Times New Roman" w:hAnsi="Times New Roman"/>
                <w:sz w:val="14"/>
                <w:szCs w:val="14"/>
                <w:b w:val="1"/>
                <w:bCs w:val="1"/>
                <w:color w:val="auto"/>
              </w:rPr>
              <w:t>Product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Sales Discounts</w:t>
            </w:r>
          </w:p>
        </w:tc>
        <w:tc>
          <w:tcPr>
            <w:tcW w:w="320" w:type="dxa"/>
            <w:vAlign w:val="bottom"/>
          </w:tcPr>
          <w:p>
            <w:pPr>
              <w:spacing w:after="0"/>
              <w:rPr>
                <w:sz w:val="11"/>
                <w:szCs w:val="11"/>
                <w:color w:val="auto"/>
              </w:rPr>
            </w:pPr>
          </w:p>
        </w:tc>
        <w:tc>
          <w:tcPr>
            <w:tcW w:w="10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280" w:type="dxa"/>
            <w:vAlign w:val="bottom"/>
          </w:tcPr>
          <w:p>
            <w:pPr>
              <w:spacing w:after="0"/>
              <w:rPr>
                <w:sz w:val="16"/>
                <w:szCs w:val="16"/>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164,660</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current year sales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376,416</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Adjustments relating to prior year sales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378,053</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Actual payments/credits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(310,351)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(369,407)</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173,306</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Product Returns and Rebates</w:t>
      </w:r>
    </w:p>
    <w:p>
      <w:pPr>
        <w:spacing w:after="0" w:line="20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accrued product returns balance increased to $57.4 million as of September 30, 2024 from $54.3 million as of September 30, 2023. This increase was primarily due to higher net product sales and timing of related return activity offset by the $7.3 million adjustment in the estimated provision for product returns related to prior year sales. The majority of this adjustment is attributable to Qelbree, reflecting favorable actual returns experienced in 2024 for Qelbree. As a result, the Company changed its estimated provision for product returns based on the most recent experience.</w:t>
      </w:r>
    </w:p>
    <w:p>
      <w:pPr>
        <w:spacing w:after="0" w:line="13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accrued product rebates balance increased to $111.7 million as of September 30, 2024 from $108.1 million as of September 30, 2023 due to timing of payments associated with government programs.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Product Returns and Rebates</w:t>
      </w:r>
    </w:p>
    <w:p>
      <w:pPr>
        <w:spacing w:after="0" w:line="20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provision for product returns decreased to $8.3 million for the nine months ended September 30, 2024 from $17.4 million for the nine months ended September 30, 2023. The decrease was primarily due to the aforementioned $7.3 million adjustment in the estimated provision for product returns related to prior year sales.</w:t>
      </w:r>
    </w:p>
    <w:p>
      <w:pPr>
        <w:spacing w:after="0" w:line="135"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provision for product rebates decreased to $293.6 million for nine months ended September 30, 2024 from $311.8 million for the nine months ended September 30, 2023. The decrease was primarily attributable to lower Trokendi XR sales, partially offset by higher Qelbree sales and favorability in commercial programs.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Royalty, Licensing and Other Revenues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Royalty, licensing and other revenues were $5.4 million and $4.9 million for the three months ended September 30, 2024 and 2023,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due to increase in royalty revenues from royalty arrangements with third parties.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Royalty, licensing and other revenues were $16.4 million and $25.3 million for the nine months ended September 30, 2024 and 2023,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primarily due to lower royalties on generic Trokendi XR due to the increased number of generic entrants.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Cost of Goods Sold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Cost of goods sold was $17.6 million and $19.6 million for the three months ended September 30, 2024 and 2023, respectively. Cost of goods sold was $51.8 million and $64.2 million for the nine months ended September 30, 2024 and 2023, respectively. The decrease in both periods was primarily driven by manufacturing efficiencies of Qelbree and a decline in net product sales of Trokendi XR due to generic erosion.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Expenses</w:t>
      </w:r>
    </w:p>
    <w:p>
      <w:pPr>
        <w:spacing w:after="0" w:line="18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R&amp;D expenses were $29.0 million and $22.7 million for the three months ended September 30, 2024 and 2023, respectively. R&amp;D expenses were $80.1 million and $68.2 million for the nine months ended September 30, 2024 and 2023, respectively. The increase in both periods was primarily due to increased clinical program costs on SPN-817, SPN-820 and on the open-label study of Qelbree, and increased manufacturing costs of our product candidates.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General and Administrative Expenses</w:t>
      </w:r>
    </w:p>
    <w:p>
      <w:pPr>
        <w:spacing w:after="0" w:line="20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our selling, general and administrative (SG&amp;A) expenses during the periods indicated (dollars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1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1120" w:type="dxa"/>
            <w:vAlign w:val="bottom"/>
            <w:gridSpan w:val="3"/>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8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9"/>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center"/>
              <w:ind w:right="115"/>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172,700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173,909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center"/>
              <w:ind w:right="135"/>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29"/>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25,915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jc w:val="center"/>
              <w:ind w:right="115"/>
              <w:spacing w:after="0"/>
              <w:rPr>
                <w:sz w:val="20"/>
                <w:szCs w:val="20"/>
                <w:color w:val="auto"/>
              </w:rPr>
            </w:pPr>
            <w:r>
              <w:rPr>
                <w:rFonts w:ascii="Times New Roman" w:cs="Times New Roman" w:eastAsia="Times New Roman" w:hAnsi="Times New Roman"/>
                <w:sz w:val="18"/>
                <w:szCs w:val="18"/>
                <w:color w:val="auto"/>
                <w:w w:val="97"/>
              </w:rPr>
              <w:t>(40)%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69,473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center"/>
              <w:ind w:right="135"/>
              <w:spacing w:after="0"/>
              <w:rPr>
                <w:sz w:val="20"/>
                <w:szCs w:val="20"/>
                <w:color w:val="auto"/>
              </w:rPr>
            </w:pPr>
            <w:r>
              <w:rPr>
                <w:rFonts w:ascii="Times New Roman" w:cs="Times New Roman" w:eastAsia="Times New Roman" w:hAnsi="Times New Roman"/>
                <w:sz w:val="18"/>
                <w:szCs w:val="18"/>
                <w:color w:val="auto"/>
                <w:w w:val="97"/>
              </w:rPr>
              <w:t>(14)%</w:t>
            </w:r>
          </w:p>
        </w:tc>
        <w:tc>
          <w:tcPr>
            <w:tcW w:w="0" w:type="dxa"/>
            <w:vAlign w:val="bottom"/>
          </w:tcPr>
          <w:p>
            <w:pPr>
              <w:spacing w:after="0"/>
              <w:rPr>
                <w:sz w:val="1"/>
                <w:szCs w:val="1"/>
                <w:color w:val="auto"/>
              </w:rPr>
            </w:pPr>
          </w:p>
        </w:tc>
      </w:tr>
      <w:tr>
        <w:trPr>
          <w:trHeight w:val="248"/>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82,700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center"/>
              <w:ind w:right="115"/>
              <w:spacing w:after="0"/>
              <w:rPr>
                <w:sz w:val="20"/>
                <w:szCs w:val="20"/>
                <w:color w:val="auto"/>
              </w:rPr>
            </w:pPr>
            <w:r>
              <w:rPr>
                <w:rFonts w:ascii="Times New Roman" w:cs="Times New Roman" w:eastAsia="Times New Roman" w:hAnsi="Times New Roman"/>
                <w:sz w:val="18"/>
                <w:szCs w:val="18"/>
                <w:color w:val="auto"/>
                <w:w w:val="97"/>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242,173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ind w:right="135"/>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recorded $11.5 million and $12.0 million of insurance recoveries for certain legal costs, respectively. Legal costs were recorded under general and administrative expense as incurred. Correspondingly, the insurance recoveries were recorded as a reduction to general and administrative expenses. There were no insurance recoveries recorded in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Amortization of Intangible Assets</w:t>
      </w:r>
    </w:p>
    <w:p>
      <w:pPr>
        <w:spacing w:after="0" w:line="20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Amortization of intangible assets was $19.5 million and $21.2 million for the three months ended September 30, 2024 and 2023, respectively. Amortization of intangible assets was $59.7 million and $61.3 million for the nine months ended September 30, 2024 and 2023, respectively. The decrease is primarily due to impairment charges on certain acquired intangible assets in the fourth quarter of 2023 which reduced amortization expense in fiscal year 2024.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Contingent Consideration Gain</w:t>
      </w:r>
    </w:p>
    <w:p>
      <w:pPr>
        <w:spacing w:after="0" w:line="187" w:lineRule="exact"/>
        <w:rPr>
          <w:sz w:val="20"/>
          <w:szCs w:val="20"/>
          <w:color w:val="auto"/>
        </w:rPr>
      </w:pPr>
    </w:p>
    <w:p>
      <w:pPr>
        <w:ind w:right="2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Contingent consideration was a gain of $1.0 million and a gain of $0.5 million for the three months ended September 30, 2024 and 2023, respectively. Contingent consideration was a gain of $6.5 million and a gain of $1.3 million for the nine months ended September 30, 2024 and 2023, respectively. The change for both periods was primarily driven by the passage of time for the sales-based milestones associated with the Adamas Acquisition and change in the estimated timeline of achievement of the regulatory and development milestones associated with the USWM Acquisition. See Item 2. </w:t>
      </w:r>
      <w:r>
        <w:rPr>
          <w:rFonts w:ascii="Times New Roman" w:cs="Times New Roman" w:eastAsia="Times New Roman" w:hAnsi="Times New Roman"/>
          <w:sz w:val="18"/>
          <w:szCs w:val="18"/>
          <w:i w:val="1"/>
          <w:iCs w:val="1"/>
          <w:color w:val="auto"/>
        </w:rPr>
        <w:t>Management’s Discussion and Analysis of Financial Condition and Results of Operations-Operational Highlights-Product Pipeline Update-SPN-830 (apomorphine infusion device) for treatment of Parkinson's disease (PD)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Income (Expense)</w:t>
      </w:r>
    </w:p>
    <w:p>
      <w:pPr>
        <w:spacing w:after="0" w:line="18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Other income (expense) was an income of $4.1 million and $1.8 million for the three months ended September 30, 2024 and 2023, respectively. Other income (expense) was an income of $11.2 million and $6.1 million for the nine months ended September 30, 2024 and 2023, respectively. The increase in both periods was due to higher interest income on marketable securities largely driven by an overall higher investment balance in 2024 and no debt outstanding in 2024. The interest expense recognized in 2023 was related to the 2023 Notes which were paid off in April 2023.</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 Expense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Income tax expense was $6.4 million (14.3% effective tax rate) and $13.0 million (18.1% effective tax rate) for the three and nine months ended September 30, 2024, as compared to an income tax expense of $25.9 million (261.6% effective tax rate) and $1.6 million (92.1% effective tax rate) for the three and nine months ended September 30, 2023. The change in both periods was primarily due to higher forecasted earnings before taxes for the three and nine months ended September 30, 2024 as compared to the near break-even forecasted earnings before taxes in 2023.</w:t>
      </w:r>
    </w:p>
    <w:p>
      <w:pPr>
        <w:spacing w:after="0" w:line="20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Company's effective income tax rates for the three and nine months ended September 30, 2024 vary from the statutory federal tax rate in United States (U.S. federal tax rate) of 21% primarily due to increased tax benefits related to current and prior years research and development tax credits. The Company's effective income tax rates for the three and nine months ended September 30, 2023 vary from the statutory U.S. federal tax rate primarily due to near break-even forecasted earnings before taxes.</w:t>
      </w:r>
    </w:p>
    <w:p>
      <w:pPr>
        <w:spacing w:after="0" w:line="207"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annual forecasted earnings represent the Company's best estimate as of September 30, 2024 and 2023, are subject to change and could have a material impact on the effective tax rate in subsequent periods. Accounting Standard Codification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requires the Company to estimate the annual effective income tax rate for the full year and apply it to pre-tax income (loss) for each interim period, taking into account year-to-date amounts and projected results for the full year.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and Marketable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and cash equivalents, marketable securities, and long-term marketable securities are comprised of the following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6"/>
                <w:szCs w:val="16"/>
                <w:color w:val="auto"/>
              </w:rPr>
            </w:pPr>
          </w:p>
        </w:tc>
        <w:tc>
          <w:tcPr>
            <w:tcW w:w="142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6"/>
                <w:szCs w:val="16"/>
                <w:color w:val="auto"/>
              </w:rPr>
            </w:pPr>
          </w:p>
        </w:tc>
      </w:tr>
      <w:tr>
        <w:trPr>
          <w:trHeight w:val="23"/>
        </w:trPr>
        <w:tc>
          <w:tcPr>
            <w:tcW w:w="5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9"/>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(43,381)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center"/>
              <w:ind w:right="194"/>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191,717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center"/>
              <w:ind w:right="194"/>
              <w:spacing w:after="0"/>
              <w:rPr>
                <w:sz w:val="20"/>
                <w:szCs w:val="20"/>
                <w:color w:val="auto"/>
              </w:rPr>
            </w:pPr>
            <w:r>
              <w:rPr>
                <w:rFonts w:ascii="Times New Roman" w:cs="Times New Roman" w:eastAsia="Times New Roman" w:hAnsi="Times New Roman"/>
                <w:sz w:val="18"/>
                <w:szCs w:val="18"/>
                <w:color w:val="auto"/>
                <w:w w:val="99"/>
              </w:rPr>
              <w:t>107%</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(16,617)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right="194"/>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403,210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271,491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131,719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center"/>
              <w:ind w:right="194"/>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5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5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have financed our operations primarily with cash generated from product sales, supplemented by revenues from royalty and licensing arrangements, as well as proceeds from the sale of equity and debt securities. Continued cash generation is highly dependent on the success of our commercial products, as well as the success of our product candidates if approved by the FDA. While we expect continued profitability in future years, we anticipate there may be significant variability from year to year in the level of our profits particularly due to the following: continued market and payor pressures for our commercial products; the unfavorable impact of the loss of patent exclusivity for Trokendi XR in January 2023; the potential unfavorable impact of the loss of exclusivity of Oxtellar XR and XADAGO; funding for research and development of our product candidates; and the additional funding to launch SPN-830, if approved by the FDA.</w:t>
      </w:r>
    </w:p>
    <w:p>
      <w:pPr>
        <w:spacing w:after="0" w:line="14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believes its balances of cash, cash equivalents, and unrestricted marketable securities, which totaled $403.2 million as of September 30, 2024, along with cash generated from ongoing operations and continued access to debt markets, will be sufficient to satisfy its cash requirements over the next 12 months and beyond.</w:t>
      </w:r>
    </w:p>
    <w:p>
      <w:pPr>
        <w:spacing w:after="0" w:line="14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may, from time to time, consider raising additional capital through: new collaborative arrangements; strategic alliances; additional equity and/or financings from debt or other sources, especially in conjunction with opportunistic business development initiatives. We will continue to actively manage our capital structure and to consider all financing opportunities that could strengthen our long-term financial profile. Any such capital raises may or may not be similar to transactions in which we have engaged in the past. There can be no assurance that any such financing opportunities will be available on acceptable terms, if at all.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flows are comprised of the following (dollars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40" w:type="dxa"/>
            <w:vAlign w:val="bottom"/>
          </w:tcPr>
          <w:p>
            <w:pPr>
              <w:spacing w:after="0"/>
              <w:rPr>
                <w:sz w:val="16"/>
                <w:szCs w:val="16"/>
                <w:color w:val="auto"/>
              </w:rPr>
            </w:pPr>
          </w:p>
        </w:tc>
        <w:tc>
          <w:tcPr>
            <w:tcW w:w="10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7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7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127,545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66,127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61,418</w:t>
            </w:r>
          </w:p>
        </w:tc>
      </w:tr>
      <w:tr>
        <w:trPr>
          <w:trHeight w:val="229"/>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(511,939)</w:t>
            </w:r>
          </w:p>
        </w:tc>
      </w:tr>
      <w:tr>
        <w:trPr>
          <w:trHeight w:val="230"/>
        </w:trPr>
        <w:tc>
          <w:tcPr>
            <w:tcW w:w="7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6,303</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(398,972)</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405,275</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(45,246)</w:t>
            </w:r>
          </w:p>
        </w:tc>
      </w:tr>
      <w:tr>
        <w:trPr>
          <w:trHeight w:val="23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75,054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93,120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(18,066)</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(63,312)</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0"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$127.5 million and $66.1 million for the nine months ended September 30, 2024, and 2023, respectively. The increase in cash flows provided by operating activities is primarily due to higher net income for the nine months ended September 30, 2024 compared to the same period in prior year, and changes in working capital which reflects the timing impacts of cash collections on receivables and settlement of payables.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$177.2 million for the nine months ended September 30, 2024 compared to $334.7 million cash provided by investing activities during the same period in 2023. The change was primarily due to an increase in cash outflows from purchases of marketable securities, partially offset by higher cash inflows from the maturities of marketable securities.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$6.3 million for the nine months ended September 30, 2024 compared to $399.0 million used during the same period in 2023. The change was primarily due to the payment of the total principal amounts and remaining outstanding interest due on the 0.625% Convertible Senior Notes in April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20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Refer to “Part II, Item 7 — Management’s Discussion and Analysis of Liquidity and Capital Resources” of our Annual Report on Form 10-K for the year ended December 31, 2023, and Note 14,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Notes to the Condensed Consolidated Financial Statements in Part I, Item 1, Unaudited Condensed Consolidated Financial Statements, of this Quarterly Report on Form 10-Q for the discussion of our contractual obligations.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87" w:lineRule="exact"/>
        <w:rPr>
          <w:sz w:val="20"/>
          <w:szCs w:val="20"/>
          <w:color w:val="auto"/>
        </w:rPr>
      </w:pPr>
    </w:p>
    <w:p>
      <w:pPr>
        <w:ind w:right="380" w:firstLine="648"/>
        <w:spacing w:after="0" w:line="315" w:lineRule="auto"/>
        <w:rPr>
          <w:sz w:val="20"/>
          <w:szCs w:val="20"/>
          <w:color w:val="auto"/>
        </w:rPr>
      </w:pPr>
      <w:r>
        <w:rPr>
          <w:rFonts w:ascii="Times New Roman" w:cs="Times New Roman" w:eastAsia="Times New Roman" w:hAnsi="Times New Roman"/>
          <w:sz w:val="17"/>
          <w:szCs w:val="17"/>
          <w:color w:val="auto"/>
        </w:rPr>
        <w:t xml:space="preserve">For a discussion of new accounting pronouncements, see Note 2 </w:t>
      </w:r>
      <w:r>
        <w:rPr>
          <w:rFonts w:ascii="Times New Roman" w:cs="Times New Roman" w:eastAsia="Times New Roman" w:hAnsi="Times New Roman"/>
          <w:sz w:val="17"/>
          <w:szCs w:val="17"/>
          <w:i w:val="1"/>
          <w:iCs w:val="1"/>
          <w:color w:val="auto"/>
        </w:rPr>
        <w:t>Summary of Significant Accounting Policies,</w:t>
      </w:r>
      <w:r>
        <w:rPr>
          <w:rFonts w:ascii="Times New Roman" w:cs="Times New Roman" w:eastAsia="Times New Roman" w:hAnsi="Times New Roman"/>
          <w:sz w:val="17"/>
          <w:szCs w:val="17"/>
          <w:color w:val="auto"/>
        </w:rPr>
        <w:t xml:space="preserve"> in the Notes to the Condensed Consolidated Financial Statements in Part I, Item 1, Unaudited Condensed Consolidated Financial Statements, of this Quarterly Report on Form 10-Q.</w:t>
      </w:r>
    </w:p>
    <w:p>
      <w:pPr>
        <w:spacing w:after="0" w:line="10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8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our capital to fund operations and to facilitate business development activities. We also seek to maximize income from our investments without assuming significant interest rate risk, liquidity risk, or risk of default by investing in investment grade securities with maturities of four years or less. Our exposure to market risk is confined to investments in cash and cash equivalents, marketable securities, and long-term marketable securities. As of September 30, 2024, we had cash and cash equivalents, marketable securities, and long-term marketable securities of $403.2 million.</w:t>
      </w:r>
    </w:p>
    <w:p>
      <w:pPr>
        <w:spacing w:after="0" w:line="14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Company has a credit line agreement with UBS (the Credit Line) which provides a revolving line of credit of up to $150 million and can be drawn at any time. As of September 30, 2024, there was no outstanding debt under the Credit Line. In the future, we may borrow funds under the Credit Line. Variable rate borrowing, which may occur under the Credit Line, exposes us to interest rate risk as increases in interest rates would increase our borrowing costs.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Any borrowed funds pursuant to our Credit Line are subject to a collateral maintenance requirement. The Credit Line is secured primarily by our portfolio of marketable securities, which is primarily comprised of corporate and U.S. government agency and municipal debt securities and may fluctuate in value. The fluctuations may be driven by, among other things, changes in interest rates, economic conditions, and other financial conditions as well as idiosyncratic factors related to a security’s issuer. To the extent a fluctuation in value results in the value of the collateral decreasing below the required collateral maintenance requirements we may be required to promptly post additional collateral. Additionally, our Credit Line is an uncommitted facility that may be terminated by the lender at any time. During periods of rapidly changing interest rates, economic conditions or other financial conditions, the Credit Line may be terminated by the lender and/or the lender may declare that all borrowings thereunder are immediately due.</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cash and cash equivalents consist primarily of cash held at banks and investments in highly liquid financial instruments with an original maturity of three months or less. Our marketable securities, which are reported at fair value, consist of investments in U.S. Treasury bills and notes; bank certificates of deposit; various U.S. governmental agency debt securities; and corporate and municipal debt securities. We place all investments with governmental, industrial, or financial institutions whose debt is rated as investment grade. We generally hold these securities to maturities of one to four years. Because of the relatively short period that we hold our investments and because we generally hold these securities to maturity, we do not believe that an increase in interest rates would have any significant impact on the realizable value of our investments.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have any currency or derivative financial instruments.</w:t>
      </w:r>
    </w:p>
    <w:p>
      <w:pPr>
        <w:spacing w:after="0" w:line="18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may contract with clinical research organizations (CROs) and investigational sites globally. Currently, we have ongoing clinical trials being conducted outside the U.S. We do not hedge our foreign currency exchange rate risk. Transactions denominated in currencies other than the U.S. dollar are recorded based on exchange rates at the time such transactions arise. As of September 30, 2024 and December 31, 2023, substantially all of our liabilities were denominated in the U.S. dollar.</w:t>
      </w:r>
    </w:p>
    <w:p>
      <w:pPr>
        <w:spacing w:after="0" w:line="15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the cost of services provided by our vendors. We do not believe that inflation and changing prices over the year ended December 31, 2023, and the nine months ended September 30, 2024 had a significant impact on our consolidated results of operations.</w:t>
      </w:r>
    </w:p>
    <w:p>
      <w:pPr>
        <w:spacing w:after="0" w:line="1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required by Rule 13a-15(e) and 15d-15(e) of the Securities Exchange Act of 1934, as amended, or the Exchange Act. Our disclosure controls and procedures are designed to provide reasonable assurance that the information required to be disclosed by us in the reports we file or submit under the Exchange Act has been appropriately recorded, processed, summarized, and reported within the time periods specified in the Securities and Exchange Commission's rules and forms and that such information is accumulated and communicated to our management, including our CEO and CFO, to allow timely decisions regarding required disclosure. We conducted an evaluation of the effectiveness of the design and operation of our disclosure controls and procedures as of September 30, 2024, the end of the period covered by this report. Based on that evaluation, under the supervision and with the participation of our management, including our CEO and CFO, we concluded that our disclosure controls and procedures are effective as of September 30,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Our management, including our CEO and CFO, evaluated changes in our internal control over financial reporting that occurred during the quarter ended September 30, 2024.</w:t>
      </w:r>
    </w:p>
    <w:p>
      <w:pPr>
        <w:spacing w:after="0" w:line="13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2024, no changes occurred in our internal control over financial reporting that materially affected, or are reasonably likely to materially affect, our internal control over financial reporting.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0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and in the ordinary course of business, Supernus Pharmaceuticals, Inc. (the "Company") and any of its subsidiaries may be subject to various claims, charges and litigation. The Company and any of its subsidiaries may be required to file infringement claims against third parties for the infringement of our patents.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Oxtellar XR®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 Supernus Pharmaceuticals, Inc. v. Ajanta Pharma Limited, C.A. No. 22-cv-1431 (GBW) (D. Del.)</w:t>
      </w:r>
    </w:p>
    <w:p>
      <w:pPr>
        <w:spacing w:after="0" w:line="202"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 Ajanta Pharma Limited (“Ajanta”) dated September 19, 2022, directed to ten of its Oxtellar XR® Orange Book patents. Supernus’s U.S. Patent Nos. 7,722,898; 7,910,131; 8,617,600; 8,821,930; 9,119,791; 9,351,975; 9,370,525; 9,855,278; 10,220,042; and 11,166,960 generally cover once-a-day oxcarbazepine formulations and methods of treating seizures using those formulations. The FDA Orange Book lists all ten of the Company’s Oxtellar XR® patents as expiring on April 13, 2027. On October 28, 2022, the Company filed a lawsuit against Ajanta alleging infringement of the Company’s ten Oxtellar XR® patents. The Complaint—filed in the U.S. District Court for the District of Delaware—alleges, among other things, that Ajanta infringed the Company’s Oxtellar XR® patents by submitting to the FDA an Abbreviated New Drug Application (“ANDA”) seeking to market a generic version of Oxtellar XR® prior to the expiration of the Company’s patents. Filing its October 28, 2022 Complaint within 45 days of receiving Ajanta’s Paragraph IV certification notice entitles Supernus to an automatic stay preventing the FDA from approving Ajanta’s ANDA for 30 months from the date of the Company’s receipt of the Paragraph IV Notice Letter. On January 3, 2023, Ajanta answered the Complaint and denied the substantive allegations of the Complaint, asserting affirmative defenses that include non-infringement and invalidity. Ajanta also asserted Counterclaims seeking declaratory judgments of non-infringement and invalidity. On January 24, 2023, the Company filed its Reply, denying the substantive allegations of Ajanta’s Counterclaims. The Court issued a Scheduling Order on July 13, 2023, that set a trial date of February 10, 2025. The Company entered into a settlement agreement with Ajanta, and on January 18, 2024, a stipulation of dismissal without prejudice was entered by the U.S. District Court for the District of Delaware. The agreement has been submitted to the applicable governmental agencies.</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II. Supernus Pharmaceuticals, Inc. v. Aurobindo Pharma Ltd. and Aurobindo Pharma USA, Inc., C.A. No. 24-cv-9380 (KMW) (MJS) (D.N.J)</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 Aurobindo Pharma Ltd. dated August 9, 2024, directed to eleven of its Oxtellar XR® Orange Book patents. Supernus’s U.S. Patent Nos. 7,722,898; 7,910,131; 8,617,600; 8,821,930; 9,119,791; 9,351,975; 9,370,525; 9,855,278; 10,220,042; 11,166,960; and 11,896,599 generally cover once-a-day oxcarbazepine formulations and methods of treating seizures using those formulations. The FDA Orange Book lists all eleven of the Company’s Oxtellar XR® patents as expiring on April 13, 2027. On September 23, 2024, the Company filed a lawsuit against Aurobindo Pharma Ltd. and Aurobindo Pharma USA, Inc. (collectively, “Aurobindo”) alleging infringement of the Company’s eleven Oxtellar XR® patents. The Complaint—filed in the U.S. District Court for the District of New Jersey—alleges, among other things, that Aurobindo infringed the Company’s Oxtellar XR® patents by submitting to the FDA an Abbreviated New Drug Application (“ANDA”) seeking to market a generic version of Oxtellar XR® prior to the expiration of the Company’s patents. Filing its September 23, 2024, Complaint within 45 days of receiving Aurobindo’s Paragraph IV certification notice entitles Supernus to an automatic stay preventing the FDA from approving Aurobindo’s ANDA for 30 months from the date of the Company’s receipt of the Paragraph IV Notice Letter. As of the date of this submission, the Court has not issued a Scheduling Order.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Trokendi XR®</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III. Supernus Pharmaceuticals, Inc. v. Ajanta Pharma Limited, et al., C.A. No. 21-cv-6964 (GC)(DEA) (D.N.J.)</w:t>
      </w:r>
    </w:p>
    <w:p>
      <w:pPr>
        <w:spacing w:after="0" w:line="189" w:lineRule="exact"/>
        <w:rPr>
          <w:sz w:val="20"/>
          <w:szCs w:val="20"/>
          <w:color w:val="auto"/>
        </w:rPr>
      </w:pPr>
    </w:p>
    <w:p>
      <w:pPr>
        <w:ind w:firstLine="648"/>
        <w:spacing w:after="0" w:line="217" w:lineRule="exact"/>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 Ajanta Pharma Limited dated February 10,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March 26, 2021, the Company filed a lawsuit against Ajanta Pharma Limited and Ajanta Pharma USA Inc. (collectively “Ajanta”) alleging infringement of the Company’s Trokendi XR® Orange Book patents. The Complaint—filed in the U.S. District Court for the District of New Jersey—alleges, among other things, that Ajanta infringed the Company’s Trokendi XR® patents by submitting to the FDA an Abbreviated New Drug Application (“ANDA”) seeking to market a generic version of Trokendi XR® prior to the expiration of the Company’s patents. Filing its March 26, 2021 Complaint within 45 days of receiving Ajanta’s Paragraph IV certification notice entitles Supernus to an automatic stay preventing the FDA from approving Ajanta’s ANDA for 30 months from the date of the Company’s receipt of the Paragraph IV Notice Letter. On June 7, 2021, Ajanta answered the Complaint and denied the substantive allegations of the Complaint, asserting affirmative defenses that include non-infringement and invalidity. Ajanta also asserted Counterclaims seeking declaratory judgments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infringement and invalidity for the Trokendi XR® Orange Book patents. On June 28, 2021, the Company filed its reply, denying the substantive allegations of Ajanta’s Counterclaims. Following the initial Rule 16 Scheduling Conference, the Court issued a case schedule. On December 17, 2021, the Court issued an order consolidating this lawsuit with the lawsuit against Torrent, discussed in Section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80"/>
        <w:spacing w:after="0" w:line="236" w:lineRule="exact"/>
        <w:rPr>
          <w:sz w:val="20"/>
          <w:szCs w:val="20"/>
          <w:color w:val="auto"/>
        </w:rPr>
      </w:pPr>
      <w:r>
        <w:rPr>
          <w:rFonts w:ascii="Times New Roman" w:cs="Times New Roman" w:eastAsia="Times New Roman" w:hAnsi="Times New Roman"/>
          <w:sz w:val="18"/>
          <w:szCs w:val="18"/>
          <w:color w:val="auto"/>
        </w:rPr>
        <w:t>IV, below. The consolidation order extended the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stay preventing the FDA from approving Ajanta’s ANDA to December 16, 2023. The Company entered into a settlement agreement with Ajanta, and on April 4, 2023, a stipulation of dismissal without prejudice was entered by the U.S. District Court for the District of New Jersey. The agreement has been submitted to the applicable governmental agencies.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IV. Supernus Pharmaceuticals, Inc. v. Torrent Pharmaceuticals Ltd., et al., C.A. No. 21-cv-14268 (GC)(DEA) (D.N.J.)</w:t>
      </w:r>
    </w:p>
    <w:p>
      <w:pPr>
        <w:spacing w:after="0" w:line="189" w:lineRule="exact"/>
        <w:rPr>
          <w:sz w:val="20"/>
          <w:szCs w:val="20"/>
          <w:color w:val="auto"/>
        </w:rPr>
      </w:pPr>
    </w:p>
    <w:p>
      <w:pPr>
        <w:ind w:firstLine="648"/>
        <w:spacing w:after="0" w:line="217" w:lineRule="exact"/>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 Torrent Pharmaceuticals Ltd. dated June 15,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July 28, 2021, the Company filed a lawsuit against Torrent Pharmaceuticals Ltd. and Torrent Pharma Inc. (collectively, “Torrent”) alleging infringement of the Company’s Trokendi XR® Orange Book patents. The Complaint—filed in the U.S. District Court for the District of New Jersey—alleges, among other things, that Torrent infringed the Company’s Trokendi XR® patents by submitting to the FDA an Abbreviated New Drug Application (“ANDA”) seeking to market a generic version of Trokendi XR® prior to the expiration of the Company’s patents. Filing its July 28, 2021 Complaint within 45 days of receiving Torrent’s Paragraph IV certification notice entitles Supernus to an automatic stay preventing the FDA from approving Torrent’s ANDA for 30 months from the date of the Company’s receipt of the Paragraph IV Notice Letter. On September 29, 2021, Torrent answered the Complaint and denied the substantive allegations of the Complaint, asserting affirmative defenses that include non-infringement and invalidity. Torrent also asserted Counterclaims seeking declaratory judgments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infringement for the Trokendi XR® Orange Book patents. On November 3, 2021, the Company filed its reply, denying the substantive allegations of Torrent’s Counterclaims. Following the initial Rule 16 Scheduling Conference, the Court issued a case schedule. On December 17, 2021, the Court issued an order consolidating this lawsuit with the lawsuit against Ajanta, discussed in Section III, above. The Court held a bench trial between July 31, 2023, and August 3, 2023. Closing arguments for the trial were held on October 4, 2023. On December 12, 2023, the Court issued an Order enjoining Torrent from launching its generic drug product through January 31, 2024, or until the Court’s trial decision issues, whichever is sooner. On January 30, 2024, the Court issued a Trial Opinion and Order, deciding in Supernus’s favor that the patent claims that Supernus asserted at trial against Torrent are both valid and infringed. The District Court entered a Final Judgment in Supernus’s favor on February 22, 2024.</w:t>
      </w:r>
    </w:p>
    <w:p>
      <w:pPr>
        <w:spacing w:after="0" w:line="167" w:lineRule="exact"/>
        <w:rPr>
          <w:sz w:val="20"/>
          <w:szCs w:val="20"/>
          <w:color w:val="auto"/>
        </w:rPr>
      </w:pPr>
    </w:p>
    <w:p>
      <w:pPr>
        <w:ind w:right="160" w:firstLine="648"/>
        <w:spacing w:after="0" w:line="289" w:lineRule="auto"/>
        <w:rPr>
          <w:sz w:val="20"/>
          <w:szCs w:val="20"/>
          <w:color w:val="auto"/>
        </w:rPr>
      </w:pPr>
      <w:r>
        <w:rPr>
          <w:rFonts w:ascii="Times New Roman" w:cs="Times New Roman" w:eastAsia="Times New Roman" w:hAnsi="Times New Roman"/>
          <w:sz w:val="17"/>
          <w:szCs w:val="17"/>
          <w:color w:val="auto"/>
        </w:rPr>
        <w:t xml:space="preserve">On March 4, 2024, Torrent filed a Notice of Appeal of the Final Judgment with the U.S. Court of Appeals for the Federal Circuit. The Federal Circuit docketed the appeal as </w:t>
      </w:r>
      <w:r>
        <w:rPr>
          <w:rFonts w:ascii="Times New Roman" w:cs="Times New Roman" w:eastAsia="Times New Roman" w:hAnsi="Times New Roman"/>
          <w:sz w:val="17"/>
          <w:szCs w:val="17"/>
          <w:i w:val="1"/>
          <w:iCs w:val="1"/>
          <w:color w:val="auto"/>
        </w:rPr>
        <w:t>Supernus Pharmaceuticals, Inc. v. Ajanta Pharma Limited</w:t>
      </w:r>
      <w:r>
        <w:rPr>
          <w:rFonts w:ascii="Times New Roman" w:cs="Times New Roman" w:eastAsia="Times New Roman" w:hAnsi="Times New Roman"/>
          <w:sz w:val="17"/>
          <w:szCs w:val="17"/>
          <w:color w:val="auto"/>
        </w:rPr>
        <w:t xml:space="preserve"> because the lawsuit against Torrent was previously consolidated with the lawsuit against Ajanta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Section III above). Briefing is ongoing as of the date of this filing. The Court has not set the date for oral argument.</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 Supernus Pharmaceuticals, Inc. v. Ascent Pharmaceuticals Inc., et al., C.A. No. 23-cv-4015 (GC)(DEA) (D.N.J.)</w:t>
      </w:r>
    </w:p>
    <w:p>
      <w:pPr>
        <w:spacing w:after="0" w:line="18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 Ascent Pharmaceuticals Inc. dated June 15, 2023,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July 26, 2023, the Company filed a lawsuit against Ascent Pharmaceuticals Inc., ("Ascent Pharma") Camber Pharmaceuticals, Inc., and Hetero Labs Ltd. (collectively, “Ascent”) alleging infringement of the Company’s Trokendi XR® Orange Book patents. The Complaint—filed in the U.S. District Court for the District of New Jersey—alleges, among other things, that Ascent infringed the Company’s Trokendi XR® patents by submitting to the FDA an Abbreviated New Drug Application (“ANDA”) seeking to market a generic version of Trokendi XR® prior to the expiration of the Company’s patents. Filing its July 26, 2023 Complaint within 45 days of receiving Ascent’s Paragraph IV certification notice entitles Supernus to an automatic stay preventing the FDA from approving Ascent’s ANDA for 30 months from the date of the Company’s receipt of the Paragraph IV Notice Letter. On September 28, 2023, the Court entered a stipulation of dismissal without prejudice as to only defendants Camber and Hetero, which included stipulations that, among other things: (i) Ascent Pharma will not contest personal jurisdiction or venue in this District for this Action; (ii) Camber and Hetero will be bound by any injunction in this Action to the extent it concerns the Ascent ANDA; and (iii) Ascent Pharma will collect and produce any relevant discovery that is in the possession, custody, or control of Camber and Hetero. On October 11, 2023, Ascent Pharma answered the Complaint and denied the substantive allegations of the Complaint, asserting affirmative defenses that include non-infringement and invalidity. The Company entered into a settlement agreement with Ascent Pharma, and on May 2, 2024, a stipulation of dismissal without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prejudice was entered by the U.S. District Court for the District of New Jersey. The agreement has been submitted to the applicable governmental agencies.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VI. Supernus Pharmaceuticals, Inc. v. Micro Labs Ltd., et al., C.A. No. 24-cv-9338 (ZNQ)(JTQ) (D.N.J.)</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 Micro Labs Ltd. dated August 13, 2024,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U.S. Patent No. 8,298,576 as expiring on April 4, 2028, and U.S. Patent Nos. 8,298,580; 8,663,683; 8,877,248; 8,889,191; 8,992,989; 9,549,940; 9,555,004; 9,622,983; and 10,314,790 as expiring on November 16, 2027. On September 20, 2024, the Company filed a lawsuit against Micro Labs Ltd. and Micro Labs USA, Inc. (collectively, “Micro Labs”) alleging infringement of the Company’s Trokendi XR® Orange Book patents. The Complaint—filed in the U.S. District Court for the District of New Jersey—alleges, among other things, that Micro Labs infringed the Company’s Trokendi XR® patents by submitting to the FDA an Abbreviated New Drug Application (“ANDA”) seeking to market a generic version of Trokendi XR® prior to the expiration of the Company’s patents. Filing its September 20, 2024, Complaint within 45 days of receiving Micro Labs’ Paragraph IV certification notice entitles Supernus to an automatic stay preventing the FDA from approving Micro Labs’ ANDA for 30 months from the date of the Company’s receipt of the Paragraph IV Notice Letter. As of the date of this submission, the Court has not issued a Scheduling Order.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APOKYN®</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VII. Sage Chemical, Inc., et al. v. Supernus Pharmaceuticals, Inc., et al., C.A. No. 22-cv-1302 (CJB) (D. Del.)</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October 3, 2022, Sage Chemical, Inc. and TruPharma, LLC filed a lawsuit in the United States District Court for the District of Delaware alleging that Supernus Pharmaceuticals, Inc., Britannia Pharmaceuticals Limited (“Britannia”), and US WorldMeds Partners, LLC (“US WorldMeds”) violated state and federal antitrust law in connection with APOKYN® (apomorphine HCl). On October 16, 2022, Plaintiffs amended their complaint to add additional defendants MDD US Enterprises, LLC, MDD US Operations, LLC (each a subsidiary of Supernus Pharmaceuticals, Inc.), USWM, LLC (“USWM”), and individual defendants Paul Breckinridge Jones, Sr., Herbert Lee Warren, Jr., Henry Van Den Berg, and Kristin L. Gullo. On January 10, 2023, Defendants filed an Omnibus Motion to Dismiss the Amended Complaint seeking dismissal of each of Plaintiffs’ claims and the lawsuit in its entirety and US WorldMeds with USWM, Britannia, and the group of individual defendants each filed separate motions to dismiss. On May 9, 2024, and May 28, 2024, respectively, the Court denied the Defendants’ omnibus motion and the Britannia motion to dismiss. On May 31, 2024, and June 4, 2024, respectively, the Court granted the individuals defendants’ motion to dismiss and the US WorldMeds and USWM motion to dismiss. On June 18, 2024, the Court issued a scheduling order that provides for a Pretrial Conference on September 12, 2025, and a jury trial beginning on September 22, 2025. Pretrial discovery is ongoing as of the date of this filing.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Adamas Litigation</w:t>
      </w:r>
    </w:p>
    <w:p>
      <w:pPr>
        <w:spacing w:after="0" w:line="202" w:lineRule="exact"/>
        <w:rPr>
          <w:sz w:val="20"/>
          <w:szCs w:val="20"/>
          <w:color w:val="auto"/>
        </w:rPr>
      </w:pPr>
    </w:p>
    <w:p>
      <w:pPr>
        <w:ind w:right="20" w:firstLine="738"/>
        <w:spacing w:after="0" w:line="258" w:lineRule="auto"/>
        <w:rPr>
          <w:sz w:val="20"/>
          <w:szCs w:val="20"/>
          <w:color w:val="auto"/>
        </w:rPr>
      </w:pPr>
      <w:r>
        <w:rPr>
          <w:rFonts w:ascii="Times New Roman" w:cs="Times New Roman" w:eastAsia="Times New Roman" w:hAnsi="Times New Roman"/>
          <w:sz w:val="18"/>
          <w:szCs w:val="18"/>
          <w:color w:val="auto"/>
        </w:rPr>
        <w:t>In November 2012, Adamas Pharmaceuticals, Inc. (Adamas) granted Forest Laboratories Holdings Limited, an indirect wholly-owned subsidiary of Allergan plc (Forest), an exclusive license to certain of Adamas's intellectual property rights relating to human therapeutics containing memantine in the United States. Under the terms of that license agreement, Forest has the right to enforce such intellectual property rights which are related to its right to market and sell Namzaric and NAMENDA XR for the treatment of moderate to severe dementia related to Alzheimer's disease. Adamas has a right to participate in, but not control, such enforcement actions by Forest.</w:t>
      </w:r>
    </w:p>
    <w:p>
      <w:pPr>
        <w:spacing w:after="0" w:line="143"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Since 2018 multiple generic companies have launched generic versions of NAMENDA XR. A number of companies have submitted ANDAs including one or more certifications to the FDA, pursuant to 21 U.S.C. § 355(j)(2)(A)(vii)(iv), requesting approval to manufacture and market generic versions of Namzaric, on which Adamas became entitled to receive royalties from Forest beginning in May 2020.</w:t>
      </w:r>
    </w:p>
    <w:p>
      <w:pPr>
        <w:spacing w:after="0" w:line="13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Adamas and Forest have settled with all such Namzaric ANDA filers, including all first filers on all the available dosage forms of Namzaric. Subject to those agreements, the earliest date on which any of these agreements grant a license to market a Namzaric ANDA filer's generic version of Namzaric is January 1, 2025 (or earlier in certain circumstances). Alternatively, the Namzaric ANDA filers with the earliest date have the option to launch an authorized generic version of Namzaric beginning on January 1, 2026 instead of launching their own generic version of Namzaric on January 1, 2025. Adamas and Forest intend to continue to enforce the patents associated with Namzaric.</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April 1, 2019, Adamas was served with a complaint filed in the United States District Court for the Northern District of California (Case No. 3:18-cv-03018-JCS) against it and several Forest and Allergan entities alleging violations of federal and state false claims acts (FCA) in connection with the commercialization of NAMENDA XR and Namzaric by Allergan. The lawsuit is a qui tam complaint brought by a named individual, Zachary Silbersher, asserting rights of the Federal government and various state governments. The lawsuit was originally filed in May 2018 under seal, and Adamas became aware of the lawsuit when it was served. The complaint alleges that patents held by Allergan and Adamas covering NAMENDA XR and Namzaric were procured through fraud on the United States Patent and Trademark Office and that these patents were asserted against potential generic manufacturers of NAMENDA XR and Namzaric to prevent the generic manufacturers from entering the market, thereby wrongfully excluding generic competition resulting in artificially high prices being charged to government payors.</w:t>
      </w:r>
    </w:p>
    <w:p>
      <w:pPr>
        <w:spacing w:after="0" w:line="16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Adamas's patents in question were licensed exclusively to Forest. The complaint includes a claim for damages of “potentially more than $2.5 billion dollars,” treble damages and statutory penalties. To date the federal and state governments have declined to intervene in this action. This case is currently stayed pending Adamas's and Allergan's interlocutory appeal of the District Court's December 11, 2020 order denying Adamas's and Allergan's motions to dismiss the complaint. The appeal was heard by the United States Court of Appeals for the Ninth Circuit (Case No. 21-80005). Argument was held on January 10, 2022. On August 25, 2022, the Ninth Circuit sided with the defendants by reversing the District Court’s public disclosure bar rulings and remanding the case back to the District Court to decide certain issues in the first instance. On October 11, 2022, the plaintiff filed a petition for rehearing with the Ninth Circuit, which was denied. On December 23, 2022, defendants filed renewed motions to dismiss directed to the remaining unresolved issue. On March 20, 2023, the District Court entered an order and final judgment dismissing with prejudice the FCA claim while declining to exercise supplemental jurisdiction over the state false claims act claims which were dismissed without prejudice. On April 19, 2023, the plaintiff appealed the District Court's dismissal of the Federal False Claims Act claim. </w:t>
      </w:r>
      <w:r>
        <w:rPr>
          <w:rFonts w:ascii="Times New Roman" w:cs="Times New Roman" w:eastAsia="Times New Roman" w:hAnsi="Times New Roman"/>
          <w:sz w:val="18"/>
          <w:szCs w:val="18"/>
          <w:color w:val="333333"/>
        </w:rPr>
        <w:t>On February 20, 2024, the plaintiff filed a motion for an indicative ruling and to set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aside the judgment in the District Court, based on the same arguments raised in his appeal. That motion was fully briefed and the District Court determined that the motion for an indicative ruling was suitable for determination without a hearing. On May 7, 2024, the District Court denied the plaintiff’s motion for an indicative ruling. </w:t>
      </w:r>
      <w:r>
        <w:rPr>
          <w:rFonts w:ascii="Times New Roman" w:cs="Times New Roman" w:eastAsia="Times New Roman" w:hAnsi="Times New Roman"/>
          <w:sz w:val="18"/>
          <w:szCs w:val="18"/>
          <w:color w:val="000000"/>
        </w:rPr>
        <w:t>The appeal is fully briefed, and the Ninth Circuit has set oral argument for November 21, 2024.</w:t>
      </w:r>
    </w:p>
    <w:p>
      <w:pPr>
        <w:spacing w:after="0" w:line="14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December 10, 2019, a putative class action lawsuit alleging violations of the federal securities laws was filed by Ali Zaidi against Adamas and certain of Adamas's former directors and officers in federal court in the Northern District of California (Case No. 4:19-cv-08051). This lawsuit alleges violations of the Securities Exchange Act of 1934 by Adamas and certain of Adamas's former directors and officers. On October 8, 2021, the presiding judge dismissed the litigation, and granted Plaintiffs leave to amend their complaint. On November 5, 2021, Plaintiffs filed their second amended class action complaint. On December 10, 2021, Adamas filed a motion to dismiss the Second Amended Complaint. Plaintiffs opposed the motion to dismiss. On January 13, 2023, the Court granted in part and denied in part Defendants’ Motion to Dismiss. All claims against Adamas have been dismissed with prejudice, but claims against one of the individual defendants, who may have certain rights to indemnification, remain. On February 27, 2023, Plaintiffs advised the Court that Plaintiffs would proceed only on the remaining claim against one of the individual defendants. The individual defendant filed an answer denying the claim on April 28, 2023. On September 21, 2023, the parties reached an agreement in principle to settle the Zaidi litigation, subject to court approval. On October 31, 2023, the Court granted the parties' stipulation staying all proceedings and vacating all existing deadlines. On April 2, 2024, the Court preliminarily approved the settlement of the case, including a $4.7 million payment from insurers, subject to further consideration at a settlement hearing to be held in September 2024. On September 27, 2024, the Court granted final approval of the class action settlement, dismissed the lawsuit with prejudice, and final judgment was entered.</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Adamas believes it has strong factual and legal defenses to all actions and intends to defend itself vigorously.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Any investment in our business involves a high degree of risk. Before making an investment decision, you should carefully consider the information we include in this Quarterly Report on Form 10-Q, including our condensed consolidated financial statements and related notes; the additional information in the other reports we file with the Securities and Exchange Commission; and the risks described in our Annual Report on Form 10-K for the year ended December 31, 2023 and quarterly report on Form 10-Q for the period ended September 30, 2024. These risks may result in material harm to our business and our financial condition and results of operations. If a material, adverse event was to occur, the market price of our common stock may decline, and you could lose part or all of your investment.</w:t>
      </w:r>
    </w:p>
    <w:p>
      <w:pPr>
        <w:spacing w:after="0" w:line="14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98" w:lineRule="exact"/>
        <w:rPr>
          <w:sz w:val="20"/>
          <w:szCs w:val="20"/>
          <w:color w:val="auto"/>
        </w:rPr>
      </w:pPr>
    </w:p>
    <w:p>
      <w:pPr>
        <w:ind w:left="660" w:right="8360" w:hanging="652"/>
        <w:spacing w:after="0" w:line="490" w:lineRule="auto"/>
        <w:tabs>
          <w:tab w:leader="none" w:pos="402"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Sales of Unregistered Securities. </w:t>
      </w: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89" w:lineRule="exact"/>
        <w:rPr>
          <w:sz w:val="20"/>
          <w:szCs w:val="20"/>
          <w:color w:val="auto"/>
        </w:rPr>
      </w:pPr>
    </w:p>
    <w:p>
      <w:pPr>
        <w:ind w:left="440" w:hanging="432"/>
        <w:spacing w:after="0"/>
        <w:tabs>
          <w:tab w:leader="none" w:pos="4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None.</w:t>
      </w:r>
    </w:p>
    <w:p>
      <w:pPr>
        <w:spacing w:after="0" w:line="184" w:lineRule="exact"/>
        <w:rPr>
          <w:rFonts w:ascii="Times New Roman" w:cs="Times New Roman" w:eastAsia="Times New Roman" w:hAnsi="Times New Roman"/>
          <w:sz w:val="18"/>
          <w:szCs w:val="18"/>
          <w:b w:val="1"/>
          <w:bCs w:val="1"/>
          <w:color w:val="auto"/>
        </w:rPr>
      </w:pPr>
    </w:p>
    <w:p>
      <w:pPr>
        <w:ind w:left="400" w:hanging="392"/>
        <w:spacing w:after="0"/>
        <w:tabs>
          <w:tab w:leader="none" w:pos="4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None.</w:t>
      </w:r>
    </w:p>
    <w:p>
      <w:pPr>
        <w:spacing w:after="0" w:line="194" w:lineRule="exact"/>
        <w:rPr>
          <w:rFonts w:ascii="Times New Roman" w:cs="Times New Roman" w:eastAsia="Times New Roman" w:hAnsi="Times New Roman"/>
          <w:sz w:val="18"/>
          <w:szCs w:val="18"/>
          <w:b w:val="1"/>
          <w:bCs w:val="1"/>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Insider Trading Arrangements and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80" w:type="dxa"/>
            <w:vAlign w:val="bottom"/>
            <w:tcBorders>
              <w:right w:val="single" w:sz="8" w:color="auto"/>
            </w:tcBorders>
          </w:tcPr>
          <w:p>
            <w:pPr>
              <w:spacing w:after="0"/>
              <w:rPr>
                <w:sz w:val="16"/>
                <w:szCs w:val="16"/>
                <w:color w:val="auto"/>
              </w:rPr>
            </w:pPr>
          </w:p>
        </w:tc>
        <w:tc>
          <w:tcPr>
            <w:tcW w:w="1540" w:type="dxa"/>
            <w:vAlign w:val="bottom"/>
            <w:tcBorders>
              <w:top w:val="single" w:sz="8" w:color="auto"/>
              <w:right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Name and Title of</w:t>
            </w:r>
          </w:p>
        </w:tc>
        <w:tc>
          <w:tcPr>
            <w:tcW w:w="1580" w:type="dxa"/>
            <w:vAlign w:val="bottom"/>
            <w:tcBorders>
              <w:top w:val="single" w:sz="8" w:color="auto"/>
              <w:right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Rule 10b5-1</w:t>
            </w:r>
          </w:p>
        </w:tc>
        <w:tc>
          <w:tcPr>
            <w:tcW w:w="1580" w:type="dxa"/>
            <w:vAlign w:val="bottom"/>
            <w:tcBorders>
              <w:top w:val="single" w:sz="8" w:color="auto"/>
              <w:right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Trading</w:t>
            </w:r>
          </w:p>
        </w:tc>
        <w:tc>
          <w:tcPr>
            <w:tcW w:w="1580" w:type="dxa"/>
            <w:vAlign w:val="bottom"/>
            <w:tcBorders>
              <w:top w:val="single" w:sz="8" w:color="auto"/>
              <w:right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Date of Adoption</w:t>
            </w:r>
          </w:p>
        </w:tc>
        <w:tc>
          <w:tcPr>
            <w:tcW w:w="1580" w:type="dxa"/>
            <w:vAlign w:val="bottom"/>
            <w:tcBorders>
              <w:top w:val="single" w:sz="8" w:color="auto"/>
              <w:right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Duration of</w:t>
            </w:r>
          </w:p>
        </w:tc>
        <w:tc>
          <w:tcPr>
            <w:tcW w:w="1580" w:type="dxa"/>
            <w:vAlign w:val="bottom"/>
            <w:tcBorders>
              <w:top w:val="single" w:sz="8" w:color="auto"/>
              <w:right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Aggregate Number</w:t>
            </w:r>
          </w:p>
        </w:tc>
        <w:tc>
          <w:tcPr>
            <w:tcW w:w="1580" w:type="dxa"/>
            <w:vAlign w:val="bottom"/>
            <w:tcBorders>
              <w:top w:val="single" w:sz="8" w:color="auto"/>
              <w:right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Aggregate Number</w:t>
            </w:r>
          </w:p>
        </w:tc>
      </w:tr>
      <w:tr>
        <w:trPr>
          <w:trHeight w:val="184"/>
        </w:trPr>
        <w:tc>
          <w:tcPr>
            <w:tcW w:w="18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Director or Officer</w:t>
            </w:r>
          </w:p>
        </w:tc>
        <w:tc>
          <w:tcPr>
            <w:tcW w:w="158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Trading</w:t>
            </w:r>
          </w:p>
        </w:tc>
        <w:tc>
          <w:tcPr>
            <w:tcW w:w="158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Arrangement</w:t>
            </w:r>
          </w:p>
        </w:tc>
        <w:tc>
          <w:tcPr>
            <w:tcW w:w="158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or Termination</w:t>
            </w:r>
          </w:p>
        </w:tc>
        <w:tc>
          <w:tcPr>
            <w:tcW w:w="158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Trading</w:t>
            </w:r>
          </w:p>
        </w:tc>
        <w:tc>
          <w:tcPr>
            <w:tcW w:w="158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of Securities to be</w:t>
            </w:r>
          </w:p>
        </w:tc>
        <w:tc>
          <w:tcPr>
            <w:tcW w:w="158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of Securities to be</w:t>
            </w:r>
          </w:p>
        </w:tc>
      </w:tr>
      <w:tr>
        <w:trPr>
          <w:trHeight w:val="176"/>
        </w:trPr>
        <w:tc>
          <w:tcPr>
            <w:tcW w:w="18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6"/>
                <w:szCs w:val="16"/>
                <w:b w:val="1"/>
                <w:bCs w:val="1"/>
                <w:color w:val="auto"/>
              </w:rPr>
              <w:t>Arrangement</w:t>
            </w:r>
            <w:r>
              <w:rPr>
                <w:rFonts w:ascii="Times New Roman" w:cs="Times New Roman" w:eastAsia="Times New Roman" w:hAnsi="Times New Roman"/>
                <w:sz w:val="20"/>
                <w:szCs w:val="20"/>
                <w:b w:val="1"/>
                <w:bCs w:val="1"/>
                <w:color w:val="auto"/>
                <w:vertAlign w:val="superscript"/>
              </w:rPr>
              <w:t>(1)</w:t>
            </w:r>
          </w:p>
        </w:tc>
        <w:tc>
          <w:tcPr>
            <w:tcW w:w="158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Adopted or</w:t>
            </w:r>
          </w:p>
        </w:tc>
        <w:tc>
          <w:tcPr>
            <w:tcW w:w="15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Arrangement</w:t>
            </w:r>
          </w:p>
        </w:tc>
        <w:tc>
          <w:tcPr>
            <w:tcW w:w="158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Purchased</w:t>
            </w:r>
          </w:p>
        </w:tc>
        <w:tc>
          <w:tcPr>
            <w:tcW w:w="158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Sold Pursuant to</w:t>
            </w:r>
          </w:p>
        </w:tc>
      </w:tr>
      <w:tr>
        <w:trPr>
          <w:trHeight w:val="180"/>
        </w:trPr>
        <w:tc>
          <w:tcPr>
            <w:tcW w:w="18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Terminated</w:t>
            </w:r>
          </w:p>
        </w:tc>
        <w:tc>
          <w:tcPr>
            <w:tcW w:w="15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Pursuant to</w:t>
            </w:r>
          </w:p>
        </w:tc>
        <w:tc>
          <w:tcPr>
            <w:tcW w:w="1580" w:type="dxa"/>
            <w:vAlign w:val="bottom"/>
            <w:tcBorders>
              <w:right w:val="single" w:sz="8" w:color="auto"/>
            </w:tcBorders>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Trading</w:t>
            </w:r>
          </w:p>
        </w:tc>
      </w:tr>
      <w:tr>
        <w:trPr>
          <w:trHeight w:val="184"/>
        </w:trPr>
        <w:tc>
          <w:tcPr>
            <w:tcW w:w="18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Trading</w:t>
            </w:r>
          </w:p>
        </w:tc>
        <w:tc>
          <w:tcPr>
            <w:tcW w:w="158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Arrangement</w:t>
            </w:r>
          </w:p>
        </w:tc>
      </w:tr>
      <w:tr>
        <w:trPr>
          <w:trHeight w:val="229"/>
        </w:trPr>
        <w:tc>
          <w:tcPr>
            <w:tcW w:w="180" w:type="dxa"/>
            <w:vAlign w:val="bottom"/>
            <w:tcBorders>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Arrangement</w:t>
            </w:r>
          </w:p>
        </w:tc>
        <w:tc>
          <w:tcPr>
            <w:tcW w:w="1580" w:type="dxa"/>
            <w:vAlign w:val="bottom"/>
            <w:tcBorders>
              <w:bottom w:val="single" w:sz="8" w:color="auto"/>
              <w:right w:val="single" w:sz="8" w:color="auto"/>
            </w:tcBorders>
          </w:tcPr>
          <w:p>
            <w:pPr>
              <w:spacing w:after="0"/>
              <w:rPr>
                <w:sz w:val="19"/>
                <w:szCs w:val="19"/>
                <w:color w:val="auto"/>
              </w:rPr>
            </w:pPr>
          </w:p>
        </w:tc>
      </w:tr>
      <w:tr>
        <w:trPr>
          <w:trHeight w:val="178"/>
        </w:trPr>
        <w:tc>
          <w:tcPr>
            <w:tcW w:w="18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Jack Khattar,</w:t>
            </w:r>
          </w:p>
        </w:tc>
        <w:tc>
          <w:tcPr>
            <w:tcW w:w="158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Yes</w:t>
            </w:r>
          </w:p>
        </w:tc>
        <w:tc>
          <w:tcPr>
            <w:tcW w:w="158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Terminated</w:t>
            </w:r>
          </w:p>
        </w:tc>
        <w:tc>
          <w:tcPr>
            <w:tcW w:w="158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August 12, 2024</w:t>
            </w:r>
          </w:p>
        </w:tc>
        <w:tc>
          <w:tcPr>
            <w:tcW w:w="158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First Transaction</w:t>
            </w:r>
          </w:p>
        </w:tc>
        <w:tc>
          <w:tcPr>
            <w:tcW w:w="158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75,037</w:t>
            </w:r>
          </w:p>
        </w:tc>
      </w:tr>
      <w:tr>
        <w:trPr>
          <w:trHeight w:val="180"/>
        </w:trPr>
        <w:tc>
          <w:tcPr>
            <w:tcW w:w="18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President, Chief</w:t>
            </w:r>
          </w:p>
        </w:tc>
        <w:tc>
          <w:tcPr>
            <w:tcW w:w="15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Date through August</w:t>
            </w:r>
          </w:p>
        </w:tc>
        <w:tc>
          <w:tcPr>
            <w:tcW w:w="15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r>
      <w:tr>
        <w:trPr>
          <w:trHeight w:val="175"/>
        </w:trPr>
        <w:tc>
          <w:tcPr>
            <w:tcW w:w="18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Executive Officer</w:t>
            </w:r>
          </w:p>
        </w:tc>
        <w:tc>
          <w:tcPr>
            <w:tcW w:w="15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12, 2024</w:t>
            </w:r>
          </w:p>
        </w:tc>
        <w:tc>
          <w:tcPr>
            <w:tcW w:w="15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r>
      <w:tr>
        <w:trPr>
          <w:trHeight w:val="230"/>
        </w:trPr>
        <w:tc>
          <w:tcPr>
            <w:tcW w:w="180" w:type="dxa"/>
            <w:vAlign w:val="bottom"/>
            <w:tcBorders>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Director</w:t>
            </w:r>
          </w:p>
        </w:tc>
        <w:tc>
          <w:tcPr>
            <w:tcW w:w="158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r>
      <w:tr>
        <w:trPr>
          <w:trHeight w:val="178"/>
        </w:trPr>
        <w:tc>
          <w:tcPr>
            <w:tcW w:w="18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Padmanabh Bhatt</w:t>
            </w:r>
          </w:p>
        </w:tc>
        <w:tc>
          <w:tcPr>
            <w:tcW w:w="158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Yes</w:t>
            </w:r>
          </w:p>
        </w:tc>
        <w:tc>
          <w:tcPr>
            <w:tcW w:w="158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Adopted</w:t>
            </w:r>
          </w:p>
        </w:tc>
        <w:tc>
          <w:tcPr>
            <w:tcW w:w="158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September 3, 2024</w:t>
            </w:r>
          </w:p>
        </w:tc>
        <w:tc>
          <w:tcPr>
            <w:tcW w:w="158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First Transaction</w:t>
            </w:r>
          </w:p>
        </w:tc>
        <w:tc>
          <w:tcPr>
            <w:tcW w:w="158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131,995</w:t>
            </w:r>
          </w:p>
        </w:tc>
        <w:tc>
          <w:tcPr>
            <w:tcW w:w="1580" w:type="dxa"/>
            <w:vAlign w:val="bottom"/>
            <w:tcBorders>
              <w:right w:val="single" w:sz="8" w:color="auto"/>
            </w:tcBorders>
          </w:tcPr>
          <w:p>
            <w:pPr>
              <w:ind w:left="20"/>
              <w:spacing w:after="0" w:line="178" w:lineRule="exact"/>
              <w:rPr>
                <w:sz w:val="20"/>
                <w:szCs w:val="20"/>
                <w:color w:val="auto"/>
              </w:rPr>
            </w:pPr>
            <w:r>
              <w:rPr>
                <w:rFonts w:ascii="Times New Roman" w:cs="Times New Roman" w:eastAsia="Times New Roman" w:hAnsi="Times New Roman"/>
                <w:sz w:val="16"/>
                <w:szCs w:val="16"/>
                <w:color w:val="auto"/>
              </w:rPr>
              <w:t xml:space="preserve">131,995 </w:t>
            </w:r>
            <w:r>
              <w:rPr>
                <w:rFonts w:ascii="Times New Roman" w:cs="Times New Roman" w:eastAsia="Times New Roman" w:hAnsi="Times New Roman"/>
                <w:sz w:val="20"/>
                <w:szCs w:val="20"/>
                <w:color w:val="auto"/>
                <w:vertAlign w:val="superscript"/>
              </w:rPr>
              <w:t>(2)</w:t>
            </w:r>
          </w:p>
        </w:tc>
      </w:tr>
      <w:tr>
        <w:trPr>
          <w:trHeight w:val="180"/>
        </w:trPr>
        <w:tc>
          <w:tcPr>
            <w:tcW w:w="18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Date through</w:t>
            </w:r>
          </w:p>
        </w:tc>
        <w:tc>
          <w:tcPr>
            <w:tcW w:w="15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r>
      <w:tr>
        <w:trPr>
          <w:trHeight w:val="243"/>
        </w:trPr>
        <w:tc>
          <w:tcPr>
            <w:tcW w:w="18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SVP, Chief</w:t>
            </w:r>
          </w:p>
        </w:tc>
        <w:tc>
          <w:tcPr>
            <w:tcW w:w="158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158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r>
      <w:tr>
        <w:trPr>
          <w:trHeight w:val="175"/>
        </w:trPr>
        <w:tc>
          <w:tcPr>
            <w:tcW w:w="18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Scientific Officer,</w:t>
            </w:r>
          </w:p>
        </w:tc>
        <w:tc>
          <w:tcPr>
            <w:tcW w:w="15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r>
      <w:tr>
        <w:trPr>
          <w:trHeight w:val="230"/>
        </w:trPr>
        <w:tc>
          <w:tcPr>
            <w:tcW w:w="180" w:type="dxa"/>
            <w:vAlign w:val="bottom"/>
            <w:tcBorders>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c>
          <w:tcPr>
            <w:tcW w:w="158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r>
      <w:tr>
        <w:trPr>
          <w:trHeight w:val="429"/>
        </w:trPr>
        <w:tc>
          <w:tcPr>
            <w:tcW w:w="3300" w:type="dxa"/>
            <w:vAlign w:val="bottom"/>
            <w:gridSpan w:val="3"/>
          </w:tcPr>
          <w:p>
            <w:pPr>
              <w:jc w:val="right"/>
              <w:ind w:right="612"/>
              <w:spacing w:after="0"/>
              <w:rPr>
                <w:sz w:val="20"/>
                <w:szCs w:val="20"/>
                <w:color w:val="auto"/>
              </w:rPr>
            </w:pPr>
            <w:r>
              <w:rPr>
                <w:rFonts w:ascii="Times New Roman" w:cs="Times New Roman" w:eastAsia="Times New Roman" w:hAnsi="Times New Roman"/>
                <w:sz w:val="14"/>
                <w:szCs w:val="14"/>
                <w:color w:val="auto"/>
              </w:rPr>
              <w:t>____________________________________</w:t>
            </w: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120" w:lineRule="exact"/>
        <w:rPr>
          <w:sz w:val="20"/>
          <w:szCs w:val="20"/>
          <w:color w:val="auto"/>
        </w:rPr>
      </w:pPr>
    </w:p>
    <w:p>
      <w:pPr>
        <w:ind w:left="340" w:hanging="170"/>
        <w:spacing w:after="0"/>
        <w:tabs>
          <w:tab w:leader="none" w:pos="34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Indicates whether the trading arrangement is intended to satisfy the affirmative defense conditions of Rule 10b5-1(c).</w:t>
      </w:r>
    </w:p>
    <w:p>
      <w:pPr>
        <w:ind w:left="180"/>
        <w:spacing w:after="0" w:line="209" w:lineRule="auto"/>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This trading arrangement covers the exercise and sale of stock options, with a portion of such sales limited to an amount reasonably estimated such that the net proceeds from the sale are sufficient to cover the exercise cost and taxes associated with the exercise of the stock options.</w:t>
      </w:r>
    </w:p>
    <w:p>
      <w:pPr>
        <w:spacing w:after="0" w:line="16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or furnished as part of this Quarterly Report on Form 10-Q:</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04"/>
        </w:trPr>
        <w:tc>
          <w:tcPr>
            <w:tcW w:w="17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380" w:type="dxa"/>
            <w:vAlign w:val="bottom"/>
          </w:tcPr>
          <w:p>
            <w:pPr>
              <w:spacing w:after="0"/>
              <w:rPr>
                <w:sz w:val="17"/>
                <w:szCs w:val="17"/>
                <w:color w:val="auto"/>
              </w:rPr>
            </w:pPr>
          </w:p>
        </w:tc>
        <w:tc>
          <w:tcPr>
            <w:tcW w:w="8160" w:type="dxa"/>
            <w:vAlign w:val="bottom"/>
            <w:gridSpan w:val="5"/>
          </w:tcPr>
          <w:p>
            <w:pPr>
              <w:ind w:left="30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83"/>
        </w:trPr>
        <w:tc>
          <w:tcPr>
            <w:tcW w:w="17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31.1</w:t>
            </w:r>
          </w:p>
        </w:tc>
        <w:tc>
          <w:tcPr>
            <w:tcW w:w="4900" w:type="dxa"/>
            <w:vAlign w:val="bottom"/>
            <w:tcBorders>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13a-14(a).</w:t>
            </w:r>
          </w:p>
        </w:tc>
        <w:tc>
          <w:tcPr>
            <w:tcW w:w="4640" w:type="dxa"/>
            <w:vAlign w:val="bottom"/>
            <w:gridSpan w:val="3"/>
          </w:tcPr>
          <w:p>
            <w:pPr>
              <w:spacing w:after="0"/>
              <w:rPr>
                <w:sz w:val="15"/>
                <w:szCs w:val="15"/>
                <w:color w:val="auto"/>
              </w:rPr>
            </w:pPr>
          </w:p>
        </w:tc>
      </w:tr>
      <w:tr>
        <w:trPr>
          <w:trHeight w:val="466"/>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95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w:t>
            </w:r>
          </w:p>
        </w:tc>
      </w:tr>
      <w:tr>
        <w:trPr>
          <w:trHeight w:val="20"/>
        </w:trPr>
        <w:tc>
          <w:tcPr>
            <w:tcW w:w="170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66"/>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95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w:t>
            </w:r>
          </w:p>
        </w:tc>
      </w:tr>
      <w:tr>
        <w:trPr>
          <w:trHeight w:val="169"/>
        </w:trPr>
        <w:tc>
          <w:tcPr>
            <w:tcW w:w="1700" w:type="dxa"/>
            <w:vAlign w:val="bottom"/>
          </w:tcPr>
          <w:p>
            <w:pPr>
              <w:spacing w:after="0"/>
              <w:rPr>
                <w:sz w:val="14"/>
                <w:szCs w:val="14"/>
                <w:color w:val="auto"/>
              </w:rPr>
            </w:pPr>
          </w:p>
        </w:tc>
        <w:tc>
          <w:tcPr>
            <w:tcW w:w="9280" w:type="dxa"/>
            <w:vAlign w:val="bottom"/>
            <w:tcBorders>
              <w:top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Oxley Act of 2002.</w:t>
            </w:r>
          </w:p>
        </w:tc>
        <w:tc>
          <w:tcPr>
            <w:tcW w:w="260" w:type="dxa"/>
            <w:vAlign w:val="bottom"/>
          </w:tcPr>
          <w:p>
            <w:pPr>
              <w:spacing w:after="0"/>
              <w:rPr>
                <w:sz w:val="14"/>
                <w:szCs w:val="14"/>
                <w:color w:val="auto"/>
              </w:rPr>
            </w:pPr>
          </w:p>
        </w:tc>
      </w:tr>
      <w:tr>
        <w:trPr>
          <w:trHeight w:val="20"/>
        </w:trPr>
        <w:tc>
          <w:tcPr>
            <w:tcW w:w="170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8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466"/>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95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w:t>
            </w:r>
          </w:p>
        </w:tc>
      </w:tr>
      <w:tr>
        <w:trPr>
          <w:trHeight w:val="169"/>
        </w:trPr>
        <w:tc>
          <w:tcPr>
            <w:tcW w:w="1700" w:type="dxa"/>
            <w:vAlign w:val="bottom"/>
          </w:tcPr>
          <w:p>
            <w:pPr>
              <w:spacing w:after="0"/>
              <w:rPr>
                <w:sz w:val="14"/>
                <w:szCs w:val="14"/>
                <w:color w:val="auto"/>
              </w:rPr>
            </w:pPr>
          </w:p>
        </w:tc>
        <w:tc>
          <w:tcPr>
            <w:tcW w:w="9240" w:type="dxa"/>
            <w:vAlign w:val="bottom"/>
            <w:tcBorders>
              <w:top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Oxley Act of 2002.</w:t>
            </w:r>
          </w:p>
        </w:tc>
        <w:tc>
          <w:tcPr>
            <w:tcW w:w="300" w:type="dxa"/>
            <w:vAlign w:val="bottom"/>
            <w:gridSpan w:val="2"/>
          </w:tcPr>
          <w:p>
            <w:pPr>
              <w:spacing w:after="0"/>
              <w:rPr>
                <w:sz w:val="14"/>
                <w:szCs w:val="14"/>
                <w:color w:val="auto"/>
              </w:rPr>
            </w:pPr>
          </w:p>
        </w:tc>
      </w:tr>
      <w:tr>
        <w:trPr>
          <w:trHeight w:val="20"/>
        </w:trPr>
        <w:tc>
          <w:tcPr>
            <w:tcW w:w="170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160" w:type="dxa"/>
            <w:vAlign w:val="bottom"/>
            <w:gridSpan w:val="5"/>
          </w:tcPr>
          <w:p>
            <w:pPr>
              <w:spacing w:after="0" w:line="20" w:lineRule="exact"/>
              <w:rPr>
                <w:sz w:val="1"/>
                <w:szCs w:val="1"/>
                <w:color w:val="auto"/>
              </w:rPr>
            </w:pPr>
          </w:p>
        </w:tc>
      </w:tr>
      <w:tr>
        <w:trPr>
          <w:trHeight w:val="461"/>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9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financial information from the Company’s Quarterly Report on Form 10-Q for the quarter ended September 30,</w:t>
            </w:r>
          </w:p>
        </w:tc>
      </w:tr>
      <w:tr>
        <w:trPr>
          <w:trHeight w:val="180"/>
        </w:trPr>
        <w:tc>
          <w:tcPr>
            <w:tcW w:w="1700" w:type="dxa"/>
            <w:vAlign w:val="bottom"/>
          </w:tcPr>
          <w:p>
            <w:pPr>
              <w:spacing w:after="0"/>
              <w:rPr>
                <w:sz w:val="15"/>
                <w:szCs w:val="15"/>
                <w:color w:val="auto"/>
              </w:rPr>
            </w:pPr>
          </w:p>
        </w:tc>
        <w:tc>
          <w:tcPr>
            <w:tcW w:w="954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2024, formatted in Inline XBRL: (i) Cover Page, (ii) Condensed Consolidated Statements of Earnings (Loss), (iii) Condensed</w:t>
            </w:r>
          </w:p>
        </w:tc>
      </w:tr>
      <w:tr>
        <w:trPr>
          <w:trHeight w:val="176"/>
        </w:trPr>
        <w:tc>
          <w:tcPr>
            <w:tcW w:w="1700" w:type="dxa"/>
            <w:vAlign w:val="bottom"/>
          </w:tcPr>
          <w:p>
            <w:pPr>
              <w:spacing w:after="0"/>
              <w:rPr>
                <w:sz w:val="15"/>
                <w:szCs w:val="15"/>
                <w:color w:val="auto"/>
              </w:rPr>
            </w:pPr>
          </w:p>
        </w:tc>
        <w:tc>
          <w:tcPr>
            <w:tcW w:w="95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Consolidated Statements of Comprehensive Earnings (Loss), (iv) Condensed Consolidated Balance Sheets, (v) Condensed</w:t>
            </w:r>
          </w:p>
        </w:tc>
      </w:tr>
      <w:tr>
        <w:trPr>
          <w:trHeight w:val="184"/>
        </w:trPr>
        <w:tc>
          <w:tcPr>
            <w:tcW w:w="1700" w:type="dxa"/>
            <w:vAlign w:val="bottom"/>
          </w:tcPr>
          <w:p>
            <w:pPr>
              <w:spacing w:after="0"/>
              <w:rPr>
                <w:sz w:val="16"/>
                <w:szCs w:val="16"/>
                <w:color w:val="auto"/>
              </w:rPr>
            </w:pPr>
          </w:p>
        </w:tc>
        <w:tc>
          <w:tcPr>
            <w:tcW w:w="954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Consolidated Statements of Changes in Stockholders' Equity, (vi) Condensed Consolidated Statements of Cash Flows, and (vii) the</w:t>
            </w:r>
          </w:p>
        </w:tc>
      </w:tr>
      <w:tr>
        <w:trPr>
          <w:trHeight w:val="234"/>
        </w:trPr>
        <w:tc>
          <w:tcPr>
            <w:tcW w:w="1700" w:type="dxa"/>
            <w:vAlign w:val="bottom"/>
          </w:tcPr>
          <w:p>
            <w:pPr>
              <w:spacing w:after="0"/>
              <w:rPr>
                <w:sz w:val="20"/>
                <w:szCs w:val="20"/>
                <w:color w:val="auto"/>
              </w:rPr>
            </w:pPr>
          </w:p>
        </w:tc>
        <w:tc>
          <w:tcPr>
            <w:tcW w:w="9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tagged in summary and detail.</w:t>
            </w:r>
          </w:p>
        </w:tc>
      </w:tr>
      <w:tr>
        <w:trPr>
          <w:trHeight w:val="292"/>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cover page of the Company’s Quarterly Report on Form 10-Q for the quarter ended September 30, 2024, formatted in Inline</w:t>
            </w:r>
          </w:p>
        </w:tc>
      </w:tr>
      <w:tr>
        <w:trPr>
          <w:trHeight w:val="234"/>
        </w:trPr>
        <w:tc>
          <w:tcPr>
            <w:tcW w:w="1700" w:type="dxa"/>
            <w:vAlign w:val="bottom"/>
          </w:tcPr>
          <w:p>
            <w:pPr>
              <w:spacing w:after="0"/>
              <w:rPr>
                <w:sz w:val="20"/>
                <w:szCs w:val="20"/>
                <w:color w:val="auto"/>
              </w:rPr>
            </w:pPr>
          </w:p>
        </w:tc>
        <w:tc>
          <w:tcPr>
            <w:tcW w:w="9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(included with the Exhibit 101 attachments).</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19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SUPERNUS PHARMACEUTICALS, INC.</w:t>
      </w:r>
    </w:p>
    <w:p>
      <w:pPr>
        <w:spacing w:after="0" w:line="279" w:lineRule="exact"/>
        <w:rPr>
          <w:sz w:val="20"/>
          <w:szCs w:val="20"/>
          <w:color w:val="auto"/>
        </w:rPr>
      </w:pPr>
    </w:p>
    <w:p>
      <w:pPr>
        <w:ind w:left="20"/>
        <w:spacing w:after="0"/>
        <w:tabs>
          <w:tab w:leader="none" w:pos="5600" w:val="left"/>
          <w:tab w:leader="none" w:pos="6120" w:val="left"/>
        </w:tabs>
        <w:rPr>
          <w:sz w:val="20"/>
          <w:szCs w:val="20"/>
          <w:color w:val="auto"/>
        </w:rPr>
      </w:pPr>
      <w:r>
        <w:rPr>
          <w:rFonts w:ascii="Times New Roman" w:cs="Times New Roman" w:eastAsia="Times New Roman" w:hAnsi="Times New Roman"/>
          <w:sz w:val="18"/>
          <w:szCs w:val="18"/>
          <w:color w:val="auto"/>
        </w:rPr>
        <w:t>DATED: November 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17145</wp:posOffset>
            </wp:positionV>
            <wp:extent cx="3111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5"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Jack A. Khattar</w:t>
      </w:r>
    </w:p>
    <w:p>
      <w:pPr>
        <w:ind w:left="61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3" w:lineRule="exact"/>
        <w:rPr>
          <w:sz w:val="20"/>
          <w:szCs w:val="20"/>
          <w:color w:val="auto"/>
        </w:rPr>
      </w:pPr>
    </w:p>
    <w:p>
      <w:pPr>
        <w:ind w:left="20"/>
        <w:spacing w:after="0"/>
        <w:tabs>
          <w:tab w:leader="none" w:pos="5600" w:val="left"/>
          <w:tab w:leader="none" w:pos="6120" w:val="left"/>
        </w:tabs>
        <w:rPr>
          <w:sz w:val="20"/>
          <w:szCs w:val="20"/>
          <w:color w:val="auto"/>
        </w:rPr>
      </w:pPr>
      <w:r>
        <w:rPr>
          <w:rFonts w:ascii="Times New Roman" w:cs="Times New Roman" w:eastAsia="Times New Roman" w:hAnsi="Times New Roman"/>
          <w:sz w:val="18"/>
          <w:szCs w:val="18"/>
          <w:color w:val="auto"/>
        </w:rPr>
        <w:t>DATED: November 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C. Dec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17145</wp:posOffset>
            </wp:positionV>
            <wp:extent cx="31115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5"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Timothy C. Dec</w:t>
      </w:r>
    </w:p>
    <w:p>
      <w:pPr>
        <w:ind w:left="6140"/>
        <w:spacing w:after="0"/>
        <w:rPr>
          <w:sz w:val="20"/>
          <w:szCs w:val="20"/>
          <w:color w:val="auto"/>
        </w:rPr>
      </w:pPr>
      <w:r>
        <w:rPr>
          <w:rFonts w:ascii="Times New Roman" w:cs="Times New Roman" w:eastAsia="Times New Roman" w:hAnsi="Times New Roman"/>
          <w:sz w:val="18"/>
          <w:szCs w:val="18"/>
          <w:color w:val="auto"/>
        </w:rPr>
        <w:t>Senior Vice-President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00"/>
          </w:cols>
          <w:pgMar w:left="320" w:top="121" w:right="37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Jack A. Khattar, certify that:</w:t>
      </w:r>
    </w:p>
    <w:p>
      <w:pPr>
        <w:spacing w:after="0" w:line="176"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 have reviewed this Quarterly Report on Form 10-Q of Supernus Pharmaceuticals, Inc.;</w:t>
      </w:r>
    </w:p>
    <w:p>
      <w:pPr>
        <w:spacing w:after="0" w:line="198" w:lineRule="exact"/>
        <w:rPr>
          <w:rFonts w:ascii="Times New Roman" w:cs="Times New Roman" w:eastAsia="Times New Roman" w:hAnsi="Times New Roman"/>
          <w:sz w:val="16"/>
          <w:szCs w:val="16"/>
          <w:color w:val="auto"/>
        </w:rPr>
      </w:pPr>
    </w:p>
    <w:p>
      <w:pPr>
        <w:jc w:val="both"/>
        <w:ind w:left="660" w:right="120" w:hanging="652"/>
        <w:spacing w:after="0" w:line="266" w:lineRule="auto"/>
        <w:tabs>
          <w:tab w:leader="none" w:pos="6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6"/>
          <w:szCs w:val="16"/>
          <w:color w:val="auto"/>
        </w:rPr>
      </w:pPr>
    </w:p>
    <w:p>
      <w:pPr>
        <w:ind w:left="660" w:right="80" w:hanging="652"/>
        <w:spacing w:after="0" w:line="282" w:lineRule="auto"/>
        <w:tabs>
          <w:tab w:leader="none" w:pos="6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6"/>
          <w:szCs w:val="16"/>
          <w:color w:val="auto"/>
        </w:rPr>
      </w:pPr>
    </w:p>
    <w:p>
      <w:pPr>
        <w:ind w:left="660" w:right="120" w:hanging="652"/>
        <w:spacing w:after="0" w:line="266" w:lineRule="auto"/>
        <w:tabs>
          <w:tab w:leader="none" w:pos="6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6"/>
          <w:szCs w:val="16"/>
          <w:color w:val="auto"/>
        </w:rPr>
      </w:pPr>
    </w:p>
    <w:p>
      <w:pPr>
        <w:ind w:left="1300" w:right="120" w:hanging="644"/>
        <w:spacing w:after="0" w:line="266" w:lineRule="auto"/>
        <w:tabs>
          <w:tab w:leader="none" w:pos="1291"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6"/>
          <w:szCs w:val="16"/>
          <w:color w:val="auto"/>
        </w:rPr>
      </w:pPr>
    </w:p>
    <w:p>
      <w:pPr>
        <w:ind w:left="1300" w:right="40" w:hanging="644"/>
        <w:spacing w:after="0" w:line="266" w:lineRule="auto"/>
        <w:tabs>
          <w:tab w:leader="none" w:pos="130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6"/>
          <w:szCs w:val="16"/>
          <w:color w:val="auto"/>
        </w:rPr>
      </w:pPr>
    </w:p>
    <w:p>
      <w:pPr>
        <w:ind w:left="1300" w:right="220" w:hanging="644"/>
        <w:spacing w:after="0" w:line="312" w:lineRule="auto"/>
        <w:tabs>
          <w:tab w:leader="none" w:pos="1291" w:val="left"/>
        </w:tabs>
        <w:numPr>
          <w:ilvl w:val="1"/>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5"/>
          <w:szCs w:val="15"/>
          <w:color w:val="auto"/>
        </w:rPr>
      </w:pPr>
    </w:p>
    <w:p>
      <w:pPr>
        <w:ind w:left="1300" w:right="240" w:hanging="644"/>
        <w:spacing w:after="0" w:line="266" w:lineRule="auto"/>
        <w:tabs>
          <w:tab w:leader="none" w:pos="130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6"/>
          <w:szCs w:val="16"/>
          <w:color w:val="auto"/>
        </w:rPr>
      </w:pPr>
    </w:p>
    <w:p>
      <w:pPr>
        <w:ind w:left="660" w:hanging="652"/>
        <w:spacing w:after="0" w:line="282" w:lineRule="auto"/>
        <w:tabs>
          <w:tab w:leader="none" w:pos="6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6"/>
          <w:szCs w:val="16"/>
          <w:color w:val="auto"/>
        </w:rPr>
      </w:pPr>
    </w:p>
    <w:p>
      <w:pPr>
        <w:ind w:left="1300" w:right="500" w:hanging="644"/>
        <w:spacing w:after="0" w:line="282" w:lineRule="auto"/>
        <w:tabs>
          <w:tab w:leader="none" w:pos="129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9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360"/>
        <w:spacing w:after="0"/>
        <w:tabs>
          <w:tab w:leader="none" w:pos="5820" w:val="left"/>
          <w:tab w:leader="none" w:pos="6260" w:val="left"/>
        </w:tabs>
        <w:rPr>
          <w:sz w:val="20"/>
          <w:szCs w:val="20"/>
          <w:color w:val="auto"/>
        </w:rPr>
      </w:pPr>
      <w:r>
        <w:rPr>
          <w:rFonts w:ascii="Times New Roman" w:cs="Times New Roman" w:eastAsia="Times New Roman" w:hAnsi="Times New Roman"/>
          <w:sz w:val="18"/>
          <w:szCs w:val="18"/>
          <w:color w:val="auto"/>
        </w:rPr>
        <w:t>Date: November 4,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7"/>
          <w:szCs w:val="17"/>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29400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5"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Jack A. Khattar</w:t>
      </w:r>
    </w:p>
    <w:p>
      <w:pPr>
        <w:ind w:left="62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069"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Timothy C. Dec, certify that:</w:t>
      </w:r>
    </w:p>
    <w:p>
      <w:pPr>
        <w:spacing w:after="0" w:line="176"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 have reviewed this Quarterly Report on Form 10-Q of Supernus Pharmaceuticals, Inc.;</w:t>
      </w:r>
    </w:p>
    <w:p>
      <w:pPr>
        <w:spacing w:after="0" w:line="198" w:lineRule="exact"/>
        <w:rPr>
          <w:rFonts w:ascii="Times New Roman" w:cs="Times New Roman" w:eastAsia="Times New Roman" w:hAnsi="Times New Roman"/>
          <w:sz w:val="16"/>
          <w:szCs w:val="16"/>
          <w:color w:val="auto"/>
        </w:rPr>
      </w:pPr>
    </w:p>
    <w:p>
      <w:pPr>
        <w:jc w:val="both"/>
        <w:ind w:left="660" w:right="120" w:hanging="652"/>
        <w:spacing w:after="0" w:line="266" w:lineRule="auto"/>
        <w:tabs>
          <w:tab w:leader="none" w:pos="6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6"/>
          <w:szCs w:val="16"/>
          <w:color w:val="auto"/>
        </w:rPr>
      </w:pPr>
    </w:p>
    <w:p>
      <w:pPr>
        <w:ind w:left="660" w:right="80" w:hanging="652"/>
        <w:spacing w:after="0" w:line="282" w:lineRule="auto"/>
        <w:tabs>
          <w:tab w:leader="none" w:pos="6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6"/>
          <w:szCs w:val="16"/>
          <w:color w:val="auto"/>
        </w:rPr>
      </w:pPr>
    </w:p>
    <w:p>
      <w:pPr>
        <w:ind w:left="660" w:right="120" w:hanging="652"/>
        <w:spacing w:after="0" w:line="266" w:lineRule="auto"/>
        <w:tabs>
          <w:tab w:leader="none" w:pos="6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6"/>
          <w:szCs w:val="16"/>
          <w:color w:val="auto"/>
        </w:rPr>
      </w:pPr>
    </w:p>
    <w:p>
      <w:pPr>
        <w:ind w:left="1300" w:right="120" w:hanging="644"/>
        <w:spacing w:after="0" w:line="266" w:lineRule="auto"/>
        <w:tabs>
          <w:tab w:leader="none" w:pos="1291"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6"/>
          <w:szCs w:val="16"/>
          <w:color w:val="auto"/>
        </w:rPr>
      </w:pPr>
    </w:p>
    <w:p>
      <w:pPr>
        <w:ind w:left="1300" w:right="40" w:hanging="644"/>
        <w:spacing w:after="0" w:line="266" w:lineRule="auto"/>
        <w:tabs>
          <w:tab w:leader="none" w:pos="129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29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6"/>
          <w:szCs w:val="16"/>
          <w:color w:val="auto"/>
        </w:rPr>
      </w:pPr>
    </w:p>
    <w:p>
      <w:pPr>
        <w:ind w:left="1300" w:right="500" w:hanging="644"/>
        <w:spacing w:after="0" w:line="282" w:lineRule="auto"/>
        <w:tabs>
          <w:tab w:leader="none" w:pos="129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9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60"/>
        <w:spacing w:after="0"/>
        <w:tabs>
          <w:tab w:leader="none" w:pos="5580" w:val="left"/>
          <w:tab w:leader="none" w:pos="6000" w:val="left"/>
        </w:tabs>
        <w:rPr>
          <w:sz w:val="20"/>
          <w:szCs w:val="20"/>
          <w:color w:val="auto"/>
        </w:rPr>
      </w:pPr>
      <w:r>
        <w:rPr>
          <w:rFonts w:ascii="Times New Roman" w:cs="Times New Roman" w:eastAsia="Times New Roman" w:hAnsi="Times New Roman"/>
          <w:sz w:val="18"/>
          <w:szCs w:val="18"/>
          <w:color w:val="auto"/>
        </w:rPr>
        <w:t>Date: November 4,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7"/>
          <w:szCs w:val="17"/>
          <w:color w:val="auto"/>
        </w:rPr>
        <w:t>/s/ Timothy C. Dec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1032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6"/>
          <w:szCs w:val="16"/>
          <w:color w:val="auto"/>
        </w:rPr>
        <w:t>Timothy C. Dec</w:t>
      </w:r>
    </w:p>
    <w:p>
      <w:pPr>
        <w:spacing w:after="0" w:line="3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6"/>
          <w:szCs w:val="16"/>
          <w:color w:val="auto"/>
        </w:rPr>
        <w:t>Senior Vice President and Chief Financial Officer</w:t>
      </w:r>
    </w:p>
    <w:p>
      <w:pPr>
        <w:sectPr>
          <w:pgSz w:w="11900" w:h="16838" w:orient="portrait"/>
          <w:cols w:equalWidth="0" w:num="1">
            <w:col w:w="11240"/>
          </w:cols>
          <w:pgMar w:left="320" w:top="1069"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SUPERNUS PHARMACEUTICALS, INC.</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 1350,</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92"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6"/>
          <w:szCs w:val="16"/>
          <w:color w:val="auto"/>
        </w:rPr>
        <w:t xml:space="preserve">In connection with the Quarterly Report of Supernus Pharmaceuticals, Inc. (the “Company”) on Form 10-Q for the period ended </w:t>
      </w:r>
      <w:r>
        <w:rPr>
          <w:rFonts w:ascii="Times New Roman" w:cs="Times New Roman" w:eastAsia="Times New Roman" w:hAnsi="Times New Roman"/>
          <w:sz w:val="17"/>
          <w:szCs w:val="17"/>
          <w:color w:val="auto"/>
        </w:rPr>
        <w:t>September 30, 2024</w:t>
      </w:r>
      <w:r>
        <w:rPr>
          <w:rFonts w:ascii="Times New Roman" w:cs="Times New Roman" w:eastAsia="Times New Roman" w:hAnsi="Times New Roman"/>
          <w:sz w:val="16"/>
          <w:szCs w:val="16"/>
          <w:color w:val="auto"/>
        </w:rPr>
        <w:t xml:space="preserve"> as filed with the Securities and Exchange Commission on the date hereof (the “Report”), I, Jack A. Khattar, President and Chief Executive Officer of the Company, certify, pursuant to 18 U.S.C. sec. 1350, as adopted pursuant to Section 906 of the Sarbanes-Oxley Act of 2002, that:</w:t>
      </w:r>
    </w:p>
    <w:p>
      <w:pPr>
        <w:spacing w:after="0" w:line="142"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80"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1680"/>
        <w:spacing w:after="0"/>
        <w:tabs>
          <w:tab w:leader="none" w:pos="5260" w:val="left"/>
          <w:tab w:leader="none" w:pos="5700" w:val="left"/>
        </w:tabs>
        <w:rPr>
          <w:sz w:val="20"/>
          <w:szCs w:val="20"/>
          <w:color w:val="auto"/>
        </w:rPr>
      </w:pPr>
      <w:r>
        <w:rPr>
          <w:rFonts w:ascii="Times New Roman" w:cs="Times New Roman" w:eastAsia="Times New Roman" w:hAnsi="Times New Roman"/>
          <w:sz w:val="16"/>
          <w:szCs w:val="16"/>
          <w:color w:val="auto"/>
        </w:rPr>
        <w:t>Date: November 4, 2024</w:t>
      </w:r>
      <w:r>
        <w:rPr>
          <w:sz w:val="20"/>
          <w:szCs w:val="20"/>
          <w:color w:val="auto"/>
        </w:rPr>
        <w:tab/>
      </w:r>
      <w:r>
        <w:rPr>
          <w:rFonts w:ascii="Times New Roman" w:cs="Times New Roman" w:eastAsia="Times New Roman" w:hAnsi="Times New Roman"/>
          <w:sz w:val="16"/>
          <w:szCs w:val="16"/>
          <w:color w:val="auto"/>
        </w:rPr>
        <w:t>By:</w:t>
        <w:tab/>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20320</wp:posOffset>
            </wp:positionV>
            <wp:extent cx="32918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6"/>
          <w:szCs w:val="16"/>
          <w:color w:val="auto"/>
        </w:rPr>
        <w:t>Jack A. Khattar</w:t>
      </w:r>
    </w:p>
    <w:p>
      <w:pPr>
        <w:ind w:left="572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ectPr>
          <w:pgSz w:w="11900" w:h="16838" w:orient="portrait"/>
          <w:cols w:equalWidth="0" w:num="1">
            <w:col w:w="11240"/>
          </w:cols>
          <w:pgMar w:left="320" w:top="1069"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SUPERNUS PHARMACEUTICALS, INC.</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 1350,</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92" w:lineRule="exact"/>
        <w:rPr>
          <w:sz w:val="20"/>
          <w:szCs w:val="20"/>
          <w:color w:val="auto"/>
        </w:rPr>
      </w:pPr>
    </w:p>
    <w:p>
      <w:pPr>
        <w:jc w:val="both"/>
        <w:ind w:right="340"/>
        <w:spacing w:after="0" w:line="275" w:lineRule="auto"/>
        <w:rPr>
          <w:sz w:val="20"/>
          <w:szCs w:val="20"/>
          <w:color w:val="auto"/>
        </w:rPr>
      </w:pPr>
      <w:r>
        <w:rPr>
          <w:rFonts w:ascii="Times New Roman" w:cs="Times New Roman" w:eastAsia="Times New Roman" w:hAnsi="Times New Roman"/>
          <w:sz w:val="16"/>
          <w:szCs w:val="16"/>
          <w:color w:val="auto"/>
        </w:rPr>
        <w:t xml:space="preserve">In connection with the Quarterly Report of Supernus Pharmaceuticals, Inc. (the “Company”) on Form 10-Q for the period ended </w:t>
      </w:r>
      <w:r>
        <w:rPr>
          <w:rFonts w:ascii="Times New Roman" w:cs="Times New Roman" w:eastAsia="Times New Roman" w:hAnsi="Times New Roman"/>
          <w:sz w:val="17"/>
          <w:szCs w:val="17"/>
          <w:color w:val="auto"/>
        </w:rPr>
        <w:t>September 30, 2024</w:t>
      </w:r>
      <w:r>
        <w:rPr>
          <w:rFonts w:ascii="Times New Roman" w:cs="Times New Roman" w:eastAsia="Times New Roman" w:hAnsi="Times New Roman"/>
          <w:sz w:val="16"/>
          <w:szCs w:val="16"/>
          <w:color w:val="auto"/>
        </w:rPr>
        <w:t xml:space="preserve"> as filed with the Securities and Exchange Commission on the date hereof (the “Report”), I, Timothy C. Dec, Senior Vice President and Chief Financial Officer of the Company, certify, pursuant to 18 U.S.C. sec. 1350, as adopted pursuant to Section 906 of the Sarbanes-Oxley Act of 2002, that:</w:t>
      </w:r>
    </w:p>
    <w:p>
      <w:pPr>
        <w:spacing w:after="0" w:line="142"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80"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30" w:lineRule="exact"/>
        <w:rPr>
          <w:sz w:val="20"/>
          <w:szCs w:val="20"/>
          <w:color w:val="auto"/>
        </w:rPr>
      </w:pPr>
    </w:p>
    <w:p>
      <w:pPr>
        <w:ind w:left="1580"/>
        <w:spacing w:after="0"/>
        <w:tabs>
          <w:tab w:leader="none" w:pos="5260" w:val="left"/>
          <w:tab w:leader="none" w:pos="5700" w:val="left"/>
        </w:tabs>
        <w:rPr>
          <w:sz w:val="20"/>
          <w:szCs w:val="20"/>
          <w:color w:val="auto"/>
        </w:rPr>
      </w:pPr>
      <w:r>
        <w:rPr>
          <w:rFonts w:ascii="Times New Roman" w:cs="Times New Roman" w:eastAsia="Times New Roman" w:hAnsi="Times New Roman"/>
          <w:sz w:val="18"/>
          <w:szCs w:val="18"/>
          <w:color w:val="auto"/>
        </w:rPr>
        <w:t>Date: November 4, 2024</w:t>
      </w:r>
      <w:r>
        <w:rPr>
          <w:sz w:val="20"/>
          <w:szCs w:val="20"/>
          <w:color w:val="auto"/>
        </w:rPr>
        <w:tab/>
      </w:r>
      <w:r>
        <w:rPr>
          <w:rFonts w:ascii="Times New Roman" w:cs="Times New Roman" w:eastAsia="Times New Roman" w:hAnsi="Times New Roman"/>
          <w:sz w:val="16"/>
          <w:szCs w:val="16"/>
          <w:color w:val="auto"/>
        </w:rPr>
        <w:t>By:</w:t>
        <w:tab/>
        <w:t>/s/ Timothy C. Dec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17145</wp:posOffset>
            </wp:positionV>
            <wp:extent cx="32918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6"/>
          <w:szCs w:val="16"/>
          <w:color w:val="auto"/>
        </w:rPr>
        <w:t>Timothy C. Dec</w:t>
      </w:r>
    </w:p>
    <w:p>
      <w:pPr>
        <w:ind w:left="5720"/>
        <w:spacing w:after="0"/>
        <w:rPr>
          <w:sz w:val="20"/>
          <w:szCs w:val="20"/>
          <w:color w:val="auto"/>
        </w:rPr>
      </w:pPr>
      <w:r>
        <w:rPr>
          <w:rFonts w:ascii="Times New Roman" w:cs="Times New Roman" w:eastAsia="Times New Roman" w:hAnsi="Times New Roman"/>
          <w:sz w:val="16"/>
          <w:szCs w:val="16"/>
          <w:color w:val="auto"/>
        </w:rPr>
        <w:t>Senior Vice President and Chief Financial Officer</w:t>
      </w:r>
    </w:p>
    <w:sectPr>
      <w:pgSz w:w="11900" w:h="16838" w:orient="portrait"/>
      <w:cols w:equalWidth="0" w:num="1">
        <w:col w:w="11240"/>
      </w:cols>
      <w:pgMar w:left="320" w:top="10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lowerLetter"/>
      <w:start w:val="1"/>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6"/>
    </w:lvl>
    <w:lvl w:ilvl="1">
      <w:lvlJc w:val="left"/>
      <w:lvlText w:val="•"/>
      <w:numFmt w:val="bullet"/>
      <w:start w:val="1"/>
    </w:lvl>
  </w:abstractNum>
  <w:abstractNum w:abstractNumId="9">
    <w:nsid w:val="25E45D32"/>
    <w:multiLevelType w:val="hybridMultilevel"/>
    <w:lvl w:ilvl="0">
      <w:lvlJc w:val="left"/>
      <w:lvlText w:val="%1."/>
      <w:numFmt w:val="decimal"/>
      <w:start w:val="1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lvl w:ilvl="1">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2024-11-04T15:50:48Z</dcterms:created>
  <dcterms:modified xsi:type="dcterms:W3CDTF">2024-11-04T15:50:48Z</dcterms:modified>
</cp:coreProperties>
</file>