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Supernus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3,605,227.00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3,605,227.00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3,605,227.00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3,853,212.00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3,853,212.00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3,853,212.00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3,853,212.00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3,853,212.00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3,853,212.00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3,853,212.00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3,853,212.00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3,853,212.00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Supernus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9715 Key West Avenue, Rockville, Maryland 20850</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 Such response is as of the close of business on June 30, 2026. As of the date hereof, the reporting persons have ceased to beneficially own more than 5 percent of the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Such response is as of the close of business on June 30, 2026.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 Such response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 Such response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 Such response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Such response is as of the close of business on June 30, 2026.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5, 2026, by and among Integrated Core Strategies (US) LLC, Millennium Management LLC, Millennium Group Management LLC and Israel A. Englander.</w:t>
            </w:r>
          </w:p>
        </w:tc>
      </w:tr>
    </w:tbl>
    <w:p>
      <w:pPr>
        <w:pStyle w:val="TextBody"/>
        <w:bidi w:val="0"/>
        <w:jc w:val="left"/>
        <w:rPr/>
      </w:pPr>
      <w:bookmarkStart w:id="28" w:name="tm2622075d1_ex-i.htm"/>
      <w:bookmarkStart w:id="29" w:name="kstm2622075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Supernus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1691</Words>
  <Characters>8735</Characters>
  <CharactersWithSpaces>10442</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