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680720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706120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5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5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8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26, 2026</w:t>
      </w:r>
    </w:p>
    <w:p>
      <w:pPr>
        <w:spacing w:after="0" w:line="21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Supernus Pharmaceuticals, Inc.</w:t>
      </w:r>
    </w:p>
    <w:p>
      <w:pPr>
        <w:spacing w:after="0" w:line="282" w:lineRule="exact"/>
        <w:rPr>
          <w:sz w:val="24"/>
          <w:szCs w:val="24"/>
          <w:color w:val="auto"/>
        </w:rPr>
      </w:pPr>
    </w:p>
    <w:tbl>
      <w:tblPr>
        <w:tblLayout w:type="fixed"/>
        <w:tblInd w:w="34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402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500" w:type="dxa"/>
            <w:vAlign w:val="bottom"/>
          </w:tcPr>
          <w:p>
            <w:pPr>
              <w:spacing w:after="0"/>
              <w:rPr>
                <w:sz w:val="24"/>
                <w:szCs w:val="24"/>
                <w:color w:val="auto"/>
              </w:rPr>
            </w:pPr>
          </w:p>
        </w:tc>
        <w:tc>
          <w:tcPr>
            <w:tcW w:w="2520" w:type="dxa"/>
            <w:vAlign w:val="bottom"/>
          </w:tcPr>
          <w:p>
            <w:pPr>
              <w:jc w:val="center"/>
              <w:ind w:right="1570"/>
              <w:spacing w:after="0"/>
              <w:rPr>
                <w:sz w:val="20"/>
                <w:szCs w:val="20"/>
                <w:color w:val="auto"/>
              </w:rPr>
            </w:pPr>
            <w:r>
              <w:rPr>
                <w:rFonts w:ascii="Times New Roman" w:cs="Times New Roman" w:eastAsia="Times New Roman" w:hAnsi="Times New Roman"/>
                <w:sz w:val="18"/>
                <w:szCs w:val="18"/>
                <w:b w:val="1"/>
                <w:bCs w:val="1"/>
                <w:color w:val="auto"/>
                <w:w w:val="99"/>
              </w:rPr>
              <w:t>001-35518</w:t>
            </w:r>
          </w:p>
        </w:tc>
        <w:tc>
          <w:tcPr>
            <w:tcW w:w="286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20-2590184</w:t>
            </w:r>
          </w:p>
        </w:tc>
        <w:tc>
          <w:tcPr>
            <w:tcW w:w="0" w:type="dxa"/>
            <w:vAlign w:val="bottom"/>
          </w:tcPr>
          <w:p>
            <w:pPr>
              <w:spacing w:after="0"/>
              <w:rPr>
                <w:sz w:val="1"/>
                <w:szCs w:val="1"/>
                <w:color w:val="auto"/>
              </w:rPr>
            </w:pPr>
          </w:p>
        </w:tc>
      </w:tr>
      <w:tr>
        <w:trPr>
          <w:trHeight w:val="198"/>
        </w:trPr>
        <w:tc>
          <w:tcPr>
            <w:tcW w:w="33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4020" w:type="dxa"/>
            <w:vAlign w:val="bottom"/>
            <w:gridSpan w:val="2"/>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rPr>
              <w:t>(Commission File Number)</w:t>
            </w:r>
          </w:p>
        </w:tc>
        <w:tc>
          <w:tcPr>
            <w:tcW w:w="2860" w:type="dxa"/>
            <w:vAlign w:val="bottom"/>
          </w:tcPr>
          <w:p>
            <w:pPr>
              <w:jc w:val="center"/>
              <w:ind w:left="150"/>
              <w:spacing w:after="0" w:line="198" w:lineRule="exact"/>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234"/>
        </w:trPr>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organization)</w:t>
            </w:r>
          </w:p>
        </w:tc>
        <w:tc>
          <w:tcPr>
            <w:tcW w:w="4020" w:type="dxa"/>
            <w:vAlign w:val="bottom"/>
            <w:gridSpan w:val="2"/>
            <w:vMerge w:val="continue"/>
          </w:tcPr>
          <w:p>
            <w:pPr>
              <w:spacing w:after="0"/>
              <w:rPr>
                <w:sz w:val="20"/>
                <w:szCs w:val="20"/>
                <w:color w:val="auto"/>
              </w:rPr>
            </w:pP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9715 Key West Ave</w:t>
            </w:r>
          </w:p>
        </w:tc>
        <w:tc>
          <w:tcPr>
            <w:tcW w:w="150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Rockville</w:t>
            </w:r>
          </w:p>
        </w:tc>
        <w:tc>
          <w:tcPr>
            <w:tcW w:w="252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MD</w:t>
            </w:r>
          </w:p>
        </w:tc>
        <w:tc>
          <w:tcPr>
            <w:tcW w:w="286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20850</w:t>
            </w:r>
          </w:p>
        </w:tc>
        <w:tc>
          <w:tcPr>
            <w:tcW w:w="0" w:type="dxa"/>
            <w:vAlign w:val="bottom"/>
          </w:tcPr>
          <w:p>
            <w:pPr>
              <w:spacing w:after="0"/>
              <w:rPr>
                <w:sz w:val="1"/>
                <w:szCs w:val="1"/>
                <w:color w:val="auto"/>
              </w:rPr>
            </w:pPr>
          </w:p>
        </w:tc>
      </w:tr>
      <w:tr>
        <w:trPr>
          <w:trHeight w:val="243"/>
        </w:trPr>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50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28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(Zip Code)</w:t>
            </w:r>
          </w:p>
        </w:tc>
        <w:tc>
          <w:tcPr>
            <w:tcW w:w="0" w:type="dxa"/>
            <w:vAlign w:val="bottom"/>
          </w:tcPr>
          <w:p>
            <w:pPr>
              <w:spacing w:after="0"/>
              <w:rPr>
                <w:sz w:val="1"/>
                <w:szCs w:val="1"/>
                <w:color w:val="auto"/>
              </w:rPr>
            </w:pPr>
          </w:p>
        </w:tc>
      </w:tr>
    </w:tbl>
    <w:p>
      <w:pPr>
        <w:spacing w:after="0" w:line="34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(301) 838-2500</w:t>
      </w:r>
    </w:p>
    <w:p>
      <w:pPr>
        <w:spacing w:after="0" w:line="2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34" w:lineRule="exact"/>
        <w:rPr>
          <w:sz w:val="24"/>
          <w:szCs w:val="24"/>
          <w:color w:val="auto"/>
        </w:rPr>
      </w:pPr>
    </w:p>
    <w:tbl>
      <w:tblPr>
        <w:tblLayout w:type="fixed"/>
        <w:tblInd w:w="100" w:type="dxa"/>
        <w:tblCellMar>
          <w:top w:w="0" w:type="dxa"/>
          <w:left w:w="0" w:type="dxa"/>
          <w:bottom w:w="0" w:type="dxa"/>
          <w:right w:w="0" w:type="dxa"/>
        </w:tblCellMar>
      </w:tblPr>
      <w:tr>
        <w:trPr>
          <w:trHeight w:val="234"/>
        </w:trPr>
        <w:tc>
          <w:tcPr>
            <w:tcW w:w="6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tc>
        <w:tc>
          <w:tcPr>
            <w:tcW w:w="3200" w:type="dxa"/>
            <w:vAlign w:val="bottom"/>
          </w:tcPr>
          <w:p>
            <w:pPr>
              <w:spacing w:after="0"/>
              <w:rPr>
                <w:sz w:val="20"/>
                <w:szCs w:val="20"/>
                <w:color w:val="auto"/>
              </w:rPr>
            </w:pPr>
          </w:p>
        </w:tc>
      </w:tr>
      <w:tr>
        <w:trPr>
          <w:trHeight w:val="243"/>
        </w:trPr>
        <w:tc>
          <w:tcPr>
            <w:tcW w:w="1340" w:type="dxa"/>
            <w:vAlign w:val="bottom"/>
          </w:tcPr>
          <w:p>
            <w:pPr>
              <w:spacing w:after="0"/>
              <w:rPr>
                <w:sz w:val="21"/>
                <w:szCs w:val="21"/>
                <w:color w:val="auto"/>
              </w:rPr>
            </w:pPr>
          </w:p>
        </w:tc>
        <w:tc>
          <w:tcPr>
            <w:tcW w:w="3000" w:type="dxa"/>
            <w:vAlign w:val="bottom"/>
            <w:gridSpan w:val="2"/>
          </w:tcPr>
          <w:p>
            <w:pPr>
              <w:jc w:val="center"/>
              <w:ind w:right="172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02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color w:val="auto"/>
              </w:rPr>
              <w:t>Trading Symbol</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0"/>
        </w:trPr>
        <w:tc>
          <w:tcPr>
            <w:tcW w:w="13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r>
      <w:tr>
        <w:trPr>
          <w:trHeight w:val="277"/>
        </w:trPr>
        <w:tc>
          <w:tcPr>
            <w:tcW w:w="434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02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color w:val="auto"/>
                <w:w w:val="99"/>
              </w:rPr>
              <w:t>SUPN</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333"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202"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44" w:lineRule="exact"/>
        <w:rPr>
          <w:rFonts w:ascii="MS PGothic" w:cs="MS PGothic" w:eastAsia="MS PGothic" w:hAnsi="MS PGothic"/>
          <w:sz w:val="22"/>
          <w:szCs w:val="22"/>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44" w:lineRule="exact"/>
        <w:rPr>
          <w:rFonts w:ascii="MS PGothic" w:cs="MS PGothic" w:eastAsia="MS PGothic" w:hAnsi="MS PGothic"/>
          <w:sz w:val="22"/>
          <w:szCs w:val="22"/>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44"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4" w:lineRule="exact"/>
        <w:rPr>
          <w:sz w:val="24"/>
          <w:szCs w:val="24"/>
          <w:color w:val="auto"/>
        </w:rPr>
      </w:pPr>
    </w:p>
    <w:p>
      <w:pPr>
        <w:ind w:right="360"/>
        <w:spacing w:after="0" w:line="26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MS PGothic" w:cs="MS PGothic" w:eastAsia="MS PGothic" w:hAnsi="MS PGothic"/>
          <w:sz w:val="21"/>
          <w:szCs w:val="21"/>
          <w:color w:val="auto"/>
        </w:rPr>
        <w:t>☐</w:t>
      </w:r>
    </w:p>
    <w:p>
      <w:pPr>
        <w:spacing w:after="0" w:line="154" w:lineRule="exact"/>
        <w:rPr>
          <w:sz w:val="24"/>
          <w:szCs w:val="24"/>
          <w:color w:val="auto"/>
        </w:rPr>
      </w:pPr>
    </w:p>
    <w:p>
      <w:pPr>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799465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080"/>
          </w:cols>
          <w:pgMar w:left="320" w:top="1186" w:right="4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212529"/>
        </w:rPr>
        <w:t>Item 1.02 Termination of a Material Definitive Agreement.</w:t>
      </w:r>
    </w:p>
    <w:p>
      <w:pPr>
        <w:spacing w:after="0" w:line="24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On October 20, 2026, Supernus Pharmaceuticals, Inc. (the “Company”) terminated the UBS Credit Line Agreement, dated as of February 8, 2023 (the “UBS Credit Line”), between the Company and UBS Bank USA (the “Bank”), which established an uncommitted, demand revolving line of credit. The Company terminated the UBS Credit Line in anticipation of, and in connection with, the completion of the Company’s previously announced business combination with Indivior Pharmaceuticals, Inc. pursuant to the Agreement and Plan of Merger, dated as of August 1, 2026, and in contemplation of the new senior secured credit facility to be entered into by the combined company at the closing of that transaction.</w:t>
      </w:r>
    </w:p>
    <w:p>
      <w:pPr>
        <w:spacing w:after="0" w:line="21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UBS Credit Line provided the Company with an uncommitted, demand revolving line of credit that was secured by a pledge of a securities collateral account maintained with the Bank and related assets. As of the date of termination, there were no advances, letters of credit, or other borrowings or obligations outstanding under the UBS Credit Line, and the Company did not incur any early termination penalties in connection with the termination. In connection with the termination, the Bank’s security interests in the collateral securing the UBS Credit Line were released.</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ind w:left="860"/>
        <w:spacing w:after="0"/>
        <w:tabs>
          <w:tab w:leader="none" w:pos="1520" w:val="left"/>
        </w:tabs>
        <w:rPr>
          <w:sz w:val="20"/>
          <w:szCs w:val="20"/>
          <w:color w:val="auto"/>
        </w:rPr>
      </w:pPr>
      <w:r>
        <w:rPr>
          <w:rFonts w:ascii="Times New Roman" w:cs="Times New Roman" w:eastAsia="Times New Roman" w:hAnsi="Times New Roman"/>
          <w:sz w:val="14"/>
          <w:szCs w:val="14"/>
          <w:b w:val="1"/>
          <w:bCs w:val="1"/>
          <w:color w:val="auto"/>
        </w:rPr>
        <w:t>Exhibit</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41910</wp:posOffset>
            </wp:positionV>
            <wp:extent cx="60521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52185" cy="8255"/>
                    </a:xfrm>
                    <a:prstGeom prst="rect">
                      <a:avLst/>
                    </a:prstGeom>
                    <a:noFill/>
                  </pic:spPr>
                </pic:pic>
              </a:graphicData>
            </a:graphic>
          </wp:anchor>
        </w:drawing>
      </w:r>
    </w:p>
    <w:p>
      <w:pPr>
        <w:spacing w:after="0" w:line="230" w:lineRule="exact"/>
        <w:rPr>
          <w:sz w:val="20"/>
          <w:szCs w:val="20"/>
          <w:color w:val="auto"/>
        </w:rPr>
      </w:pPr>
    </w:p>
    <w:p>
      <w:pPr>
        <w:ind w:left="1540" w:hanging="587"/>
        <w:spacing w:after="0"/>
        <w:tabs>
          <w:tab w:leader="none" w:pos="1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this Current Report on Form 8-K, formatted in Inline XBRL.</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4"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SUPERNUS PHARMACEUTICALS, INC.</w:t>
      </w:r>
    </w:p>
    <w:p>
      <w:pPr>
        <w:spacing w:after="0" w:line="104" w:lineRule="exact"/>
        <w:rPr>
          <w:sz w:val="20"/>
          <w:szCs w:val="20"/>
          <w:color w:val="auto"/>
        </w:rPr>
      </w:pPr>
    </w:p>
    <w:p>
      <w:pPr>
        <w:ind w:left="680"/>
        <w:spacing w:after="0"/>
        <w:tabs>
          <w:tab w:leader="none" w:pos="5220" w:val="left"/>
          <w:tab w:leader="none" w:pos="5700" w:val="left"/>
        </w:tabs>
        <w:rPr>
          <w:sz w:val="20"/>
          <w:szCs w:val="20"/>
          <w:color w:val="auto"/>
        </w:rPr>
      </w:pPr>
      <w:r>
        <w:rPr>
          <w:rFonts w:ascii="Times New Roman" w:cs="Times New Roman" w:eastAsia="Times New Roman" w:hAnsi="Times New Roman"/>
          <w:sz w:val="18"/>
          <w:szCs w:val="18"/>
          <w:color w:val="auto"/>
        </w:rPr>
        <w:t>DATED: October 26,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Timothy C. Dec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17145</wp:posOffset>
            </wp:positionV>
            <wp:extent cx="31203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20390" cy="8890"/>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Timothy C. Dec</w:t>
      </w:r>
    </w:p>
    <w:p>
      <w:pPr>
        <w:spacing w:after="0" w:line="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0920"/>
      </w:cols>
      <w:pgMar w:left="320" w:top="887"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2026-10-26T15:48:02Z</dcterms:created>
  <dcterms:modified xsi:type="dcterms:W3CDTF">2026-10-26T15:48:02Z</dcterms:modified>
</cp:coreProperties>
</file>