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216535</wp:posOffset>
            </wp:positionH>
            <wp:positionV relativeFrom="page">
              <wp:posOffset>680720</wp:posOffset>
            </wp:positionV>
            <wp:extent cx="7115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page">
              <wp:posOffset>216535</wp:posOffset>
            </wp:positionH>
            <wp:positionV relativeFrom="page">
              <wp:posOffset>706120</wp:posOffset>
            </wp:positionV>
            <wp:extent cx="711517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8890"/>
                    </a:xfrm>
                    <a:prstGeom prst="rect">
                      <a:avLst/>
                    </a:prstGeom>
                    <a:noFill/>
                  </pic:spPr>
                </pic:pic>
              </a:graphicData>
            </a:graphic>
          </wp:anchor>
        </w:drawing>
        <w:t>UNITED STATES</w:t>
      </w:r>
    </w:p>
    <w:p>
      <w:pPr>
        <w:spacing w:after="0" w:line="46" w:lineRule="exact"/>
        <w:rPr>
          <w:sz w:val="24"/>
          <w:szCs w:val="24"/>
          <w:color w:val="auto"/>
        </w:rPr>
      </w:pPr>
    </w:p>
    <w:p>
      <w:pPr>
        <w:jc w:val="center"/>
        <w:ind w:right="-179"/>
        <w:spacing w:after="0"/>
        <w:rPr>
          <w:sz w:val="20"/>
          <w:szCs w:val="20"/>
          <w:color w:val="auto"/>
        </w:rPr>
      </w:pPr>
      <w:r>
        <w:rPr>
          <w:rFonts w:ascii="Arial" w:cs="Arial" w:eastAsia="Arial" w:hAnsi="Arial"/>
          <w:sz w:val="32"/>
          <w:szCs w:val="32"/>
          <w:b w:val="1"/>
          <w:bCs w:val="1"/>
          <w:color w:val="auto"/>
        </w:rPr>
        <w:t>SECURITIES AND EXCHANGE COMMISSION</w:t>
      </w:r>
    </w:p>
    <w:p>
      <w:pPr>
        <w:spacing w:after="0" w:line="17"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Washington, D.C. 20549</w:t>
      </w:r>
    </w:p>
    <w:p>
      <w:pPr>
        <w:spacing w:after="0" w:line="196" w:lineRule="exact"/>
        <w:rPr>
          <w:sz w:val="24"/>
          <w:szCs w:val="24"/>
          <w:color w:val="auto"/>
        </w:rPr>
      </w:pPr>
    </w:p>
    <w:p>
      <w:pPr>
        <w:jc w:val="center"/>
        <w:ind w:right="-179"/>
        <w:spacing w:after="0"/>
        <w:rPr>
          <w:sz w:val="20"/>
          <w:szCs w:val="20"/>
          <w:color w:val="auto"/>
        </w:rPr>
      </w:pPr>
      <w:r>
        <w:rPr>
          <w:rFonts w:ascii="Arial" w:cs="Arial" w:eastAsia="Arial" w:hAnsi="Arial"/>
          <w:sz w:val="32"/>
          <w:szCs w:val="32"/>
          <w:b w:val="1"/>
          <w:bCs w:val="1"/>
          <w:color w:val="auto"/>
        </w:rPr>
        <w:t>FORM 8-K</w:t>
      </w:r>
    </w:p>
    <w:p>
      <w:pPr>
        <w:spacing w:after="0" w:line="253" w:lineRule="exact"/>
        <w:rPr>
          <w:sz w:val="24"/>
          <w:szCs w:val="24"/>
          <w:color w:val="auto"/>
        </w:rPr>
      </w:pPr>
    </w:p>
    <w:p>
      <w:pPr>
        <w:jc w:val="center"/>
        <w:ind w:right="-179"/>
        <w:spacing w:after="0"/>
        <w:rPr>
          <w:sz w:val="20"/>
          <w:szCs w:val="20"/>
          <w:color w:val="auto"/>
        </w:rPr>
      </w:pPr>
      <w:r>
        <w:rPr>
          <w:rFonts w:ascii="Arial" w:cs="Arial" w:eastAsia="Arial" w:hAnsi="Arial"/>
          <w:sz w:val="22"/>
          <w:szCs w:val="22"/>
          <w:b w:val="1"/>
          <w:bCs w:val="1"/>
          <w:color w:val="auto"/>
        </w:rPr>
        <w:t>CURRENT REPORT</w:t>
      </w:r>
    </w:p>
    <w:p>
      <w:pPr>
        <w:spacing w:after="0" w:line="27" w:lineRule="exact"/>
        <w:rPr>
          <w:sz w:val="24"/>
          <w:szCs w:val="24"/>
          <w:color w:val="auto"/>
        </w:rPr>
      </w:pPr>
    </w:p>
    <w:p>
      <w:pPr>
        <w:jc w:val="center"/>
        <w:ind w:right="-179"/>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191" w:lineRule="exact"/>
        <w:rPr>
          <w:sz w:val="24"/>
          <w:szCs w:val="24"/>
          <w:color w:val="auto"/>
        </w:rPr>
      </w:pPr>
    </w:p>
    <w:p>
      <w:pPr>
        <w:jc w:val="center"/>
        <w:ind w:right="-179"/>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February 28, 2023</w:t>
      </w:r>
    </w:p>
    <w:p>
      <w:pPr>
        <w:spacing w:after="0" w:line="216" w:lineRule="exact"/>
        <w:rPr>
          <w:sz w:val="24"/>
          <w:szCs w:val="24"/>
          <w:color w:val="auto"/>
        </w:rPr>
      </w:pPr>
    </w:p>
    <w:p>
      <w:pPr>
        <w:jc w:val="center"/>
        <w:ind w:right="-179"/>
        <w:spacing w:after="0"/>
        <w:rPr>
          <w:sz w:val="20"/>
          <w:szCs w:val="20"/>
          <w:color w:val="auto"/>
        </w:rPr>
      </w:pPr>
      <w:r>
        <w:rPr>
          <w:rFonts w:ascii="Arial" w:cs="Arial" w:eastAsia="Arial" w:hAnsi="Arial"/>
          <w:sz w:val="32"/>
          <w:szCs w:val="32"/>
          <w:b w:val="1"/>
          <w:bCs w:val="1"/>
          <w:color w:val="auto"/>
        </w:rPr>
        <w:t>Supernus Pharmaceuticals, Inc.</w:t>
      </w:r>
    </w:p>
    <w:p>
      <w:pPr>
        <w:spacing w:after="0" w:line="280" w:lineRule="exact"/>
        <w:rPr>
          <w:sz w:val="24"/>
          <w:szCs w:val="24"/>
          <w:color w:val="auto"/>
        </w:rPr>
      </w:pPr>
    </w:p>
    <w:tbl>
      <w:tblPr>
        <w:tblLayout w:type="fixed"/>
        <w:tblInd w:w="340" w:type="dxa"/>
        <w:tblCellMar>
          <w:top w:w="0" w:type="dxa"/>
          <w:left w:w="0" w:type="dxa"/>
          <w:bottom w:w="0" w:type="dxa"/>
          <w:right w:w="0" w:type="dxa"/>
        </w:tblCellMar>
      </w:tblPr>
      <w:tr>
        <w:trPr>
          <w:trHeight w:val="230"/>
        </w:trPr>
        <w:tc>
          <w:tcPr>
            <w:tcW w:w="3360" w:type="dxa"/>
            <w:vAlign w:val="bottom"/>
          </w:tcPr>
          <w:p>
            <w:pPr>
              <w:spacing w:after="0"/>
              <w:rPr>
                <w:sz w:val="20"/>
                <w:szCs w:val="20"/>
                <w:color w:val="auto"/>
              </w:rPr>
            </w:pPr>
          </w:p>
        </w:tc>
        <w:tc>
          <w:tcPr>
            <w:tcW w:w="4020" w:type="dxa"/>
            <w:vAlign w:val="bottom"/>
            <w:gridSpan w:val="2"/>
          </w:tcPr>
          <w:p>
            <w:pPr>
              <w:jc w:val="center"/>
              <w:ind w:right="90"/>
              <w:spacing w:after="0"/>
              <w:rPr>
                <w:sz w:val="20"/>
                <w:szCs w:val="20"/>
                <w:color w:val="auto"/>
              </w:rPr>
            </w:pPr>
            <w:r>
              <w:rPr>
                <w:rFonts w:ascii="Arial" w:cs="Arial" w:eastAsia="Arial" w:hAnsi="Arial"/>
                <w:sz w:val="18"/>
                <w:szCs w:val="18"/>
                <w:color w:val="auto"/>
                <w:w w:val="90"/>
              </w:rPr>
              <w:t>(Exact name of registrant as specified in its charter)</w:t>
            </w:r>
          </w:p>
        </w:tc>
        <w:tc>
          <w:tcPr>
            <w:tcW w:w="2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3"/>
        </w:trPr>
        <w:tc>
          <w:tcPr>
            <w:tcW w:w="3360" w:type="dxa"/>
            <w:vAlign w:val="bottom"/>
          </w:tcPr>
          <w:p>
            <w:pPr>
              <w:jc w:val="center"/>
              <w:spacing w:after="0"/>
              <w:rPr>
                <w:sz w:val="20"/>
                <w:szCs w:val="20"/>
                <w:color w:val="auto"/>
              </w:rPr>
            </w:pPr>
            <w:r>
              <w:rPr>
                <w:rFonts w:ascii="Arial" w:cs="Arial" w:eastAsia="Arial" w:hAnsi="Arial"/>
                <w:sz w:val="18"/>
                <w:szCs w:val="18"/>
                <w:b w:val="1"/>
                <w:bCs w:val="1"/>
                <w:color w:val="auto"/>
                <w:w w:val="91"/>
              </w:rPr>
              <w:t>Delaware</w:t>
            </w:r>
          </w:p>
        </w:tc>
        <w:tc>
          <w:tcPr>
            <w:tcW w:w="1500" w:type="dxa"/>
            <w:vAlign w:val="bottom"/>
          </w:tcPr>
          <w:p>
            <w:pPr>
              <w:spacing w:after="0"/>
              <w:rPr>
                <w:sz w:val="24"/>
                <w:szCs w:val="24"/>
                <w:color w:val="auto"/>
              </w:rPr>
            </w:pPr>
          </w:p>
        </w:tc>
        <w:tc>
          <w:tcPr>
            <w:tcW w:w="2520" w:type="dxa"/>
            <w:vAlign w:val="bottom"/>
          </w:tcPr>
          <w:p>
            <w:pPr>
              <w:jc w:val="center"/>
              <w:ind w:right="1570"/>
              <w:spacing w:after="0"/>
              <w:rPr>
                <w:sz w:val="20"/>
                <w:szCs w:val="20"/>
                <w:color w:val="auto"/>
              </w:rPr>
            </w:pPr>
            <w:r>
              <w:rPr>
                <w:rFonts w:ascii="Arial" w:cs="Arial" w:eastAsia="Arial" w:hAnsi="Arial"/>
                <w:sz w:val="18"/>
                <w:szCs w:val="18"/>
                <w:b w:val="1"/>
                <w:bCs w:val="1"/>
                <w:color w:val="auto"/>
                <w:w w:val="90"/>
              </w:rPr>
              <w:t>001-35518</w:t>
            </w:r>
          </w:p>
        </w:tc>
        <w:tc>
          <w:tcPr>
            <w:tcW w:w="2860" w:type="dxa"/>
            <w:vAlign w:val="bottom"/>
          </w:tcPr>
          <w:p>
            <w:pPr>
              <w:jc w:val="right"/>
              <w:ind w:right="790"/>
              <w:spacing w:after="0"/>
              <w:rPr>
                <w:sz w:val="20"/>
                <w:szCs w:val="20"/>
                <w:color w:val="auto"/>
              </w:rPr>
            </w:pPr>
            <w:r>
              <w:rPr>
                <w:rFonts w:ascii="Arial" w:cs="Arial" w:eastAsia="Arial" w:hAnsi="Arial"/>
                <w:sz w:val="18"/>
                <w:szCs w:val="18"/>
                <w:b w:val="1"/>
                <w:bCs w:val="1"/>
                <w:color w:val="auto"/>
              </w:rPr>
              <w:t>20-2590184</w:t>
            </w:r>
          </w:p>
        </w:tc>
        <w:tc>
          <w:tcPr>
            <w:tcW w:w="0" w:type="dxa"/>
            <w:vAlign w:val="bottom"/>
          </w:tcPr>
          <w:p>
            <w:pPr>
              <w:spacing w:after="0"/>
              <w:rPr>
                <w:sz w:val="1"/>
                <w:szCs w:val="1"/>
                <w:color w:val="auto"/>
              </w:rPr>
            </w:pPr>
          </w:p>
        </w:tc>
      </w:tr>
      <w:tr>
        <w:trPr>
          <w:trHeight w:val="189"/>
        </w:trPr>
        <w:tc>
          <w:tcPr>
            <w:tcW w:w="3360" w:type="dxa"/>
            <w:vAlign w:val="bottom"/>
          </w:tcPr>
          <w:p>
            <w:pPr>
              <w:jc w:val="center"/>
              <w:spacing w:after="0" w:line="189" w:lineRule="exact"/>
              <w:rPr>
                <w:sz w:val="20"/>
                <w:szCs w:val="20"/>
                <w:color w:val="auto"/>
              </w:rPr>
            </w:pPr>
            <w:r>
              <w:rPr>
                <w:rFonts w:ascii="Arial" w:cs="Arial" w:eastAsia="Arial" w:hAnsi="Arial"/>
                <w:sz w:val="18"/>
                <w:szCs w:val="18"/>
                <w:color w:val="auto"/>
                <w:w w:val="92"/>
              </w:rPr>
              <w:t>(State or other jurisdiction of incorporation or</w:t>
            </w:r>
          </w:p>
        </w:tc>
        <w:tc>
          <w:tcPr>
            <w:tcW w:w="4020" w:type="dxa"/>
            <w:vAlign w:val="bottom"/>
            <w:gridSpan w:val="2"/>
            <w:vMerge w:val="restart"/>
          </w:tcPr>
          <w:p>
            <w:pPr>
              <w:jc w:val="center"/>
              <w:ind w:right="90"/>
              <w:spacing w:after="0"/>
              <w:rPr>
                <w:sz w:val="20"/>
                <w:szCs w:val="20"/>
                <w:color w:val="auto"/>
              </w:rPr>
            </w:pPr>
            <w:r>
              <w:rPr>
                <w:rFonts w:ascii="Arial" w:cs="Arial" w:eastAsia="Arial" w:hAnsi="Arial"/>
                <w:sz w:val="18"/>
                <w:szCs w:val="18"/>
                <w:color w:val="auto"/>
                <w:w w:val="93"/>
              </w:rPr>
              <w:t>(Commission File Number)</w:t>
            </w:r>
          </w:p>
        </w:tc>
        <w:tc>
          <w:tcPr>
            <w:tcW w:w="2860" w:type="dxa"/>
            <w:vAlign w:val="bottom"/>
          </w:tcPr>
          <w:p>
            <w:pPr>
              <w:jc w:val="center"/>
              <w:ind w:left="150"/>
              <w:spacing w:after="0" w:line="189" w:lineRule="exact"/>
              <w:rPr>
                <w:sz w:val="20"/>
                <w:szCs w:val="20"/>
                <w:color w:val="auto"/>
              </w:rPr>
            </w:pPr>
            <w:r>
              <w:rPr>
                <w:rFonts w:ascii="Arial" w:cs="Arial" w:eastAsia="Arial" w:hAnsi="Arial"/>
                <w:sz w:val="18"/>
                <w:szCs w:val="18"/>
                <w:color w:val="auto"/>
                <w:w w:val="94"/>
              </w:rPr>
              <w:t>(I.R.S. Employer Identification No.)</w:t>
            </w:r>
          </w:p>
        </w:tc>
        <w:tc>
          <w:tcPr>
            <w:tcW w:w="0" w:type="dxa"/>
            <w:vAlign w:val="bottom"/>
          </w:tcPr>
          <w:p>
            <w:pPr>
              <w:spacing w:after="0"/>
              <w:rPr>
                <w:sz w:val="1"/>
                <w:szCs w:val="1"/>
                <w:color w:val="auto"/>
              </w:rPr>
            </w:pPr>
          </w:p>
        </w:tc>
      </w:tr>
      <w:tr>
        <w:trPr>
          <w:trHeight w:val="230"/>
        </w:trPr>
        <w:tc>
          <w:tcPr>
            <w:tcW w:w="3360" w:type="dxa"/>
            <w:vAlign w:val="bottom"/>
          </w:tcPr>
          <w:p>
            <w:pPr>
              <w:jc w:val="center"/>
              <w:spacing w:after="0"/>
              <w:rPr>
                <w:sz w:val="20"/>
                <w:szCs w:val="20"/>
                <w:color w:val="auto"/>
              </w:rPr>
            </w:pPr>
            <w:r>
              <w:rPr>
                <w:rFonts w:ascii="Arial" w:cs="Arial" w:eastAsia="Arial" w:hAnsi="Arial"/>
                <w:sz w:val="18"/>
                <w:szCs w:val="18"/>
                <w:color w:val="auto"/>
                <w:w w:val="92"/>
              </w:rPr>
              <w:t>organization)</w:t>
            </w:r>
          </w:p>
        </w:tc>
        <w:tc>
          <w:tcPr>
            <w:tcW w:w="4020" w:type="dxa"/>
            <w:vAlign w:val="bottom"/>
            <w:gridSpan w:val="2"/>
            <w:vMerge w:val="continue"/>
          </w:tcPr>
          <w:p>
            <w:pPr>
              <w:spacing w:after="0"/>
              <w:rPr>
                <w:sz w:val="20"/>
                <w:szCs w:val="20"/>
                <w:color w:val="auto"/>
              </w:rPr>
            </w:pPr>
          </w:p>
        </w:tc>
        <w:tc>
          <w:tcPr>
            <w:tcW w:w="2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3"/>
        </w:trPr>
        <w:tc>
          <w:tcPr>
            <w:tcW w:w="3360" w:type="dxa"/>
            <w:vAlign w:val="bottom"/>
          </w:tcPr>
          <w:p>
            <w:pPr>
              <w:jc w:val="center"/>
              <w:spacing w:after="0"/>
              <w:rPr>
                <w:sz w:val="20"/>
                <w:szCs w:val="20"/>
                <w:color w:val="auto"/>
              </w:rPr>
            </w:pPr>
            <w:r>
              <w:rPr>
                <w:rFonts w:ascii="Arial" w:cs="Arial" w:eastAsia="Arial" w:hAnsi="Arial"/>
                <w:sz w:val="18"/>
                <w:szCs w:val="18"/>
                <w:b w:val="1"/>
                <w:bCs w:val="1"/>
                <w:color w:val="auto"/>
                <w:w w:val="90"/>
              </w:rPr>
              <w:t>9715 Key West Ave</w:t>
            </w:r>
          </w:p>
        </w:tc>
        <w:tc>
          <w:tcPr>
            <w:tcW w:w="1500" w:type="dxa"/>
            <w:vAlign w:val="bottom"/>
          </w:tcPr>
          <w:p>
            <w:pPr>
              <w:ind w:left="720"/>
              <w:spacing w:after="0"/>
              <w:rPr>
                <w:sz w:val="20"/>
                <w:szCs w:val="20"/>
                <w:color w:val="auto"/>
              </w:rPr>
            </w:pPr>
            <w:r>
              <w:rPr>
                <w:rFonts w:ascii="Arial" w:cs="Arial" w:eastAsia="Arial" w:hAnsi="Arial"/>
                <w:sz w:val="18"/>
                <w:szCs w:val="18"/>
                <w:b w:val="1"/>
                <w:bCs w:val="1"/>
                <w:color w:val="auto"/>
                <w:w w:val="96"/>
              </w:rPr>
              <w:t>Rockville</w:t>
            </w:r>
          </w:p>
        </w:tc>
        <w:tc>
          <w:tcPr>
            <w:tcW w:w="2520" w:type="dxa"/>
            <w:vAlign w:val="bottom"/>
          </w:tcPr>
          <w:p>
            <w:pPr>
              <w:ind w:left="1120"/>
              <w:spacing w:after="0"/>
              <w:rPr>
                <w:sz w:val="20"/>
                <w:szCs w:val="20"/>
                <w:color w:val="auto"/>
              </w:rPr>
            </w:pPr>
            <w:r>
              <w:rPr>
                <w:rFonts w:ascii="Arial" w:cs="Arial" w:eastAsia="Arial" w:hAnsi="Arial"/>
                <w:sz w:val="18"/>
                <w:szCs w:val="18"/>
                <w:b w:val="1"/>
                <w:bCs w:val="1"/>
                <w:color w:val="auto"/>
              </w:rPr>
              <w:t>MD</w:t>
            </w:r>
          </w:p>
        </w:tc>
        <w:tc>
          <w:tcPr>
            <w:tcW w:w="2860" w:type="dxa"/>
            <w:vAlign w:val="bottom"/>
          </w:tcPr>
          <w:p>
            <w:pPr>
              <w:jc w:val="right"/>
              <w:ind w:right="990"/>
              <w:spacing w:after="0"/>
              <w:rPr>
                <w:sz w:val="20"/>
                <w:szCs w:val="20"/>
                <w:color w:val="auto"/>
              </w:rPr>
            </w:pPr>
            <w:r>
              <w:rPr>
                <w:rFonts w:ascii="Arial" w:cs="Arial" w:eastAsia="Arial" w:hAnsi="Arial"/>
                <w:sz w:val="18"/>
                <w:szCs w:val="18"/>
                <w:b w:val="1"/>
                <w:bCs w:val="1"/>
                <w:color w:val="auto"/>
              </w:rPr>
              <w:t>20850</w:t>
            </w:r>
          </w:p>
        </w:tc>
        <w:tc>
          <w:tcPr>
            <w:tcW w:w="0" w:type="dxa"/>
            <w:vAlign w:val="bottom"/>
          </w:tcPr>
          <w:p>
            <w:pPr>
              <w:spacing w:after="0"/>
              <w:rPr>
                <w:sz w:val="1"/>
                <w:szCs w:val="1"/>
                <w:color w:val="auto"/>
              </w:rPr>
            </w:pPr>
          </w:p>
        </w:tc>
      </w:tr>
      <w:tr>
        <w:trPr>
          <w:trHeight w:val="230"/>
        </w:trPr>
        <w:tc>
          <w:tcPr>
            <w:tcW w:w="3360" w:type="dxa"/>
            <w:vAlign w:val="bottom"/>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150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2860" w:type="dxa"/>
            <w:vAlign w:val="bottom"/>
          </w:tcPr>
          <w:p>
            <w:pPr>
              <w:jc w:val="center"/>
              <w:ind w:left="150"/>
              <w:spacing w:after="0"/>
              <w:rPr>
                <w:sz w:val="20"/>
                <w:szCs w:val="20"/>
                <w:color w:val="auto"/>
              </w:rPr>
            </w:pPr>
            <w:r>
              <w:rPr>
                <w:rFonts w:ascii="Arial" w:cs="Arial" w:eastAsia="Arial" w:hAnsi="Arial"/>
                <w:sz w:val="18"/>
                <w:szCs w:val="18"/>
                <w:color w:val="auto"/>
                <w:w w:val="91"/>
              </w:rPr>
              <w:t>(Zip Code)</w:t>
            </w:r>
          </w:p>
        </w:tc>
        <w:tc>
          <w:tcPr>
            <w:tcW w:w="0" w:type="dxa"/>
            <w:vAlign w:val="bottom"/>
          </w:tcPr>
          <w:p>
            <w:pPr>
              <w:spacing w:after="0"/>
              <w:rPr>
                <w:sz w:val="1"/>
                <w:szCs w:val="1"/>
                <w:color w:val="auto"/>
              </w:rPr>
            </w:pPr>
          </w:p>
        </w:tc>
      </w:tr>
    </w:tbl>
    <w:p>
      <w:pPr>
        <w:spacing w:after="0" w:line="346" w:lineRule="exact"/>
        <w:rPr>
          <w:sz w:val="24"/>
          <w:szCs w:val="24"/>
          <w:color w:val="auto"/>
        </w:rPr>
      </w:pPr>
    </w:p>
    <w:p>
      <w:pPr>
        <w:jc w:val="center"/>
        <w:ind w:right="-179"/>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(301) 838-2500</w:t>
      </w:r>
    </w:p>
    <w:p>
      <w:pPr>
        <w:spacing w:after="0" w:line="225"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ind w:right="-17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38" w:lineRule="exact"/>
        <w:rPr>
          <w:sz w:val="24"/>
          <w:szCs w:val="24"/>
          <w:color w:val="auto"/>
        </w:rPr>
      </w:pPr>
    </w:p>
    <w:tbl>
      <w:tblPr>
        <w:tblLayout w:type="fixed"/>
        <w:tblInd w:w="100" w:type="dxa"/>
        <w:tblCellMar>
          <w:top w:w="0" w:type="dxa"/>
          <w:left w:w="0" w:type="dxa"/>
          <w:bottom w:w="0" w:type="dxa"/>
          <w:right w:w="0" w:type="dxa"/>
        </w:tblCellMar>
      </w:tblPr>
      <w:tr>
        <w:trPr>
          <w:trHeight w:val="230"/>
        </w:trPr>
        <w:tc>
          <w:tcPr>
            <w:tcW w:w="6360" w:type="dxa"/>
            <w:vAlign w:val="bottom"/>
            <w:gridSpan w:val="5"/>
          </w:tcPr>
          <w:p>
            <w:pPr>
              <w:spacing w:after="0"/>
              <w:rPr>
                <w:sz w:val="20"/>
                <w:szCs w:val="20"/>
                <w:color w:val="auto"/>
              </w:rPr>
            </w:pPr>
            <w:r>
              <w:rPr>
                <w:rFonts w:ascii="Arial" w:cs="Arial" w:eastAsia="Arial" w:hAnsi="Arial"/>
                <w:sz w:val="18"/>
                <w:szCs w:val="18"/>
                <w:color w:val="auto"/>
              </w:rPr>
              <w:t>Securities registered pursuant to Section 12(b) of the Exchange Act</w:t>
            </w:r>
          </w:p>
        </w:tc>
        <w:tc>
          <w:tcPr>
            <w:tcW w:w="3200" w:type="dxa"/>
            <w:vAlign w:val="bottom"/>
          </w:tcPr>
          <w:p>
            <w:pPr>
              <w:spacing w:after="0"/>
              <w:rPr>
                <w:sz w:val="20"/>
                <w:szCs w:val="20"/>
                <w:color w:val="auto"/>
              </w:rPr>
            </w:pPr>
          </w:p>
        </w:tc>
      </w:tr>
      <w:tr>
        <w:trPr>
          <w:trHeight w:val="230"/>
        </w:trPr>
        <w:tc>
          <w:tcPr>
            <w:tcW w:w="1340" w:type="dxa"/>
            <w:vAlign w:val="bottom"/>
          </w:tcPr>
          <w:p>
            <w:pPr>
              <w:spacing w:after="0"/>
              <w:rPr>
                <w:sz w:val="19"/>
                <w:szCs w:val="19"/>
                <w:color w:val="auto"/>
              </w:rPr>
            </w:pPr>
          </w:p>
        </w:tc>
        <w:tc>
          <w:tcPr>
            <w:tcW w:w="3000" w:type="dxa"/>
            <w:vAlign w:val="bottom"/>
            <w:gridSpan w:val="2"/>
          </w:tcPr>
          <w:p>
            <w:pPr>
              <w:jc w:val="center"/>
              <w:ind w:right="1720"/>
              <w:spacing w:after="0"/>
              <w:rPr>
                <w:sz w:val="20"/>
                <w:szCs w:val="20"/>
                <w:color w:val="auto"/>
              </w:rPr>
            </w:pPr>
            <w:r>
              <w:rPr>
                <w:rFonts w:ascii="Arial" w:cs="Arial" w:eastAsia="Arial" w:hAnsi="Arial"/>
                <w:sz w:val="18"/>
                <w:szCs w:val="18"/>
                <w:color w:val="auto"/>
                <w:w w:val="88"/>
              </w:rPr>
              <w:t>Title of each class</w:t>
            </w:r>
          </w:p>
        </w:tc>
        <w:tc>
          <w:tcPr>
            <w:tcW w:w="2020" w:type="dxa"/>
            <w:vAlign w:val="bottom"/>
            <w:gridSpan w:val="2"/>
          </w:tcPr>
          <w:p>
            <w:pPr>
              <w:jc w:val="center"/>
              <w:ind w:right="840"/>
              <w:spacing w:after="0"/>
              <w:rPr>
                <w:sz w:val="20"/>
                <w:szCs w:val="20"/>
                <w:color w:val="auto"/>
              </w:rPr>
            </w:pPr>
            <w:r>
              <w:rPr>
                <w:rFonts w:ascii="Arial" w:cs="Arial" w:eastAsia="Arial" w:hAnsi="Arial"/>
                <w:sz w:val="18"/>
                <w:szCs w:val="18"/>
                <w:color w:val="auto"/>
                <w:w w:val="93"/>
              </w:rPr>
              <w:t>Trading Symbol</w:t>
            </w:r>
          </w:p>
        </w:tc>
        <w:tc>
          <w:tcPr>
            <w:tcW w:w="3200" w:type="dxa"/>
            <w:vAlign w:val="bottom"/>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20"/>
        </w:trPr>
        <w:tc>
          <w:tcPr>
            <w:tcW w:w="134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200" w:type="dxa"/>
            <w:vAlign w:val="bottom"/>
            <w:shd w:val="clear" w:color="auto" w:fill="000000"/>
          </w:tcPr>
          <w:p>
            <w:pPr>
              <w:spacing w:after="0" w:line="20" w:lineRule="exact"/>
              <w:rPr>
                <w:sz w:val="1"/>
                <w:szCs w:val="1"/>
                <w:color w:val="auto"/>
              </w:rPr>
            </w:pPr>
          </w:p>
        </w:tc>
      </w:tr>
      <w:tr>
        <w:trPr>
          <w:trHeight w:val="264"/>
        </w:trPr>
        <w:tc>
          <w:tcPr>
            <w:tcW w:w="4340" w:type="dxa"/>
            <w:vAlign w:val="bottom"/>
            <w:gridSpan w:val="3"/>
          </w:tcPr>
          <w:p>
            <w:pPr>
              <w:jc w:val="center"/>
              <w:ind w:right="380"/>
              <w:spacing w:after="0"/>
              <w:rPr>
                <w:sz w:val="20"/>
                <w:szCs w:val="20"/>
                <w:color w:val="auto"/>
              </w:rPr>
            </w:pPr>
            <w:r>
              <w:rPr>
                <w:rFonts w:ascii="Arial" w:cs="Arial" w:eastAsia="Arial" w:hAnsi="Arial"/>
                <w:sz w:val="18"/>
                <w:szCs w:val="18"/>
                <w:color w:val="auto"/>
                <w:w w:val="89"/>
              </w:rPr>
              <w:t>Common Stock, $0.001 par value per share</w:t>
            </w:r>
          </w:p>
        </w:tc>
        <w:tc>
          <w:tcPr>
            <w:tcW w:w="2020" w:type="dxa"/>
            <w:vAlign w:val="bottom"/>
            <w:gridSpan w:val="2"/>
          </w:tcPr>
          <w:p>
            <w:pPr>
              <w:jc w:val="center"/>
              <w:ind w:right="840"/>
              <w:spacing w:after="0"/>
              <w:rPr>
                <w:sz w:val="20"/>
                <w:szCs w:val="20"/>
                <w:color w:val="auto"/>
              </w:rPr>
            </w:pPr>
            <w:r>
              <w:rPr>
                <w:rFonts w:ascii="Arial" w:cs="Arial" w:eastAsia="Arial" w:hAnsi="Arial"/>
                <w:sz w:val="18"/>
                <w:szCs w:val="18"/>
                <w:color w:val="auto"/>
                <w:w w:val="91"/>
              </w:rPr>
              <w:t>SUPN</w:t>
            </w:r>
          </w:p>
        </w:tc>
        <w:tc>
          <w:tcPr>
            <w:tcW w:w="3200" w:type="dxa"/>
            <w:vAlign w:val="bottom"/>
          </w:tcPr>
          <w:p>
            <w:pPr>
              <w:jc w:val="center"/>
              <w:spacing w:after="0"/>
              <w:rPr>
                <w:sz w:val="20"/>
                <w:szCs w:val="20"/>
                <w:color w:val="auto"/>
              </w:rPr>
            </w:pPr>
            <w:r>
              <w:rPr>
                <w:rFonts w:ascii="Arial" w:cs="Arial" w:eastAsia="Arial" w:hAnsi="Arial"/>
                <w:sz w:val="18"/>
                <w:szCs w:val="18"/>
                <w:color w:val="auto"/>
                <w:w w:val="92"/>
              </w:rPr>
              <w:t>The Nasdaq Stock Market LLC</w:t>
            </w:r>
          </w:p>
        </w:tc>
      </w:tr>
    </w:tbl>
    <w:p>
      <w:pPr>
        <w:spacing w:after="0" w:line="337" w:lineRule="exact"/>
        <w:rPr>
          <w:sz w:val="24"/>
          <w:szCs w:val="24"/>
          <w:color w:val="auto"/>
        </w:rPr>
      </w:pPr>
    </w:p>
    <w:p>
      <w:pPr>
        <w:ind w:right="5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w:t>
      </w:r>
      <w:r>
        <w:rPr>
          <w:rFonts w:ascii="Arial" w:cs="Arial" w:eastAsia="Arial" w:hAnsi="Arial"/>
          <w:sz w:val="18"/>
          <w:szCs w:val="18"/>
          <w:u w:val="single" w:color="auto"/>
          <w:color w:val="auto"/>
        </w:rPr>
        <w:t>see</w:t>
      </w:r>
      <w:r>
        <w:rPr>
          <w:rFonts w:ascii="Arial" w:cs="Arial" w:eastAsia="Arial" w:hAnsi="Arial"/>
          <w:sz w:val="18"/>
          <w:szCs w:val="18"/>
          <w:color w:val="auto"/>
        </w:rPr>
        <w:t xml:space="preserve"> General Instruction A.2. below):</w:t>
      </w:r>
    </w:p>
    <w:p>
      <w:pPr>
        <w:spacing w:after="0" w:line="211" w:lineRule="exact"/>
        <w:rPr>
          <w:sz w:val="24"/>
          <w:szCs w:val="24"/>
          <w:color w:val="auto"/>
        </w:rPr>
      </w:pPr>
    </w:p>
    <w:p>
      <w:pPr>
        <w:ind w:left="260" w:hanging="252"/>
        <w:spacing w:after="0"/>
        <w:tabs>
          <w:tab w:leader="none" w:pos="260" w:val="left"/>
        </w:tabs>
        <w:numPr>
          <w:ilvl w:val="0"/>
          <w:numId w:val="1"/>
        </w:numPr>
        <w:rPr>
          <w:rFonts w:ascii="MS PGothic" w:cs="MS PGothic" w:eastAsia="MS PGothic" w:hAnsi="MS PGothic"/>
          <w:sz w:val="22"/>
          <w:szCs w:val="22"/>
          <w:color w:val="auto"/>
        </w:rPr>
      </w:pPr>
      <w:r>
        <w:rPr>
          <w:rFonts w:ascii="Arial" w:cs="Arial" w:eastAsia="Arial" w:hAnsi="Arial"/>
          <w:sz w:val="18"/>
          <w:szCs w:val="18"/>
          <w:color w:val="auto"/>
        </w:rPr>
        <w:t>Written communications pursuant to Rule 425 under the Securities Act (17 CFR 230.425)</w:t>
      </w:r>
    </w:p>
    <w:p>
      <w:pPr>
        <w:spacing w:after="0" w:line="245" w:lineRule="exact"/>
        <w:rPr>
          <w:rFonts w:ascii="MS PGothic" w:cs="MS PGothic" w:eastAsia="MS PGothic" w:hAnsi="MS PGothic"/>
          <w:sz w:val="22"/>
          <w:szCs w:val="22"/>
          <w:color w:val="auto"/>
        </w:rPr>
      </w:pPr>
    </w:p>
    <w:p>
      <w:pPr>
        <w:ind w:left="260" w:hanging="252"/>
        <w:spacing w:after="0"/>
        <w:tabs>
          <w:tab w:leader="none" w:pos="260" w:val="left"/>
        </w:tabs>
        <w:numPr>
          <w:ilvl w:val="0"/>
          <w:numId w:val="1"/>
        </w:numPr>
        <w:rPr>
          <w:rFonts w:ascii="MS PGothic" w:cs="MS PGothic" w:eastAsia="MS PGothic" w:hAnsi="MS PGothic"/>
          <w:sz w:val="22"/>
          <w:szCs w:val="22"/>
          <w:color w:val="auto"/>
        </w:rPr>
      </w:pPr>
      <w:r>
        <w:rPr>
          <w:rFonts w:ascii="Arial" w:cs="Arial" w:eastAsia="Arial" w:hAnsi="Arial"/>
          <w:sz w:val="18"/>
          <w:szCs w:val="18"/>
          <w:color w:val="auto"/>
        </w:rPr>
        <w:t>Soliciting material pursuant to Rule 14a-12 under the Exchange Act (17 CFR 240.14a-12)</w:t>
      </w:r>
    </w:p>
    <w:p>
      <w:pPr>
        <w:spacing w:after="0" w:line="245" w:lineRule="exact"/>
        <w:rPr>
          <w:rFonts w:ascii="MS PGothic" w:cs="MS PGothic" w:eastAsia="MS PGothic" w:hAnsi="MS PGothic"/>
          <w:sz w:val="22"/>
          <w:szCs w:val="22"/>
          <w:color w:val="auto"/>
        </w:rPr>
      </w:pPr>
    </w:p>
    <w:p>
      <w:pPr>
        <w:ind w:left="260" w:hanging="252"/>
        <w:spacing w:after="0"/>
        <w:tabs>
          <w:tab w:leader="none" w:pos="260" w:val="left"/>
        </w:tabs>
        <w:numPr>
          <w:ilvl w:val="0"/>
          <w:numId w:val="1"/>
        </w:numPr>
        <w:rPr>
          <w:rFonts w:ascii="MS PGothic" w:cs="MS PGothic" w:eastAsia="MS PGothic" w:hAnsi="MS PGothic"/>
          <w:sz w:val="22"/>
          <w:szCs w:val="22"/>
          <w:color w:val="auto"/>
        </w:rPr>
      </w:pPr>
      <w:r>
        <w:rPr>
          <w:rFonts w:ascii="Arial" w:cs="Arial" w:eastAsia="Arial" w:hAnsi="Arial"/>
          <w:sz w:val="18"/>
          <w:szCs w:val="18"/>
          <w:color w:val="auto"/>
        </w:rPr>
        <w:t>Pre-commencement communications pursuant to Rule 14d-2(b) under the Exchange Act (17 CFR 240.14d-2(b))</w:t>
      </w:r>
    </w:p>
    <w:p>
      <w:pPr>
        <w:spacing w:after="0" w:line="245" w:lineRule="exact"/>
        <w:rPr>
          <w:rFonts w:ascii="MS PGothic" w:cs="MS PGothic" w:eastAsia="MS PGothic" w:hAnsi="MS PGothic"/>
          <w:sz w:val="22"/>
          <w:szCs w:val="22"/>
          <w:color w:val="auto"/>
        </w:rPr>
      </w:pPr>
    </w:p>
    <w:p>
      <w:pPr>
        <w:ind w:left="240" w:hanging="232"/>
        <w:spacing w:after="0"/>
        <w:tabs>
          <w:tab w:leader="none" w:pos="240" w:val="left"/>
        </w:tabs>
        <w:numPr>
          <w:ilvl w:val="0"/>
          <w:numId w:val="1"/>
        </w:numPr>
        <w:rPr>
          <w:rFonts w:ascii="MS PGothic" w:cs="MS PGothic" w:eastAsia="MS PGothic" w:hAnsi="MS PGothic"/>
          <w:sz w:val="22"/>
          <w:szCs w:val="22"/>
          <w:color w:val="auto"/>
        </w:rPr>
      </w:pPr>
      <w:r>
        <w:rPr>
          <w:rFonts w:ascii="Arial" w:cs="Arial" w:eastAsia="Arial" w:hAnsi="Arial"/>
          <w:sz w:val="18"/>
          <w:szCs w:val="18"/>
          <w:color w:val="auto"/>
        </w:rPr>
        <w:t>Pre-commencement communications pursuant to Rule 13e-4(c) under the Exchange Act (17 CFR 240.13e-4(c))</w:t>
      </w:r>
    </w:p>
    <w:p>
      <w:pPr>
        <w:spacing w:after="0" w:line="205" w:lineRule="exact"/>
        <w:rPr>
          <w:sz w:val="24"/>
          <w:szCs w:val="24"/>
          <w:color w:val="auto"/>
        </w:rPr>
      </w:pPr>
    </w:p>
    <w:p>
      <w:pPr>
        <w:ind w:right="360"/>
        <w:spacing w:after="0" w:line="260" w:lineRule="exact"/>
        <w:rPr>
          <w:sz w:val="20"/>
          <w:szCs w:val="20"/>
          <w:color w:val="auto"/>
        </w:rPr>
      </w:pPr>
      <w:r>
        <w:rPr>
          <w:rFonts w:ascii="Arial" w:cs="Arial" w:eastAsia="Arial" w:hAnsi="Arial"/>
          <w:sz w:val="18"/>
          <w:szCs w:val="18"/>
          <w:color w:val="auto"/>
        </w:rPr>
        <w:t xml:space="preserve">Indicate by check mark whether the registrant is an emerging growth company as defined in Rule 405 of the Securities Act of 1933 (§230.405 of this chapter) or Rule 12b-2 of the Securities Exchange Act of 1934 (§240.12b-2 of this chapter). </w:t>
      </w:r>
      <w:r>
        <w:rPr>
          <w:rFonts w:ascii="MS PGothic" w:cs="MS PGothic" w:eastAsia="MS PGothic" w:hAnsi="MS PGothic"/>
          <w:sz w:val="21"/>
          <w:szCs w:val="21"/>
          <w:color w:val="auto"/>
        </w:rPr>
        <w:t>☐</w:t>
      </w:r>
    </w:p>
    <w:p>
      <w:pPr>
        <w:spacing w:after="0" w:line="169" w:lineRule="exact"/>
        <w:rPr>
          <w:sz w:val="24"/>
          <w:szCs w:val="24"/>
          <w:color w:val="auto"/>
        </w:rPr>
      </w:pPr>
    </w:p>
    <w:p>
      <w:pPr>
        <w:spacing w:after="0" w:line="260"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21"/>
          <w:szCs w:val="2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806450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22225</wp:posOffset>
            </wp:positionV>
            <wp:extent cx="71151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1517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47625</wp:posOffset>
            </wp:positionV>
            <wp:extent cx="71151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ectPr>
          <w:pgSz w:w="11900" w:h="16838" w:orient="portrait"/>
          <w:cols w:equalWidth="0" w:num="1">
            <w:col w:w="11080"/>
          </w:cols>
          <w:pgMar w:left="320" w:top="1192" w:right="499" w:bottom="1440" w:gutter="0" w:footer="0" w:header="0"/>
        </w:sectPr>
      </w:pPr>
    </w:p>
    <w:bookmarkStart w:id="1" w:name="page2"/>
    <w:bookmarkEnd w:id="1"/>
    <w:p>
      <w:pPr>
        <w:spacing w:after="0"/>
        <w:tabs>
          <w:tab w:leader="none" w:pos="1320" w:val="left"/>
        </w:tabs>
        <w:rPr>
          <w:sz w:val="20"/>
          <w:szCs w:val="20"/>
          <w:color w:val="auto"/>
        </w:rPr>
      </w:pPr>
      <w:r>
        <w:rPr>
          <w:rFonts w:ascii="Arial" w:cs="Arial" w:eastAsia="Arial" w:hAnsi="Arial"/>
          <w:sz w:val="18"/>
          <w:szCs w:val="18"/>
          <w:b w:val="1"/>
          <w:bCs w:val="1"/>
          <w:color w:val="auto"/>
        </w:rPr>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256"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color w:val="auto"/>
        </w:rPr>
        <w:t>On February 28, 2023, Supernus Pharmaceuticals, Inc. (“Supernus” or the “Company”) issued a press release regarding its financial results for the fourth quarter and full year ended December 31, 2022. A copy of this press release is furnished as Exhibit 99.1 hereto and is incorporated herein by reference.</w:t>
      </w:r>
    </w:p>
    <w:p>
      <w:pPr>
        <w:spacing w:after="0" w:line="211" w:lineRule="exact"/>
        <w:rPr>
          <w:sz w:val="20"/>
          <w:szCs w:val="20"/>
          <w:color w:val="auto"/>
        </w:rPr>
      </w:pPr>
    </w:p>
    <w:p>
      <w:pPr>
        <w:jc w:val="both"/>
        <w:ind w:right="100" w:firstLine="648"/>
        <w:spacing w:after="0" w:line="263" w:lineRule="auto"/>
        <w:rPr>
          <w:sz w:val="20"/>
          <w:szCs w:val="20"/>
          <w:color w:val="auto"/>
        </w:rPr>
      </w:pPr>
      <w:r>
        <w:rPr>
          <w:rFonts w:ascii="Arial" w:cs="Arial" w:eastAsia="Arial" w:hAnsi="Arial"/>
          <w:sz w:val="18"/>
          <w:szCs w:val="18"/>
          <w:color w:val="auto"/>
        </w:rPr>
        <w:t xml:space="preserve">As previously announced, Supernus is hosting a conference call at 4:30 p.m. Eastern Time on Tuesday, February 28, 2023, to present the business and financial results. A live webcast is available at </w:t>
      </w:r>
      <w:r>
        <w:rPr>
          <w:rFonts w:ascii="Arial" w:cs="Arial" w:eastAsia="Arial" w:hAnsi="Arial"/>
          <w:sz w:val="18"/>
          <w:szCs w:val="18"/>
          <w:u w:val="single" w:color="auto"/>
          <w:color w:val="0000FF"/>
        </w:rPr>
        <w:t>www.supernus.com</w:t>
      </w:r>
      <w:r>
        <w:rPr>
          <w:rFonts w:ascii="Arial" w:cs="Arial" w:eastAsia="Arial" w:hAnsi="Arial"/>
          <w:sz w:val="18"/>
          <w:szCs w:val="18"/>
          <w:color w:val="auto"/>
        </w:rPr>
        <w:t>. The webcast will be archived on the Company’s website for 60 days following the live call.</w:t>
      </w:r>
    </w:p>
    <w:p>
      <w:pPr>
        <w:spacing w:after="0" w:line="21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information in this Item 2.02 (including Exhibit 99.1) is being “furnished” and shall not be deemed “filed” for purposes of Section 18 of the Securities Exchange Act of 1934, as amended, or otherwise subject to the liabilities of that section, nor shall it be deemed incorporated by reference in any filing under the Securities Act of 1933, as amended, whether made before or after the date of this report, except as shall be expressly set forth by specific reference in such filing.</w:t>
      </w:r>
    </w:p>
    <w:p>
      <w:pPr>
        <w:spacing w:after="0" w:line="214"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This Current Report on Form 8-K contains “forward-looking statements” that do not convey historical information, but relate to predicted or potential future events, such as statements of our plans, strategies and intentions. These statements can often be identified by the use of forward-looking terminology such as “believe,” “expect,” “intend,” “may,” “will,” “should,” or “anticipate” or similar terminology. All statements other than statements of historical facts included in this Current Report on Form 8-K are forward-looking statements. All forward-looking statements speak only as of the date of this Current Report on Form 8-K. Except for Supernus’ ongoing obligations to disclose material information under the federal securities laws, Supernus undertakes no obligation to update or revise any forward-looking statements, whether as a result of new information, future events or otherwise. In addition to the risks and uncertainties of ordinary business operations and conditions in the general economy and the markets in which Supernus competes, the forward-looking statements of Supernus contained in this Current Report on Form 8-K are also subject to various risks and uncertainties, including those set forth in Item 1A, “Risk Factors,” in Supernus’ Annual Report on Form 10-K for the fiscal year ended December 31, 2021 which the Company filed on April 13, 2022, and other risk factors set forth from time to time in the Company’s filings with the Securities and Exchange Commission made pursuant to Section 13 or 15(d) of the Securities Exchange Act of 1934, as amended.</w:t>
      </w:r>
    </w:p>
    <w:p>
      <w:pPr>
        <w:spacing w:after="0" w:line="205" w:lineRule="exact"/>
        <w:rPr>
          <w:sz w:val="20"/>
          <w:szCs w:val="20"/>
          <w:color w:val="auto"/>
        </w:rPr>
      </w:pPr>
    </w:p>
    <w:p>
      <w:pPr>
        <w:spacing w:after="0"/>
        <w:tabs>
          <w:tab w:leader="none" w:pos="132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9" w:lineRule="exact"/>
        <w:rPr>
          <w:sz w:val="20"/>
          <w:szCs w:val="20"/>
          <w:color w:val="auto"/>
        </w:rPr>
      </w:pPr>
    </w:p>
    <w:p>
      <w:pPr>
        <w:ind w:left="1300" w:hanging="644"/>
        <w:spacing w:after="0"/>
        <w:tabs>
          <w:tab w:leader="none" w:pos="1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225" w:lineRule="exact"/>
        <w:rPr>
          <w:rFonts w:ascii="Arial" w:cs="Arial" w:eastAsia="Arial" w:hAnsi="Arial"/>
          <w:sz w:val="18"/>
          <w:szCs w:val="18"/>
          <w:color w:val="auto"/>
        </w:rPr>
      </w:pPr>
    </w:p>
    <w:p>
      <w:pPr>
        <w:ind w:left="1300" w:right="2100"/>
        <w:spacing w:after="0" w:line="563" w:lineRule="auto"/>
        <w:rPr>
          <w:rFonts w:ascii="Arial" w:cs="Arial" w:eastAsia="Arial" w:hAnsi="Arial"/>
          <w:sz w:val="18"/>
          <w:szCs w:val="18"/>
          <w:color w:val="auto"/>
        </w:rPr>
      </w:pPr>
      <w:r>
        <w:rPr>
          <w:rFonts w:ascii="Arial" w:cs="Arial" w:eastAsia="Arial" w:hAnsi="Arial"/>
          <w:sz w:val="17"/>
          <w:szCs w:val="17"/>
          <w:color w:val="auto"/>
        </w:rPr>
        <w:t xml:space="preserve">Exhibit 99.1 — </w:t>
      </w:r>
      <w:r>
        <w:rPr>
          <w:rFonts w:ascii="Arial" w:cs="Arial" w:eastAsia="Arial" w:hAnsi="Arial"/>
          <w:sz w:val="17"/>
          <w:szCs w:val="17"/>
          <w:u w:val="single" w:color="auto"/>
          <w:color w:val="0000FF"/>
        </w:rPr>
        <w:t>Press Release Dated February 28, 2023</w:t>
      </w:r>
      <w:r>
        <w:rPr>
          <w:rFonts w:ascii="Arial" w:cs="Arial" w:eastAsia="Arial" w:hAnsi="Arial"/>
          <w:sz w:val="17"/>
          <w:szCs w:val="17"/>
          <w:color w:val="auto"/>
        </w:rPr>
        <w:t xml:space="preserve"> furnished as an Exhibit pursuant to Item 2.02 hereof. Exhibit 104 — The cover page from this Current Report on Form 8-K, formatted in Inline XBRL.</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______________________________________</w:t>
      </w:r>
    </w:p>
    <w:p>
      <w:pPr>
        <w:spacing w:after="0" w:line="252" w:lineRule="exact"/>
        <w:rPr>
          <w:sz w:val="20"/>
          <w:szCs w:val="20"/>
          <w:color w:val="auto"/>
        </w:rPr>
      </w:pPr>
    </w:p>
    <w:p>
      <w:pPr>
        <w:jc w:val="both"/>
        <w:ind w:right="120" w:firstLine="8"/>
        <w:spacing w:after="0" w:line="259" w:lineRule="auto"/>
        <w:tabs>
          <w:tab w:leader="none" w:pos="135"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The information furnished under Item 2.02 and Item 9.01 of this Current Report on Form 8-K, including the exhibits, shall not be deemed "filed" for purposes of Section 18 of the Securities Exchange act of 1934, as amended, or otherwise subject to liabilities under that section, nor shall it be deemed incorporated by reference in any registration statement or other filings of the Company under the Securities act of 1933, as amended, except as shall be set forth by specific reference in such filing.</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66" w:right="339" w:bottom="1440" w:gutter="0" w:footer="0" w:header="0"/>
        </w:sectPr>
      </w:pPr>
    </w:p>
    <w:bookmarkStart w:id="2" w:name="page3"/>
    <w:bookmarkEnd w:id="2"/>
    <w:p>
      <w:pPr>
        <w:jc w:val="center"/>
        <w:ind w:right="-2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38"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3820" w:type="dxa"/>
            <w:vAlign w:val="bottom"/>
          </w:tcPr>
          <w:p>
            <w:pPr>
              <w:spacing w:after="0"/>
              <w:rPr>
                <w:sz w:val="20"/>
                <w:szCs w:val="20"/>
                <w:color w:val="auto"/>
              </w:rPr>
            </w:pPr>
          </w:p>
        </w:tc>
        <w:tc>
          <w:tcPr>
            <w:tcW w:w="7180" w:type="dxa"/>
            <w:vAlign w:val="bottom"/>
            <w:gridSpan w:val="2"/>
          </w:tcPr>
          <w:p>
            <w:pPr>
              <w:ind w:left="1800"/>
              <w:spacing w:after="0"/>
              <w:rPr>
                <w:sz w:val="20"/>
                <w:szCs w:val="20"/>
                <w:color w:val="auto"/>
              </w:rPr>
            </w:pPr>
            <w:r>
              <w:rPr>
                <w:rFonts w:ascii="Arial" w:cs="Arial" w:eastAsia="Arial" w:hAnsi="Arial"/>
                <w:sz w:val="18"/>
                <w:szCs w:val="18"/>
                <w:color w:val="auto"/>
              </w:rPr>
              <w:t>SUPERNUS PHARMACEUTICALS, INC.</w:t>
            </w:r>
          </w:p>
        </w:tc>
      </w:tr>
      <w:tr>
        <w:trPr>
          <w:trHeight w:val="459"/>
        </w:trPr>
        <w:tc>
          <w:tcPr>
            <w:tcW w:w="3820" w:type="dxa"/>
            <w:vAlign w:val="bottom"/>
          </w:tcPr>
          <w:p>
            <w:pPr>
              <w:spacing w:after="0"/>
              <w:rPr>
                <w:sz w:val="20"/>
                <w:szCs w:val="20"/>
                <w:color w:val="auto"/>
              </w:rPr>
            </w:pPr>
            <w:r>
              <w:rPr>
                <w:rFonts w:ascii="Arial" w:cs="Arial" w:eastAsia="Arial" w:hAnsi="Arial"/>
                <w:sz w:val="18"/>
                <w:szCs w:val="18"/>
                <w:color w:val="auto"/>
              </w:rPr>
              <w:t>DATED: February 28, 2023</w:t>
            </w:r>
          </w:p>
        </w:tc>
        <w:tc>
          <w:tcPr>
            <w:tcW w:w="7180" w:type="dxa"/>
            <w:vAlign w:val="bottom"/>
            <w:gridSpan w:val="2"/>
          </w:tcPr>
          <w:p>
            <w:pPr>
              <w:ind w:left="1800"/>
              <w:spacing w:after="0"/>
              <w:rPr>
                <w:sz w:val="20"/>
                <w:szCs w:val="20"/>
                <w:color w:val="auto"/>
              </w:rPr>
            </w:pPr>
            <w:r>
              <w:rPr>
                <w:rFonts w:ascii="Arial" w:cs="Arial" w:eastAsia="Arial" w:hAnsi="Arial"/>
                <w:sz w:val="18"/>
                <w:szCs w:val="18"/>
                <w:color w:val="auto"/>
              </w:rPr>
              <w:t>By:   /s/ Timothy Dec</w:t>
            </w:r>
          </w:p>
        </w:tc>
      </w:tr>
      <w:tr>
        <w:trPr>
          <w:trHeight w:val="222"/>
        </w:trPr>
        <w:tc>
          <w:tcPr>
            <w:tcW w:w="382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492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Timothy Dec</w:t>
            </w:r>
          </w:p>
        </w:tc>
      </w:tr>
      <w:tr>
        <w:trPr>
          <w:trHeight w:val="230"/>
        </w:trPr>
        <w:tc>
          <w:tcPr>
            <w:tcW w:w="382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4920" w:type="dxa"/>
            <w:vAlign w:val="bottom"/>
          </w:tcPr>
          <w:p>
            <w:pPr>
              <w:ind w:left="20"/>
              <w:spacing w:after="0"/>
              <w:rPr>
                <w:sz w:val="20"/>
                <w:szCs w:val="20"/>
                <w:color w:val="auto"/>
              </w:rPr>
            </w:pPr>
            <w:r>
              <w:rPr>
                <w:rFonts w:ascii="Arial" w:cs="Arial" w:eastAsia="Arial" w:hAnsi="Arial"/>
                <w:sz w:val="18"/>
                <w:szCs w:val="18"/>
                <w:color w:val="auto"/>
              </w:rPr>
              <w:t>Senior Vice-President and 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20"/>
          </w:cols>
          <w:pgMar w:left="320" w:top="891" w:right="55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623185" cy="6083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623185" cy="6083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Supernus Announces Fourth Quarter and Full Year 2022 Financial Results</w:t>
      </w:r>
    </w:p>
    <w:p>
      <w:pPr>
        <w:spacing w:after="0" w:line="200" w:lineRule="exact"/>
        <w:rPr>
          <w:sz w:val="20"/>
          <w:szCs w:val="20"/>
          <w:color w:val="auto"/>
        </w:rPr>
      </w:pPr>
    </w:p>
    <w:p>
      <w:pPr>
        <w:spacing w:after="0" w:line="222"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Full Year 2022 total revenues of $667.2 million, a 15% increase compared to full year 2021</w:t>
      </w:r>
    </w:p>
    <w:p>
      <w:pPr>
        <w:spacing w:after="0" w:line="192" w:lineRule="exact"/>
        <w:rPr>
          <w:rFonts w:ascii="Arial" w:cs="Arial" w:eastAsia="Arial" w:hAnsi="Arial"/>
          <w:sz w:val="18"/>
          <w:szCs w:val="18"/>
          <w:color w:val="auto"/>
        </w:rPr>
      </w:pPr>
    </w:p>
    <w:p>
      <w:pPr>
        <w:ind w:left="660" w:right="380" w:hanging="328"/>
        <w:spacing w:after="0" w:line="229"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Fourth quarter 2022 Qelbree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net product sales of $23.6 million increased 29% compared to third quarter of 2022; Full year 2022 Qelbree net product sales of $61.3 million, compared to $9.9 million for full year 2021</w:t>
      </w:r>
    </w:p>
    <w:p>
      <w:pPr>
        <w:spacing w:after="0" w:line="162"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Executed a second significant pharmacy benefit manager contract for Qelbree</w:t>
      </w:r>
    </w:p>
    <w:p>
      <w:pPr>
        <w:spacing w:after="0" w:line="171" w:lineRule="exact"/>
        <w:rPr>
          <w:rFonts w:ascii="Arial" w:cs="Arial" w:eastAsia="Arial" w:hAnsi="Arial"/>
          <w:sz w:val="18"/>
          <w:szCs w:val="18"/>
          <w:color w:val="auto"/>
        </w:rPr>
      </w:pPr>
    </w:p>
    <w:p>
      <w:pPr>
        <w:ind w:left="660" w:right="860" w:hanging="328"/>
        <w:spacing w:after="0" w:line="279"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Fourth quarter 2022 GOCOVRI® net product sales of $29.2 million increased 13% compared to fourth quarter of 2021; Full year 2022 GOCOVRI net product sales of $104.4 million increased 19% compared to full year 2021</w:t>
      </w:r>
      <w:r>
        <w:rPr>
          <w:rFonts w:ascii="Arial" w:cs="Arial" w:eastAsia="Arial" w:hAnsi="Arial"/>
          <w:sz w:val="23"/>
          <w:szCs w:val="23"/>
          <w:color w:val="auto"/>
          <w:vertAlign w:val="superscript"/>
        </w:rPr>
        <w:t>1</w:t>
      </w:r>
    </w:p>
    <w:p>
      <w:pPr>
        <w:spacing w:after="0" w:line="45" w:lineRule="exact"/>
        <w:rPr>
          <w:rFonts w:ascii="Arial" w:cs="Arial" w:eastAsia="Arial" w:hAnsi="Arial"/>
          <w:sz w:val="18"/>
          <w:szCs w:val="18"/>
          <w:color w:val="auto"/>
        </w:rPr>
      </w:pPr>
    </w:p>
    <w:p>
      <w:pPr>
        <w:ind w:left="660" w:right="160" w:hanging="328"/>
        <w:spacing w:after="0" w:line="267"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Anticipates approximately 30% growth at the midpoint of full year 2023 total revenues guidance compared to full year 2022, excluding revenues of Trokendi XR</w:t>
      </w:r>
      <w:r>
        <w:rPr>
          <w:rFonts w:ascii="Arial" w:cs="Arial" w:eastAsia="Arial" w:hAnsi="Arial"/>
          <w:sz w:val="23"/>
          <w:szCs w:val="23"/>
          <w:color w:val="auto"/>
          <w:vertAlign w:val="superscript"/>
        </w:rPr>
        <w:t>®</w:t>
      </w:r>
    </w:p>
    <w:p>
      <w:pPr>
        <w:spacing w:after="0" w:line="74" w:lineRule="exact"/>
        <w:rPr>
          <w:sz w:val="20"/>
          <w:szCs w:val="20"/>
          <w:color w:val="auto"/>
        </w:rPr>
      </w:pPr>
    </w:p>
    <w:p>
      <w:pPr>
        <w:ind w:left="340"/>
        <w:spacing w:after="0"/>
        <w:rPr>
          <w:sz w:val="20"/>
          <w:szCs w:val="20"/>
          <w:color w:val="auto"/>
        </w:rPr>
      </w:pPr>
      <w:r>
        <w:rPr>
          <w:rFonts w:ascii="Arial" w:cs="Arial" w:eastAsia="Arial" w:hAnsi="Arial"/>
          <w:sz w:val="21"/>
          <w:szCs w:val="21"/>
          <w:i w:val="1"/>
          <w:iCs w:val="1"/>
          <w:color w:val="auto"/>
          <w:vertAlign w:val="superscript"/>
        </w:rPr>
        <w:t>1</w:t>
      </w:r>
      <w:r>
        <w:rPr>
          <w:rFonts w:ascii="Arial" w:cs="Arial" w:eastAsia="Arial" w:hAnsi="Arial"/>
          <w:sz w:val="16"/>
          <w:szCs w:val="16"/>
          <w:i w:val="1"/>
          <w:iCs w:val="1"/>
          <w:color w:val="auto"/>
        </w:rPr>
        <w:t>Includes net product sales reported by Adamas Pharmaceuticals prior to the acquisition of Adamas by Supernus Pharmaceuticals in November 2021.</w:t>
      </w:r>
    </w:p>
    <w:p>
      <w:pPr>
        <w:spacing w:after="0" w:line="115" w:lineRule="exact"/>
        <w:rPr>
          <w:sz w:val="20"/>
          <w:szCs w:val="20"/>
          <w:color w:val="auto"/>
        </w:rPr>
      </w:pPr>
    </w:p>
    <w:p>
      <w:pPr>
        <w:ind w:right="60"/>
        <w:spacing w:after="0" w:line="266" w:lineRule="auto"/>
        <w:rPr>
          <w:sz w:val="20"/>
          <w:szCs w:val="20"/>
          <w:color w:val="auto"/>
        </w:rPr>
      </w:pPr>
      <w:r>
        <w:rPr>
          <w:rFonts w:ascii="Arial" w:cs="Arial" w:eastAsia="Arial" w:hAnsi="Arial"/>
          <w:sz w:val="18"/>
          <w:szCs w:val="18"/>
          <w:b w:val="1"/>
          <w:bCs w:val="1"/>
          <w:color w:val="auto"/>
        </w:rPr>
        <w:t xml:space="preserve">ROCKVILLE, MD, February 28, 2023 </w:t>
      </w:r>
      <w:r>
        <w:rPr>
          <w:rFonts w:ascii="Arial" w:cs="Arial" w:eastAsia="Arial" w:hAnsi="Arial"/>
          <w:sz w:val="18"/>
          <w:szCs w:val="18"/>
          <w:color w:val="auto"/>
        </w:rPr>
        <w:t>– Supernus Pharmaceuticals, Inc. (Nasdaq: SUPN), a biopharmaceutical company focused on developing and</w:t>
      </w:r>
      <w:r>
        <w:rPr>
          <w:rFonts w:ascii="Arial" w:cs="Arial" w:eastAsia="Arial" w:hAnsi="Arial"/>
          <w:sz w:val="18"/>
          <w:szCs w:val="18"/>
          <w:b w:val="1"/>
          <w:bCs w:val="1"/>
          <w:color w:val="auto"/>
        </w:rPr>
        <w:t xml:space="preserve"> </w:t>
      </w:r>
      <w:r>
        <w:rPr>
          <w:rFonts w:ascii="Arial" w:cs="Arial" w:eastAsia="Arial" w:hAnsi="Arial"/>
          <w:sz w:val="18"/>
          <w:szCs w:val="18"/>
          <w:color w:val="auto"/>
        </w:rPr>
        <w:t>commercializing products for the treatment of central nervous system (CNS) diseases, today announced financial results for the fourth quarter and full year of 2022 and associated Company developments.</w:t>
      </w:r>
    </w:p>
    <w:p>
      <w:pPr>
        <w:spacing w:after="0" w:line="15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2022, we continued to execute on our long-term growth strategy focusing on successfully transitioning from our legacy and mature products to our growth products, and finished the year with record revenues of $667.2 million, up 15% from the prior year,” said Jack Khattar, President and CEO of Supernus. “Based on this successful transition and with a solid foundation, we are confident that our growth drivers will allow us to offset the impact coming from loss of exclusivity for Trokendi XR and position us well to drive strong revenue and non-GAAP operating income growth in 2024 and beyond.”</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Qelbree Update</w:t>
      </w:r>
    </w:p>
    <w:p>
      <w:pPr>
        <w:spacing w:after="0" w:line="189" w:lineRule="exact"/>
        <w:rPr>
          <w:sz w:val="20"/>
          <w:szCs w:val="20"/>
          <w:color w:val="auto"/>
        </w:rPr>
      </w:pPr>
    </w:p>
    <w:p>
      <w:pPr>
        <w:ind w:left="660" w:hanging="328"/>
        <w:spacing w:after="0" w:line="277"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Total IQVIA prescriptions were 117,635 in the fourth quarter of 2022, an increase of 24% compared to total prescriptions of 94,681 in the third quarter of 2022. In January 2023, the most recent month available, total prescriptions reached 42,881.</w:t>
      </w:r>
    </w:p>
    <w:p>
      <w:pPr>
        <w:spacing w:after="0" w:line="143"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Continued healthy growth in the U.S. attention-deficit hyperactivity disorder market with 2022 total number of prescriptions reaching more than 90 million, an increase of 9% compared to 2021, according to IQVIA.</w:t>
      </w:r>
    </w:p>
    <w:p>
      <w:pPr>
        <w:spacing w:after="0" w:line="129"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average wholesale acquisition cost per Qelbree prescription continued to increase in the fourth quarter of 2022, driven by increases in the average daily dose and prescription size.</w:t>
      </w:r>
    </w:p>
    <w:p>
      <w:pPr>
        <w:spacing w:after="0" w:line="129"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Executed a second significant pharmacy benefit manager contract effective January 2023, and continued making progress in securing and improving managed care coverage.</w:t>
      </w:r>
    </w:p>
    <w:p>
      <w:pPr>
        <w:spacing w:after="0" w:line="143"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Qelbree continues to expand its base of prescribers, with approximately 16,822 prescribers in the fourth quarter of 2022, up from 14,265 prescribers from the third quarter of 2022.</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 Pipeline Update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SPN-830 (apomorphine infusion device) - Continuous treatment of motor fluctuations (“off” episodes) in Parkinson's disease (PD)</w:t>
      </w:r>
    </w:p>
    <w:p>
      <w:pPr>
        <w:spacing w:after="0" w:line="212" w:lineRule="exact"/>
        <w:rPr>
          <w:sz w:val="20"/>
          <w:szCs w:val="20"/>
          <w:color w:val="auto"/>
        </w:rPr>
      </w:pPr>
    </w:p>
    <w:p>
      <w:pPr>
        <w:ind w:left="660" w:hanging="328"/>
        <w:spacing w:after="0" w:line="264" w:lineRule="auto"/>
        <w:tabs>
          <w:tab w:leader="none" w:pos="659" w:val="left"/>
        </w:tabs>
        <w:numPr>
          <w:ilvl w:val="0"/>
          <w:numId w:val="6"/>
        </w:numPr>
        <w:rPr>
          <w:rFonts w:ascii="Arial" w:cs="Arial" w:eastAsia="Arial" w:hAnsi="Arial"/>
          <w:sz w:val="19"/>
          <w:szCs w:val="19"/>
          <w:color w:val="auto"/>
        </w:rPr>
      </w:pPr>
      <w:r>
        <w:rPr>
          <w:rFonts w:ascii="Arial" w:cs="Arial" w:eastAsia="Arial" w:hAnsi="Arial"/>
          <w:sz w:val="18"/>
          <w:szCs w:val="18"/>
          <w:color w:val="auto"/>
        </w:rPr>
        <w:t>The Company will be meeting with the U.S. Food and Drug Administration (FDA) in April 2023 to discuss the Complete Response Letter received in October 2022. We will announce the timing for our resubmission after our discussion with the FDA.</w:t>
      </w:r>
    </w:p>
    <w:p>
      <w:pPr>
        <w:sectPr>
          <w:pgSz w:w="11900" w:h="16838" w:orient="portrait"/>
          <w:cols w:equalWidth="0" w:num="1">
            <w:col w:w="11240"/>
          </w:cols>
          <w:pgMar w:left="320" w:top="891" w:right="339" w:bottom="1440" w:gutter="0" w:footer="0" w:header="0"/>
        </w:sect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w:t>
      </w:r>
    </w:p>
    <w:p>
      <w:pPr>
        <w:sectPr>
          <w:pgSz w:w="11900" w:h="16838" w:orient="portrait"/>
          <w:cols w:equalWidth="0" w:num="1">
            <w:col w:w="11240"/>
          </w:cols>
          <w:pgMar w:left="320" w:top="891" w:right="339" w:bottom="1440" w:gutter="0" w:footer="0" w:header="0"/>
          <w:type w:val="continuous"/>
        </w:sectPr>
      </w:pPr>
    </w:p>
    <w:bookmarkStart w:id="4" w:name="page5"/>
    <w:bookmarkEnd w:id="4"/>
    <w:p>
      <w:pPr>
        <w:spacing w:after="0"/>
        <w:rPr>
          <w:sz w:val="20"/>
          <w:szCs w:val="20"/>
          <w:color w:val="auto"/>
        </w:rPr>
      </w:pPr>
      <w:r>
        <w:rPr>
          <w:rFonts w:ascii="Arial" w:cs="Arial" w:eastAsia="Arial" w:hAnsi="Arial"/>
          <w:sz w:val="18"/>
          <w:szCs w:val="18"/>
          <w:i w:val="1"/>
          <w:iCs w:val="1"/>
          <w:color w:val="auto"/>
        </w:rPr>
        <w:t>SPN-820 - Novel first-in-class activator of mTORC1</w:t>
      </w:r>
    </w:p>
    <w:p>
      <w:pPr>
        <w:spacing w:after="0" w:line="198" w:lineRule="exact"/>
        <w:rPr>
          <w:sz w:val="20"/>
          <w:szCs w:val="20"/>
          <w:color w:val="auto"/>
        </w:rPr>
      </w:pPr>
    </w:p>
    <w:p>
      <w:pPr>
        <w:jc w:val="both"/>
        <w:ind w:left="660" w:hanging="328"/>
        <w:spacing w:after="0" w:line="259"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Phase II multi-center, randomized double-blind placebo-controlled parallel design study of SPN-820 in adults with treatment-resistant depression is ongoing. The study will examine the efficacy and safety of SPN-820 over a course of five weeks of treatment in approximately 270 patients. The primary outcome measure is the change from baseline to end of treatment period on the Montgomery-Asberg Depression Rating Scale (MADRS) Total Score, a standard depression rating scale.</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SPN-817 – A novel product candidate for the treatment of epilepsy</w:t>
      </w:r>
    </w:p>
    <w:p>
      <w:pPr>
        <w:spacing w:after="0" w:line="185" w:lineRule="exact"/>
        <w:rPr>
          <w:sz w:val="20"/>
          <w:szCs w:val="20"/>
          <w:color w:val="auto"/>
        </w:rPr>
      </w:pPr>
    </w:p>
    <w:p>
      <w:pPr>
        <w:ind w:left="660" w:hanging="328"/>
        <w:spacing w:after="0" w:line="277"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Company has commenced an open-label Phase II clinical study of SPN-817 in patients with treatment-resistant seizures. Depending on the rate of enrollment, the Company expects to have data in the first half of 2024.</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Highlights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Product Sales</w:t>
      </w:r>
    </w:p>
    <w:p>
      <w:pPr>
        <w:spacing w:after="0" w:line="18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the three months ended December 31, 2022, net product sales were $163.8 million, a 6% increase over net product sales of $155.0 million for the same period in 2021. For the full year ended December 31, 2022, net product sales were $649.4 million, a 14% increase over net product sales of $567.5 million for the same period in 2021. The increases in both periods were primarily due to net product sales of GOCOVRI and growth in net product sales of Qelbree.</w:t>
      </w:r>
    </w:p>
    <w:p>
      <w:pPr>
        <w:spacing w:after="0" w:line="160" w:lineRule="exact"/>
        <w:rPr>
          <w:sz w:val="20"/>
          <w:szCs w:val="20"/>
          <w:color w:val="auto"/>
        </w:rPr>
      </w:pPr>
    </w:p>
    <w:p>
      <w:pPr>
        <w:jc w:val="both"/>
        <w:spacing w:after="0" w:line="269" w:lineRule="auto"/>
        <w:rPr>
          <w:sz w:val="20"/>
          <w:szCs w:val="20"/>
          <w:color w:val="auto"/>
        </w:rPr>
      </w:pPr>
      <w:r>
        <w:rPr>
          <w:rFonts w:ascii="Arial" w:cs="Arial" w:eastAsia="Arial" w:hAnsi="Arial"/>
          <w:sz w:val="18"/>
          <w:szCs w:val="18"/>
          <w:color w:val="auto"/>
        </w:rPr>
        <w:t>The following table provides information regarding net product sales during the three months and full year ended December 31, 2022 and 2021 (dollars in millions):</w:t>
      </w:r>
    </w:p>
    <w:tbl>
      <w:tblPr>
        <w:tblLayout w:type="fixed"/>
        <w:tblInd w:w="0" w:type="dxa"/>
        <w:tblCellMar>
          <w:top w:w="0" w:type="dxa"/>
          <w:left w:w="0" w:type="dxa"/>
          <w:bottom w:w="0" w:type="dxa"/>
          <w:right w:w="0" w:type="dxa"/>
        </w:tblCellMar>
      </w:tblPr>
      <w:tr>
        <w:trPr>
          <w:trHeight w:val="144"/>
        </w:trPr>
        <w:tc>
          <w:tcPr>
            <w:tcW w:w="3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60" w:type="dxa"/>
            <w:vAlign w:val="bottom"/>
            <w:gridSpan w:val="4"/>
          </w:tcPr>
          <w:p>
            <w:pPr>
              <w:jc w:val="right"/>
              <w:ind w:right="532"/>
              <w:spacing w:after="0" w:line="145" w:lineRule="exact"/>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500" w:type="dxa"/>
            <w:vAlign w:val="bottom"/>
            <w:gridSpan w:val="3"/>
          </w:tcPr>
          <w:p>
            <w:pPr>
              <w:jc w:val="right"/>
              <w:spacing w:after="0" w:line="145" w:lineRule="exact"/>
              <w:rPr>
                <w:sz w:val="20"/>
                <w:szCs w:val="20"/>
                <w:color w:val="auto"/>
              </w:rPr>
            </w:pPr>
            <w:r>
              <w:rPr>
                <w:rFonts w:ascii="Arial" w:cs="Arial" w:eastAsia="Arial" w:hAnsi="Arial"/>
                <w:sz w:val="14"/>
                <w:szCs w:val="14"/>
                <w:b w:val="1"/>
                <w:bCs w:val="1"/>
                <w:color w:val="auto"/>
              </w:rPr>
              <w:t>Full Year Ended</w:t>
            </w: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r>
      <w:tr>
        <w:trPr>
          <w:trHeight w:val="196"/>
        </w:trPr>
        <w:tc>
          <w:tcPr>
            <w:tcW w:w="36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8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December 31,</w:t>
            </w:r>
          </w:p>
        </w:tc>
        <w:tc>
          <w:tcPr>
            <w:tcW w:w="7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r>
      <w:tr>
        <w:trPr>
          <w:trHeight w:val="196"/>
        </w:trPr>
        <w:tc>
          <w:tcPr>
            <w:tcW w:w="36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7"/>
                <w:szCs w:val="17"/>
                <w:color w:val="auto"/>
              </w:rPr>
            </w:pPr>
          </w:p>
        </w:tc>
        <w:tc>
          <w:tcPr>
            <w:tcW w:w="1100" w:type="dxa"/>
            <w:vAlign w:val="bottom"/>
            <w:tcBorders>
              <w:bottom w:val="single" w:sz="8" w:color="auto"/>
            </w:tcBorders>
          </w:tcPr>
          <w:p>
            <w:pPr>
              <w:ind w:left="220"/>
              <w:spacing w:after="0"/>
              <w:rPr>
                <w:sz w:val="20"/>
                <w:szCs w:val="20"/>
                <w:color w:val="auto"/>
              </w:rPr>
            </w:pPr>
            <w:r>
              <w:rPr>
                <w:rFonts w:ascii="Arial" w:cs="Arial" w:eastAsia="Arial" w:hAnsi="Arial"/>
                <w:sz w:val="14"/>
                <w:szCs w:val="14"/>
                <w:b w:val="1"/>
                <w:bCs w:val="1"/>
                <w:color w:val="auto"/>
              </w:rPr>
              <w:t>Change %</w:t>
            </w:r>
          </w:p>
        </w:tc>
        <w:tc>
          <w:tcPr>
            <w:tcW w:w="8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bottom w:val="single" w:sz="8" w:color="CCEEFF"/>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w w:val="83"/>
              </w:rPr>
              <w:t>2021</w:t>
            </w:r>
          </w:p>
        </w:tc>
        <w:tc>
          <w:tcPr>
            <w:tcW w:w="100" w:type="dxa"/>
            <w:vAlign w:val="bottom"/>
            <w:tcBorders>
              <w:bottom w:val="single" w:sz="8" w:color="CCEEFF"/>
            </w:tcBorders>
          </w:tcPr>
          <w:p>
            <w:pPr>
              <w:spacing w:after="0"/>
              <w:rPr>
                <w:sz w:val="17"/>
                <w:szCs w:val="17"/>
                <w:color w:val="auto"/>
              </w:rPr>
            </w:pPr>
          </w:p>
        </w:tc>
        <w:tc>
          <w:tcPr>
            <w:tcW w:w="1080" w:type="dxa"/>
            <w:vAlign w:val="bottom"/>
            <w:tcBorders>
              <w:bottom w:val="single" w:sz="8" w:color="auto"/>
            </w:tcBorders>
          </w:tcPr>
          <w:p>
            <w:pPr>
              <w:ind w:left="220"/>
              <w:spacing w:after="0"/>
              <w:rPr>
                <w:sz w:val="20"/>
                <w:szCs w:val="20"/>
                <w:color w:val="auto"/>
              </w:rPr>
            </w:pPr>
            <w:r>
              <w:rPr>
                <w:rFonts w:ascii="Arial" w:cs="Arial" w:eastAsia="Arial" w:hAnsi="Arial"/>
                <w:sz w:val="14"/>
                <w:szCs w:val="14"/>
                <w:b w:val="1"/>
                <w:bCs w:val="1"/>
                <w:color w:val="auto"/>
              </w:rPr>
              <w:t>Change %</w:t>
            </w:r>
          </w:p>
        </w:tc>
      </w:tr>
      <w:tr>
        <w:trPr>
          <w:trHeight w:val="216"/>
        </w:trPr>
        <w:tc>
          <w:tcPr>
            <w:tcW w:w="3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product sales</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29"/>
        </w:trPr>
        <w:tc>
          <w:tcPr>
            <w:tcW w:w="3620" w:type="dxa"/>
            <w:vAlign w:val="bottom"/>
          </w:tcPr>
          <w:p>
            <w:pPr>
              <w:ind w:left="140"/>
              <w:spacing w:after="0" w:line="230" w:lineRule="exact"/>
              <w:rPr>
                <w:sz w:val="20"/>
                <w:szCs w:val="20"/>
                <w:color w:val="auto"/>
              </w:rPr>
            </w:pPr>
            <w:r>
              <w:rPr>
                <w:rFonts w:ascii="Arial" w:cs="Arial" w:eastAsia="Arial" w:hAnsi="Arial"/>
                <w:sz w:val="18"/>
                <w:szCs w:val="18"/>
                <w:color w:val="auto"/>
              </w:rPr>
              <w:t>Trokendi XR</w:t>
            </w:r>
            <w:r>
              <w:rPr>
                <w:rFonts w:ascii="Arial" w:cs="Arial" w:eastAsia="Arial" w:hAnsi="Arial"/>
                <w:sz w:val="23"/>
                <w:szCs w:val="23"/>
                <w:color w:val="auto"/>
                <w:vertAlign w:val="superscript"/>
              </w:rPr>
              <w:t>®</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57.2</w:t>
            </w:r>
          </w:p>
        </w:tc>
        <w:tc>
          <w:tcPr>
            <w:tcW w:w="100" w:type="dxa"/>
            <w:vAlign w:val="bottom"/>
          </w:tcPr>
          <w:p>
            <w:pPr>
              <w:spacing w:after="0"/>
              <w:rPr>
                <w:sz w:val="19"/>
                <w:szCs w:val="19"/>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73.3</w:t>
            </w:r>
          </w:p>
        </w:tc>
        <w:tc>
          <w:tcPr>
            <w:tcW w:w="1200" w:type="dxa"/>
            <w:vAlign w:val="bottom"/>
            <w:gridSpan w:val="2"/>
          </w:tcPr>
          <w:p>
            <w:pPr>
              <w:jc w:val="center"/>
              <w:ind w:left="10"/>
              <w:spacing w:after="0"/>
              <w:rPr>
                <w:sz w:val="20"/>
                <w:szCs w:val="20"/>
                <w:color w:val="auto"/>
              </w:rPr>
            </w:pPr>
            <w:r>
              <w:rPr>
                <w:rFonts w:ascii="Arial" w:cs="Arial" w:eastAsia="Arial" w:hAnsi="Arial"/>
                <w:sz w:val="18"/>
                <w:szCs w:val="18"/>
                <w:color w:val="auto"/>
                <w:w w:val="95"/>
              </w:rPr>
              <w:t>(22)%</w:t>
            </w:r>
          </w:p>
        </w:tc>
        <w:tc>
          <w:tcPr>
            <w:tcW w:w="8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261.2</w:t>
            </w:r>
          </w:p>
        </w:tc>
        <w:tc>
          <w:tcPr>
            <w:tcW w:w="80" w:type="dxa"/>
            <w:vAlign w:val="bottom"/>
          </w:tcPr>
          <w:p>
            <w:pPr>
              <w:spacing w:after="0"/>
              <w:rPr>
                <w:sz w:val="19"/>
                <w:szCs w:val="19"/>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304.8</w:t>
            </w:r>
          </w:p>
        </w:tc>
        <w:tc>
          <w:tcPr>
            <w:tcW w:w="1180" w:type="dxa"/>
            <w:vAlign w:val="bottom"/>
            <w:gridSpan w:val="2"/>
          </w:tcPr>
          <w:p>
            <w:pPr>
              <w:jc w:val="center"/>
              <w:ind w:left="10"/>
              <w:spacing w:after="0"/>
              <w:rPr>
                <w:sz w:val="20"/>
                <w:szCs w:val="20"/>
                <w:color w:val="auto"/>
              </w:rPr>
            </w:pPr>
            <w:r>
              <w:rPr>
                <w:rFonts w:ascii="Arial" w:cs="Arial" w:eastAsia="Arial" w:hAnsi="Arial"/>
                <w:sz w:val="18"/>
                <w:szCs w:val="18"/>
                <w:color w:val="auto"/>
                <w:w w:val="91"/>
              </w:rPr>
              <w:t>(14)%</w:t>
            </w:r>
          </w:p>
        </w:tc>
      </w:tr>
      <w:tr>
        <w:trPr>
          <w:trHeight w:val="230"/>
        </w:trPr>
        <w:tc>
          <w:tcPr>
            <w:tcW w:w="3620" w:type="dxa"/>
            <w:vAlign w:val="bottom"/>
            <w:shd w:val="clear" w:color="auto" w:fill="CCEEFF"/>
          </w:tcPr>
          <w:p>
            <w:pPr>
              <w:ind w:left="140"/>
              <w:spacing w:after="0" w:line="230" w:lineRule="exact"/>
              <w:rPr>
                <w:sz w:val="20"/>
                <w:szCs w:val="20"/>
                <w:color w:val="auto"/>
              </w:rPr>
            </w:pPr>
            <w:r>
              <w:rPr>
                <w:rFonts w:ascii="Arial" w:cs="Arial" w:eastAsia="Arial" w:hAnsi="Arial"/>
                <w:sz w:val="18"/>
                <w:szCs w:val="18"/>
                <w:color w:val="auto"/>
              </w:rPr>
              <w:t>Oxtellar XR</w:t>
            </w:r>
            <w:r>
              <w:rPr>
                <w:rFonts w:ascii="Arial" w:cs="Arial" w:eastAsia="Arial" w:hAnsi="Arial"/>
                <w:sz w:val="23"/>
                <w:szCs w:val="23"/>
                <w:color w:val="auto"/>
                <w:vertAlign w:val="superscript"/>
              </w:rPr>
              <w:t>®</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w:t>
            </w:r>
          </w:p>
        </w:tc>
        <w:tc>
          <w:tcPr>
            <w:tcW w:w="120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4"/>
              </w:rPr>
              <w:t>(4)%</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115.4</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110.7</w:t>
            </w:r>
          </w:p>
        </w:tc>
        <w:tc>
          <w:tcPr>
            <w:tcW w:w="118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2"/>
              </w:rPr>
              <w:t>4%</w:t>
            </w:r>
          </w:p>
        </w:tc>
      </w:tr>
      <w:tr>
        <w:trPr>
          <w:trHeight w:val="230"/>
        </w:trPr>
        <w:tc>
          <w:tcPr>
            <w:tcW w:w="3620" w:type="dxa"/>
            <w:vAlign w:val="bottom"/>
          </w:tcPr>
          <w:p>
            <w:pPr>
              <w:ind w:left="140"/>
              <w:spacing w:after="0" w:line="230" w:lineRule="exact"/>
              <w:rPr>
                <w:sz w:val="20"/>
                <w:szCs w:val="20"/>
                <w:color w:val="auto"/>
              </w:rPr>
            </w:pPr>
            <w:r>
              <w:rPr>
                <w:rFonts w:ascii="Arial" w:cs="Arial" w:eastAsia="Arial" w:hAnsi="Arial"/>
                <w:sz w:val="18"/>
                <w:szCs w:val="18"/>
                <w:color w:val="auto"/>
              </w:rPr>
              <w:t>GOCOVRI</w:t>
            </w:r>
            <w:r>
              <w:rPr>
                <w:rFonts w:ascii="Arial" w:cs="Arial" w:eastAsia="Arial" w:hAnsi="Arial"/>
                <w:sz w:val="23"/>
                <w:szCs w:val="23"/>
                <w:color w:val="auto"/>
                <w:vertAlign w:val="superscript"/>
              </w:rPr>
              <w:t>(1)</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29.2</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9.8</w:t>
            </w:r>
          </w:p>
        </w:tc>
        <w:tc>
          <w:tcPr>
            <w:tcW w:w="1200" w:type="dxa"/>
            <w:vAlign w:val="bottom"/>
            <w:gridSpan w:val="2"/>
          </w:tcPr>
          <w:p>
            <w:pPr>
              <w:jc w:val="center"/>
              <w:ind w:left="1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104.4</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9.8</w:t>
            </w:r>
          </w:p>
        </w:tc>
        <w:tc>
          <w:tcPr>
            <w:tcW w:w="1180" w:type="dxa"/>
            <w:vAlign w:val="bottom"/>
            <w:gridSpan w:val="2"/>
          </w:tcPr>
          <w:p>
            <w:pPr>
              <w:jc w:val="center"/>
              <w:spacing w:after="0"/>
              <w:rPr>
                <w:sz w:val="20"/>
                <w:szCs w:val="20"/>
                <w:color w:val="auto"/>
              </w:rPr>
            </w:pPr>
            <w:r>
              <w:rPr>
                <w:rFonts w:ascii="Arial" w:cs="Arial" w:eastAsia="Arial" w:hAnsi="Arial"/>
                <w:sz w:val="18"/>
                <w:szCs w:val="18"/>
                <w:color w:val="auto"/>
              </w:rPr>
              <w:t>**</w:t>
            </w:r>
          </w:p>
        </w:tc>
      </w:tr>
      <w:tr>
        <w:trPr>
          <w:trHeight w:val="230"/>
        </w:trPr>
        <w:tc>
          <w:tcPr>
            <w:tcW w:w="36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Qelbree</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120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1"/>
              </w:rPr>
              <w:t>228%</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61.3</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118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1"/>
              </w:rPr>
              <w:t>519%</w:t>
            </w:r>
          </w:p>
        </w:tc>
      </w:tr>
      <w:tr>
        <w:trPr>
          <w:trHeight w:val="229"/>
        </w:trPr>
        <w:tc>
          <w:tcPr>
            <w:tcW w:w="3620" w:type="dxa"/>
            <w:vAlign w:val="bottom"/>
          </w:tcPr>
          <w:p>
            <w:pPr>
              <w:ind w:left="140"/>
              <w:spacing w:after="0" w:line="230" w:lineRule="exact"/>
              <w:rPr>
                <w:sz w:val="20"/>
                <w:szCs w:val="20"/>
                <w:color w:val="auto"/>
              </w:rPr>
            </w:pPr>
            <w:r>
              <w:rPr>
                <w:rFonts w:ascii="Arial" w:cs="Arial" w:eastAsia="Arial" w:hAnsi="Arial"/>
                <w:sz w:val="18"/>
                <w:szCs w:val="18"/>
                <w:color w:val="auto"/>
              </w:rPr>
              <w:t>APOKYN</w:t>
            </w:r>
            <w:r>
              <w:rPr>
                <w:rFonts w:ascii="Arial" w:cs="Arial" w:eastAsia="Arial" w:hAnsi="Arial"/>
                <w:sz w:val="23"/>
                <w:szCs w:val="23"/>
                <w:color w:val="auto"/>
                <w:vertAlign w:val="superscript"/>
              </w:rPr>
              <w:t>®</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18.1</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25.9</w:t>
            </w:r>
          </w:p>
        </w:tc>
        <w:tc>
          <w:tcPr>
            <w:tcW w:w="1200" w:type="dxa"/>
            <w:vAlign w:val="bottom"/>
            <w:gridSpan w:val="2"/>
          </w:tcPr>
          <w:p>
            <w:pPr>
              <w:jc w:val="center"/>
              <w:ind w:left="10"/>
              <w:spacing w:after="0"/>
              <w:rPr>
                <w:sz w:val="20"/>
                <w:szCs w:val="20"/>
                <w:color w:val="auto"/>
              </w:rPr>
            </w:pPr>
            <w:r>
              <w:rPr>
                <w:rFonts w:ascii="Arial" w:cs="Arial" w:eastAsia="Arial" w:hAnsi="Arial"/>
                <w:sz w:val="18"/>
                <w:szCs w:val="18"/>
                <w:color w:val="auto"/>
                <w:w w:val="95"/>
              </w:rPr>
              <w:t>(30)%</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75.3</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99.2</w:t>
            </w:r>
          </w:p>
        </w:tc>
        <w:tc>
          <w:tcPr>
            <w:tcW w:w="1180" w:type="dxa"/>
            <w:vAlign w:val="bottom"/>
            <w:gridSpan w:val="2"/>
          </w:tcPr>
          <w:p>
            <w:pPr>
              <w:jc w:val="center"/>
              <w:ind w:left="10"/>
              <w:spacing w:after="0"/>
              <w:rPr>
                <w:sz w:val="20"/>
                <w:szCs w:val="20"/>
                <w:color w:val="auto"/>
              </w:rPr>
            </w:pPr>
            <w:r>
              <w:rPr>
                <w:rFonts w:ascii="Arial" w:cs="Arial" w:eastAsia="Arial" w:hAnsi="Arial"/>
                <w:sz w:val="18"/>
                <w:szCs w:val="18"/>
                <w:color w:val="auto"/>
                <w:w w:val="91"/>
              </w:rPr>
              <w:t>(24)%</w:t>
            </w:r>
          </w:p>
        </w:tc>
      </w:tr>
      <w:tr>
        <w:trPr>
          <w:trHeight w:val="230"/>
        </w:trPr>
        <w:tc>
          <w:tcPr>
            <w:tcW w:w="3620" w:type="dxa"/>
            <w:vAlign w:val="bottom"/>
            <w:shd w:val="clear" w:color="auto" w:fill="CCEEFF"/>
          </w:tcPr>
          <w:p>
            <w:pPr>
              <w:ind w:left="140"/>
              <w:spacing w:after="0" w:line="230" w:lineRule="exact"/>
              <w:rPr>
                <w:sz w:val="20"/>
                <w:szCs w:val="20"/>
                <w:color w:val="auto"/>
              </w:rPr>
            </w:pPr>
            <w:r>
              <w:rPr>
                <w:rFonts w:ascii="Arial" w:cs="Arial" w:eastAsia="Arial" w:hAnsi="Arial"/>
                <w:sz w:val="18"/>
                <w:szCs w:val="18"/>
                <w:color w:val="auto"/>
              </w:rPr>
              <w:t>Other</w:t>
            </w:r>
            <w:r>
              <w:rPr>
                <w:rFonts w:ascii="Arial" w:cs="Arial" w:eastAsia="Arial" w:hAnsi="Arial"/>
                <w:sz w:val="23"/>
                <w:szCs w:val="23"/>
                <w:color w:val="auto"/>
                <w:vertAlign w:val="superscript"/>
              </w:rPr>
              <w:t>(2)</w:t>
            </w:r>
          </w:p>
        </w:tc>
        <w:tc>
          <w:tcPr>
            <w:tcW w:w="2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120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5"/>
              </w:rPr>
              <w:t>(19)%</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31.8</w:t>
            </w:r>
          </w:p>
        </w:tc>
        <w:tc>
          <w:tcPr>
            <w:tcW w:w="8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33.1</w:t>
            </w:r>
          </w:p>
        </w:tc>
        <w:tc>
          <w:tcPr>
            <w:tcW w:w="118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4"/>
              </w:rPr>
              <w:t>(4)%</w:t>
            </w:r>
          </w:p>
        </w:tc>
      </w:tr>
      <w:tr>
        <w:trPr>
          <w:trHeight w:val="223"/>
        </w:trPr>
        <w:tc>
          <w:tcPr>
            <w:tcW w:w="3620" w:type="dxa"/>
            <w:vAlign w:val="bottom"/>
          </w:tcPr>
          <w:p>
            <w:pPr>
              <w:ind w:left="20"/>
              <w:spacing w:after="0"/>
              <w:rPr>
                <w:sz w:val="20"/>
                <w:szCs w:val="20"/>
                <w:color w:val="auto"/>
              </w:rPr>
            </w:pPr>
            <w:r>
              <w:rPr>
                <w:rFonts w:ascii="Arial" w:cs="Arial" w:eastAsia="Arial" w:hAnsi="Arial"/>
                <w:sz w:val="18"/>
                <w:szCs w:val="18"/>
                <w:color w:val="auto"/>
              </w:rPr>
              <w:t>Total net product sales</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163.8</w:t>
            </w:r>
          </w:p>
        </w:tc>
        <w:tc>
          <w:tcPr>
            <w:tcW w:w="100" w:type="dxa"/>
            <w:vAlign w:val="bottom"/>
          </w:tcPr>
          <w:p>
            <w:pPr>
              <w:spacing w:after="0"/>
              <w:rPr>
                <w:sz w:val="19"/>
                <w:szCs w:val="19"/>
                <w:color w:val="auto"/>
              </w:rPr>
            </w:pPr>
          </w:p>
        </w:tc>
        <w:tc>
          <w:tcPr>
            <w:tcW w:w="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155.0</w:t>
            </w:r>
          </w:p>
        </w:tc>
        <w:tc>
          <w:tcPr>
            <w:tcW w:w="1200" w:type="dxa"/>
            <w:vAlign w:val="bottom"/>
            <w:gridSpan w:val="2"/>
          </w:tcPr>
          <w:p>
            <w:pPr>
              <w:jc w:val="center"/>
              <w:spacing w:after="0"/>
              <w:rPr>
                <w:sz w:val="20"/>
                <w:szCs w:val="20"/>
                <w:color w:val="auto"/>
              </w:rPr>
            </w:pPr>
            <w:r>
              <w:rPr>
                <w:rFonts w:ascii="Arial" w:cs="Arial" w:eastAsia="Arial" w:hAnsi="Arial"/>
                <w:sz w:val="18"/>
                <w:szCs w:val="18"/>
                <w:color w:val="auto"/>
                <w:w w:val="92"/>
              </w:rPr>
              <w:t>6%</w:t>
            </w:r>
          </w:p>
        </w:tc>
        <w:tc>
          <w:tcPr>
            <w:tcW w:w="8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649.4</w:t>
            </w:r>
          </w:p>
        </w:tc>
        <w:tc>
          <w:tcPr>
            <w:tcW w:w="80" w:type="dxa"/>
            <w:vAlign w:val="bottom"/>
          </w:tcPr>
          <w:p>
            <w:pPr>
              <w:spacing w:after="0"/>
              <w:rPr>
                <w:sz w:val="19"/>
                <w:szCs w:val="19"/>
                <w:color w:val="auto"/>
              </w:rPr>
            </w:pPr>
          </w:p>
        </w:tc>
        <w:tc>
          <w:tcPr>
            <w:tcW w:w="4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567.5</w:t>
            </w:r>
          </w:p>
        </w:tc>
        <w:tc>
          <w:tcPr>
            <w:tcW w:w="1180" w:type="dxa"/>
            <w:vAlign w:val="bottom"/>
            <w:gridSpan w:val="2"/>
          </w:tcPr>
          <w:p>
            <w:pPr>
              <w:jc w:val="center"/>
              <w:ind w:left="10"/>
              <w:spacing w:after="0"/>
              <w:rPr>
                <w:sz w:val="20"/>
                <w:szCs w:val="20"/>
                <w:color w:val="auto"/>
              </w:rPr>
            </w:pPr>
            <w:r>
              <w:rPr>
                <w:rFonts w:ascii="Arial" w:cs="Arial" w:eastAsia="Arial" w:hAnsi="Arial"/>
                <w:sz w:val="18"/>
                <w:szCs w:val="18"/>
                <w:color w:val="auto"/>
                <w:w w:val="88"/>
              </w:rPr>
              <w:t>14%</w:t>
            </w:r>
          </w:p>
        </w:tc>
      </w:tr>
      <w:tr>
        <w:trPr>
          <w:trHeight w:val="21"/>
        </w:trPr>
        <w:tc>
          <w:tcPr>
            <w:tcW w:w="36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bl>
    <w:p>
      <w:pPr>
        <w:spacing w:after="0" w:line="62"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w:t>
      </w:r>
    </w:p>
    <w:p>
      <w:pPr>
        <w:ind w:left="340" w:hanging="170"/>
        <w:spacing w:after="0" w:line="236" w:lineRule="auto"/>
        <w:tabs>
          <w:tab w:leader="none" w:pos="340" w:val="left"/>
        </w:tabs>
        <w:numPr>
          <w:ilvl w:val="0"/>
          <w:numId w:val="9"/>
        </w:numPr>
        <w:rPr>
          <w:rFonts w:ascii="Arial" w:cs="Arial" w:eastAsia="Arial" w:hAnsi="Arial"/>
          <w:sz w:val="20"/>
          <w:szCs w:val="20"/>
          <w:color w:val="auto"/>
          <w:vertAlign w:val="superscript"/>
        </w:rPr>
      </w:pPr>
      <w:r>
        <w:rPr>
          <w:rFonts w:ascii="Arial" w:cs="Arial" w:eastAsia="Arial" w:hAnsi="Arial"/>
          <w:sz w:val="15"/>
          <w:szCs w:val="15"/>
          <w:color w:val="auto"/>
        </w:rPr>
        <w:t>Net product sales as of the acquisition of Adamas Pharmaceuticals, Inc. by the Company (the "Adamas Acquisition") in November 2021.</w:t>
      </w:r>
    </w:p>
    <w:p>
      <w:pPr>
        <w:ind w:left="340" w:hanging="170"/>
        <w:spacing w:after="0" w:line="192" w:lineRule="auto"/>
        <w:tabs>
          <w:tab w:leader="none" w:pos="340" w:val="left"/>
        </w:tabs>
        <w:numPr>
          <w:ilvl w:val="0"/>
          <w:numId w:val="9"/>
        </w:numPr>
        <w:rPr>
          <w:rFonts w:ascii="Arial" w:cs="Arial" w:eastAsia="Arial" w:hAnsi="Arial"/>
          <w:sz w:val="20"/>
          <w:szCs w:val="20"/>
          <w:color w:val="auto"/>
          <w:vertAlign w:val="superscript"/>
        </w:rPr>
      </w:pPr>
      <w:r>
        <w:rPr>
          <w:rFonts w:ascii="Arial" w:cs="Arial" w:eastAsia="Arial" w:hAnsi="Arial"/>
          <w:sz w:val="16"/>
          <w:szCs w:val="16"/>
          <w:color w:val="auto"/>
        </w:rPr>
        <w:t>Includes net product sales of MYOBLOC</w:t>
      </w:r>
      <w:r>
        <w:rPr>
          <w:rFonts w:ascii="Arial" w:cs="Arial" w:eastAsia="Arial" w:hAnsi="Arial"/>
          <w:sz w:val="22"/>
          <w:szCs w:val="22"/>
          <w:color w:val="auto"/>
          <w:vertAlign w:val="superscript"/>
        </w:rPr>
        <w:t>®</w:t>
      </w:r>
      <w:r>
        <w:rPr>
          <w:rFonts w:ascii="Arial" w:cs="Arial" w:eastAsia="Arial" w:hAnsi="Arial"/>
          <w:sz w:val="16"/>
          <w:szCs w:val="16"/>
          <w:color w:val="auto"/>
        </w:rPr>
        <w:t>, XADAGO</w:t>
      </w:r>
      <w:r>
        <w:rPr>
          <w:rFonts w:ascii="Arial" w:cs="Arial" w:eastAsia="Arial" w:hAnsi="Arial"/>
          <w:sz w:val="22"/>
          <w:szCs w:val="22"/>
          <w:color w:val="auto"/>
          <w:vertAlign w:val="superscript"/>
        </w:rPr>
        <w:t>®</w:t>
      </w:r>
      <w:r>
        <w:rPr>
          <w:rFonts w:ascii="Arial" w:cs="Arial" w:eastAsia="Arial" w:hAnsi="Arial"/>
          <w:sz w:val="16"/>
          <w:szCs w:val="16"/>
          <w:color w:val="auto"/>
        </w:rPr>
        <w:t xml:space="preserve"> and Osmolex ER</w:t>
      </w:r>
      <w:r>
        <w:rPr>
          <w:rFonts w:ascii="Arial" w:cs="Arial" w:eastAsia="Arial" w:hAnsi="Arial"/>
          <w:sz w:val="22"/>
          <w:szCs w:val="22"/>
          <w:color w:val="auto"/>
          <w:vertAlign w:val="superscript"/>
        </w:rPr>
        <w:t>®</w:t>
      </w:r>
      <w:r>
        <w:rPr>
          <w:rFonts w:ascii="Arial" w:cs="Arial" w:eastAsia="Arial" w:hAnsi="Arial"/>
          <w:sz w:val="16"/>
          <w:szCs w:val="16"/>
          <w:color w:val="auto"/>
        </w:rPr>
        <w:t>.</w:t>
      </w:r>
    </w:p>
    <w:p>
      <w:pPr>
        <w:ind w:left="180"/>
        <w:spacing w:after="0"/>
        <w:rPr>
          <w:sz w:val="20"/>
          <w:szCs w:val="20"/>
          <w:color w:val="auto"/>
        </w:rPr>
      </w:pPr>
      <w:r>
        <w:rPr>
          <w:rFonts w:ascii="Arial" w:cs="Arial" w:eastAsia="Arial" w:hAnsi="Arial"/>
          <w:sz w:val="16"/>
          <w:szCs w:val="16"/>
          <w:color w:val="auto"/>
        </w:rPr>
        <w:t>** Percentage not meaningful for comparative purposes since net product sales for 2021 included revenues from date of Adamas Acquisition.</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earnings (GAAP and non-GAAP)</w:t>
      </w:r>
    </w:p>
    <w:p>
      <w:pPr>
        <w:spacing w:after="0" w:line="185"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For the three months ended December 31, 2022, operating earnings (GAAP) was $34.3 million, as compared to operating earnings (GAAP) of $6.1 million for the same period in 2021. The increase was primarily due to full quarter net product sales of the commercial products acquired through the Adamas Acquisition and decreased selling, general and administrative expense due to the Adamas Acquisition-related costs incurred in 2021. For the full year ended December 31, 2022 operating earnings (GAAP) were $46.1 million, as compared to $86.0 million for the same period in 2021. The decrease was primarily due to activities to support the launch of Qelbree to the adult population and amortization of acquired intangible assets from the Adamas Acquisition.</w:t>
      </w:r>
    </w:p>
    <w:p>
      <w:pPr>
        <w:spacing w:after="0" w:line="15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For the three months ended December 31, 2022, adjusted operating earnings (non-GAAP) were $57.6 million, compared to $46.2 million in the fourth quarter of 2021. For the full year ended December 31, 2022, adjusted operating earnings (non-GAAP) were $148.8 million, compared to $167.3 million for the same period of 2021.</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320" w:top="1070"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Reconciliation of GAAP to Non-GAAP Adjustments</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An itemized reconciliation between operating earnings on a GAAP basis and operating earnings on a non-GAAP basis is as follows (dollars in millions):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00" w:type="dxa"/>
            <w:vAlign w:val="bottom"/>
          </w:tcPr>
          <w:p>
            <w:pPr>
              <w:spacing w:after="0"/>
              <w:rPr>
                <w:sz w:val="14"/>
                <w:szCs w:val="14"/>
                <w:color w:val="auto"/>
              </w:rPr>
            </w:pPr>
          </w:p>
        </w:tc>
        <w:tc>
          <w:tcPr>
            <w:tcW w:w="2260" w:type="dxa"/>
            <w:vAlign w:val="bottom"/>
            <w:gridSpan w:val="4"/>
          </w:tcPr>
          <w:p>
            <w:pPr>
              <w:jc w:val="right"/>
              <w:ind w:right="156"/>
              <w:spacing w:after="0"/>
              <w:rPr>
                <w:sz w:val="20"/>
                <w:szCs w:val="20"/>
                <w:color w:val="auto"/>
              </w:rPr>
            </w:pPr>
            <w:r>
              <w:rPr>
                <w:rFonts w:ascii="Arial" w:cs="Arial" w:eastAsia="Arial" w:hAnsi="Arial"/>
                <w:sz w:val="14"/>
                <w:szCs w:val="14"/>
                <w:b w:val="1"/>
                <w:bCs w:val="1"/>
                <w:color w:val="auto"/>
              </w:rPr>
              <w:t>Three Months Ended</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580" w:type="dxa"/>
            <w:vAlign w:val="bottom"/>
            <w:gridSpan w:val="3"/>
          </w:tcPr>
          <w:p>
            <w:pPr>
              <w:ind w:left="560"/>
              <w:spacing w:after="0"/>
              <w:rPr>
                <w:sz w:val="20"/>
                <w:szCs w:val="20"/>
                <w:color w:val="auto"/>
              </w:rPr>
            </w:pPr>
            <w:r>
              <w:rPr>
                <w:rFonts w:ascii="Arial" w:cs="Arial" w:eastAsia="Arial" w:hAnsi="Arial"/>
                <w:sz w:val="14"/>
                <w:szCs w:val="14"/>
                <w:b w:val="1"/>
                <w:bCs w:val="1"/>
                <w:color w:val="auto"/>
                <w:w w:val="94"/>
              </w:rPr>
              <w:t>Full Year Ended</w:t>
            </w:r>
          </w:p>
        </w:tc>
        <w:tc>
          <w:tcPr>
            <w:tcW w:w="840" w:type="dxa"/>
            <w:vAlign w:val="bottom"/>
          </w:tcPr>
          <w:p>
            <w:pPr>
              <w:spacing w:after="0"/>
              <w:rPr>
                <w:sz w:val="14"/>
                <w:szCs w:val="14"/>
                <w:color w:val="auto"/>
              </w:rPr>
            </w:pPr>
          </w:p>
        </w:tc>
      </w:tr>
      <w:tr>
        <w:trPr>
          <w:trHeight w:val="192"/>
        </w:trPr>
        <w:tc>
          <w:tcPr>
            <w:tcW w:w="5700" w:type="dxa"/>
            <w:vAlign w:val="bottom"/>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ind w:left="80"/>
              <w:spacing w:after="0"/>
              <w:rPr>
                <w:sz w:val="20"/>
                <w:szCs w:val="20"/>
                <w:color w:val="auto"/>
              </w:rPr>
            </w:pPr>
            <w:r>
              <w:rPr>
                <w:rFonts w:ascii="Arial" w:cs="Arial" w:eastAsia="Arial" w:hAnsi="Arial"/>
                <w:sz w:val="14"/>
                <w:szCs w:val="14"/>
                <w:b w:val="1"/>
                <w:bCs w:val="1"/>
                <w:color w:val="auto"/>
              </w:rPr>
              <w:t>December 31,</w:t>
            </w:r>
          </w:p>
        </w:tc>
        <w:tc>
          <w:tcPr>
            <w:tcW w:w="4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3"/>
          </w:tcPr>
          <w:p>
            <w:pPr>
              <w:ind w:left="640"/>
              <w:spacing w:after="0"/>
              <w:rPr>
                <w:sz w:val="20"/>
                <w:szCs w:val="20"/>
                <w:color w:val="auto"/>
              </w:rPr>
            </w:pPr>
            <w:r>
              <w:rPr>
                <w:rFonts w:ascii="Arial" w:cs="Arial" w:eastAsia="Arial" w:hAnsi="Arial"/>
                <w:sz w:val="14"/>
                <w:szCs w:val="14"/>
                <w:b w:val="1"/>
                <w:bCs w:val="1"/>
                <w:color w:val="auto"/>
              </w:rPr>
              <w:t>December 31,</w:t>
            </w:r>
          </w:p>
        </w:tc>
        <w:tc>
          <w:tcPr>
            <w:tcW w:w="840" w:type="dxa"/>
            <w:vAlign w:val="bottom"/>
            <w:tcBorders>
              <w:bottom w:val="single" w:sz="8" w:color="auto"/>
            </w:tcBorders>
          </w:tcPr>
          <w:p>
            <w:pPr>
              <w:spacing w:after="0"/>
              <w:rPr>
                <w:sz w:val="16"/>
                <w:szCs w:val="16"/>
                <w:color w:val="auto"/>
              </w:rPr>
            </w:pPr>
          </w:p>
        </w:tc>
      </w:tr>
      <w:tr>
        <w:trPr>
          <w:trHeight w:val="196"/>
        </w:trPr>
        <w:tc>
          <w:tcPr>
            <w:tcW w:w="5700" w:type="dxa"/>
            <w:vAlign w:val="bottom"/>
            <w:tcBorders>
              <w:bottom w:val="single" w:sz="8" w:color="CCEEFF"/>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46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46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w w:val="96"/>
              </w:rPr>
              <w:t>2021</w:t>
            </w:r>
          </w:p>
        </w:tc>
      </w:tr>
      <w:tr>
        <w:trPr>
          <w:trHeight w:val="229"/>
        </w:trPr>
        <w:tc>
          <w:tcPr>
            <w:tcW w:w="57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earnings - As Reported (GAAP)</w:t>
            </w:r>
          </w:p>
        </w:tc>
        <w:tc>
          <w:tcPr>
            <w:tcW w:w="860" w:type="dxa"/>
            <w:vAlign w:val="bottom"/>
            <w:shd w:val="clear" w:color="auto" w:fill="CCEEFF"/>
          </w:tcPr>
          <w:p>
            <w:pPr>
              <w:jc w:val="right"/>
              <w:ind w:right="659"/>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w:t>
            </w:r>
          </w:p>
        </w:tc>
        <w:tc>
          <w:tcPr>
            <w:tcW w:w="8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656"/>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46.1</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86.0</w:t>
            </w:r>
          </w:p>
        </w:tc>
      </w:tr>
      <w:tr>
        <w:trPr>
          <w:trHeight w:val="230"/>
        </w:trPr>
        <w:tc>
          <w:tcPr>
            <w:tcW w:w="5700" w:type="dxa"/>
            <w:vAlign w:val="bottom"/>
          </w:tcPr>
          <w:p>
            <w:pPr>
              <w:ind w:left="240"/>
              <w:spacing w:after="0"/>
              <w:rPr>
                <w:sz w:val="20"/>
                <w:szCs w:val="20"/>
                <w:color w:val="auto"/>
              </w:rPr>
            </w:pPr>
            <w:r>
              <w:rPr>
                <w:rFonts w:ascii="Arial" w:cs="Arial" w:eastAsia="Arial" w:hAnsi="Arial"/>
                <w:sz w:val="18"/>
                <w:szCs w:val="18"/>
                <w:color w:val="auto"/>
              </w:rPr>
              <w:t>Adjustments:</w:t>
            </w:r>
          </w:p>
        </w:tc>
        <w:tc>
          <w:tcPr>
            <w:tcW w:w="8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29"/>
        </w:trPr>
        <w:tc>
          <w:tcPr>
            <w:tcW w:w="57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Amortization of intangible assets</w:t>
            </w:r>
          </w:p>
        </w:tc>
        <w:tc>
          <w:tcPr>
            <w:tcW w:w="86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w:t>
            </w:r>
          </w:p>
        </w:tc>
        <w:tc>
          <w:tcPr>
            <w:tcW w:w="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82.6</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w:t>
            </w:r>
          </w:p>
        </w:tc>
      </w:tr>
      <w:tr>
        <w:trPr>
          <w:trHeight w:val="229"/>
        </w:trPr>
        <w:tc>
          <w:tcPr>
            <w:tcW w:w="5700" w:type="dxa"/>
            <w:vAlign w:val="bottom"/>
          </w:tcPr>
          <w:p>
            <w:pPr>
              <w:ind w:left="240"/>
              <w:spacing w:after="0"/>
              <w:rPr>
                <w:sz w:val="20"/>
                <w:szCs w:val="20"/>
                <w:color w:val="auto"/>
              </w:rPr>
            </w:pPr>
            <w:r>
              <w:rPr>
                <w:rFonts w:ascii="Arial" w:cs="Arial" w:eastAsia="Arial" w:hAnsi="Arial"/>
                <w:sz w:val="18"/>
                <w:szCs w:val="18"/>
                <w:color w:val="auto"/>
              </w:rPr>
              <w:t>Share-based compensation</w:t>
            </w:r>
          </w:p>
        </w:tc>
        <w:tc>
          <w:tcPr>
            <w:tcW w:w="86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4.3</w:t>
            </w:r>
          </w:p>
        </w:tc>
        <w:tc>
          <w:tcPr>
            <w:tcW w:w="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17.6</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17.9</w:t>
            </w:r>
          </w:p>
        </w:tc>
      </w:tr>
      <w:tr>
        <w:trPr>
          <w:trHeight w:val="230"/>
        </w:trPr>
        <w:tc>
          <w:tcPr>
            <w:tcW w:w="57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Contingent consideration expense (gain)</w:t>
            </w:r>
          </w:p>
        </w:tc>
        <w:tc>
          <w:tcPr>
            <w:tcW w:w="860" w:type="dxa"/>
            <w:vAlign w:val="bottom"/>
            <w:shd w:val="clear" w:color="auto" w:fill="CCEEFF"/>
          </w:tcPr>
          <w:p>
            <w:pPr>
              <w:spacing w:after="0"/>
              <w:rPr>
                <w:sz w:val="19"/>
                <w:szCs w:val="19"/>
                <w:color w:val="auto"/>
              </w:rPr>
            </w:pPr>
          </w:p>
        </w:tc>
        <w:tc>
          <w:tcPr>
            <w:tcW w:w="460" w:type="dxa"/>
            <w:vAlign w:val="bottom"/>
            <w:shd w:val="clear" w:color="auto" w:fill="CCEEFF"/>
          </w:tcPr>
          <w:p>
            <w:pPr>
              <w:ind w:left="80"/>
              <w:spacing w:after="0"/>
              <w:rPr>
                <w:sz w:val="20"/>
                <w:szCs w:val="20"/>
                <w:color w:val="auto"/>
              </w:rPr>
            </w:pPr>
            <w:r>
              <w:rPr>
                <w:rFonts w:ascii="Arial" w:cs="Arial" w:eastAsia="Arial" w:hAnsi="Arial"/>
                <w:sz w:val="18"/>
                <w:szCs w:val="18"/>
                <w:color w:val="auto"/>
                <w:w w:val="97"/>
              </w:rPr>
              <w:t>(2.4)</w:t>
            </w:r>
          </w:p>
        </w:tc>
        <w:tc>
          <w:tcPr>
            <w:tcW w:w="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ind w:left="640"/>
              <w:spacing w:after="0"/>
              <w:rPr>
                <w:sz w:val="20"/>
                <w:szCs w:val="20"/>
                <w:color w:val="auto"/>
              </w:rPr>
            </w:pPr>
            <w:r>
              <w:rPr>
                <w:rFonts w:ascii="Arial" w:cs="Arial" w:eastAsia="Arial" w:hAnsi="Arial"/>
                <w:sz w:val="18"/>
                <w:szCs w:val="18"/>
                <w:color w:val="auto"/>
                <w:w w:val="91"/>
              </w:rPr>
              <w:t>(0.5)</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r>
      <w:tr>
        <w:trPr>
          <w:trHeight w:val="229"/>
        </w:trPr>
        <w:tc>
          <w:tcPr>
            <w:tcW w:w="5700" w:type="dxa"/>
            <w:vAlign w:val="bottom"/>
          </w:tcPr>
          <w:p>
            <w:pPr>
              <w:ind w:left="240"/>
              <w:spacing w:after="0"/>
              <w:rPr>
                <w:sz w:val="20"/>
                <w:szCs w:val="20"/>
                <w:color w:val="auto"/>
              </w:rPr>
            </w:pPr>
            <w:r>
              <w:rPr>
                <w:rFonts w:ascii="Arial" w:cs="Arial" w:eastAsia="Arial" w:hAnsi="Arial"/>
                <w:sz w:val="18"/>
                <w:szCs w:val="18"/>
                <w:color w:val="auto"/>
              </w:rPr>
              <w:t>Acquisition-related costs</w:t>
            </w:r>
          </w:p>
        </w:tc>
        <w:tc>
          <w:tcPr>
            <w:tcW w:w="860" w:type="dxa"/>
            <w:vAlign w:val="bottom"/>
          </w:tcPr>
          <w:p>
            <w:pPr>
              <w:spacing w:after="0"/>
              <w:rPr>
                <w:sz w:val="19"/>
                <w:szCs w:val="19"/>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6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22.3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22.3</w:t>
            </w:r>
          </w:p>
        </w:tc>
      </w:tr>
      <w:tr>
        <w:trPr>
          <w:trHeight w:val="229"/>
        </w:trPr>
        <w:tc>
          <w:tcPr>
            <w:tcW w:w="57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Other R&amp;D</w:t>
            </w:r>
          </w:p>
        </w:tc>
        <w:tc>
          <w:tcPr>
            <w:tcW w:w="860" w:type="dxa"/>
            <w:vAlign w:val="bottom"/>
            <w:shd w:val="clear" w:color="auto" w:fill="CCEEFF"/>
          </w:tcPr>
          <w:p>
            <w:pPr>
              <w:spacing w:after="0"/>
              <w:rPr>
                <w:sz w:val="19"/>
                <w:szCs w:val="19"/>
                <w:color w:val="auto"/>
              </w:rPr>
            </w:pP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w:t>
            </w:r>
          </w:p>
        </w:tc>
      </w:tr>
      <w:tr>
        <w:trPr>
          <w:trHeight w:val="230"/>
        </w:trPr>
        <w:tc>
          <w:tcPr>
            <w:tcW w:w="570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Depreciation</w:t>
            </w:r>
          </w:p>
        </w:tc>
        <w:tc>
          <w:tcPr>
            <w:tcW w:w="86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0.7</w:t>
            </w:r>
          </w:p>
        </w:tc>
        <w:tc>
          <w:tcPr>
            <w:tcW w:w="80" w:type="dxa"/>
            <w:vAlign w:val="bottom"/>
            <w:tcBorders>
              <w:bottom w:val="single" w:sz="8" w:color="CCEEFF"/>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0.7</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w:t>
            </w:r>
          </w:p>
        </w:tc>
      </w:tr>
      <w:tr>
        <w:trPr>
          <w:trHeight w:val="248"/>
        </w:trPr>
        <w:tc>
          <w:tcPr>
            <w:tcW w:w="5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Operating earnings - As Adjusted (non-GAAP)</w:t>
            </w:r>
          </w:p>
        </w:tc>
        <w:tc>
          <w:tcPr>
            <w:tcW w:w="860" w:type="dxa"/>
            <w:vAlign w:val="bottom"/>
            <w:tcBorders>
              <w:bottom w:val="single" w:sz="8" w:color="auto"/>
            </w:tcBorders>
            <w:shd w:val="clear" w:color="auto" w:fill="CCEEFF"/>
          </w:tcPr>
          <w:p>
            <w:pPr>
              <w:jc w:val="right"/>
              <w:ind w:right="659"/>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57.6</w:t>
            </w:r>
          </w:p>
        </w:tc>
        <w:tc>
          <w:tcPr>
            <w:tcW w:w="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ind w:right="656"/>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148.8</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167.3</w:t>
            </w:r>
          </w:p>
        </w:tc>
      </w:tr>
      <w:tr>
        <w:trPr>
          <w:trHeight w:val="20"/>
        </w:trPr>
        <w:tc>
          <w:tcPr>
            <w:tcW w:w="57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Non-GAAP operating earnings adjusts for non-cash items including amortization of intangible assets, share-based compensation expense, change in fair value of contingent consideration, depreciation, and non-recurring costs. Acquisition-related costs reflect non-recurring acquisition-related costs associated with the Adamas Acquisition. Other R&amp;D reflects a non-cash expense related to the equity investment in Navitor due to the accounting impact of the March 2021 Navitor corporate restructuring. The increase in amortization of intangible assets for the three and twelve month periods ended December 31, 2022 was due to the amortization of acquired intangible assets from the Adamas Acquisition in November 2021.</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earnings (GAAP)</w:t>
      </w:r>
    </w:p>
    <w:p>
      <w:pPr>
        <w:spacing w:after="0" w:line="19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the three months ended December 31, 2022, net earnings (GAAP) and diluted earnings per share (GAAP) were $25.5 million and $0.43, respectively, as compared to $2.4 million, or $0.04 per diluted share, in the same period in 2021.</w:t>
      </w:r>
    </w:p>
    <w:p>
      <w:pPr>
        <w:spacing w:after="0" w:line="13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the full year ended December 31, 2022, net earnings (GAAP) and diluted earnings per share (GAAP) were $60.7 million and $1.04, respectively, as compared to $53.4 million, or $0.98 per diluted share, in the same period in 2021.</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Balance sheet</w:t>
      </w:r>
    </w:p>
    <w:p>
      <w:pPr>
        <w:spacing w:after="0" w:line="19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At December 31, 2022, the Company’s cash, cash equivalents, current and long-term marketable securities are approximately $555.2 million, compared to $458.8 million as of December 31, 2021. This increase was primarily due to cash generated from operations.</w:t>
      </w:r>
    </w:p>
    <w:p>
      <w:pPr>
        <w:spacing w:after="0" w:line="13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February 2023, the Company entered into a credit line agreement with UBS Bank USA providing the Company an uncommitted demand secured line of credit of up to $150.0 million, which can be drawn at any time.</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Full Year 2023 Financial Guidance (GAAP)</w:t>
      </w:r>
    </w:p>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Company’s full year 2023 total revenue guidance represents approximately 30% growth at the midpoint compared to full year 2022, excluding revenues of Trokendi XR in both periods. The Company’s full-year 2023 financial guidance is set forth below (dollars in millions):</w:t>
      </w:r>
    </w:p>
    <w:p>
      <w:pPr>
        <w:spacing w:after="0" w:line="166" w:lineRule="exact"/>
        <w:rPr>
          <w:sz w:val="20"/>
          <w:szCs w:val="20"/>
          <w:color w:val="auto"/>
        </w:rPr>
      </w:pPr>
    </w:p>
    <w:p>
      <w:pPr>
        <w:ind w:left="9500"/>
        <w:spacing w:after="0"/>
        <w:rPr>
          <w:sz w:val="20"/>
          <w:szCs w:val="20"/>
          <w:color w:val="auto"/>
        </w:rPr>
      </w:pPr>
      <w:r>
        <w:rPr>
          <w:rFonts w:ascii="Arial" w:cs="Arial" w:eastAsia="Arial" w:hAnsi="Arial"/>
          <w:sz w:val="18"/>
          <w:szCs w:val="18"/>
          <w:b w:val="1"/>
          <w:bCs w:val="1"/>
          <w:color w:val="auto"/>
        </w:rPr>
        <w:t>Amount</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412"/>
        </w:trPr>
        <w:tc>
          <w:tcPr>
            <w:tcW w:w="84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 xml:space="preserve">Total revenues </w:t>
            </w:r>
            <w:r>
              <w:rPr>
                <w:rFonts w:ascii="Arial" w:cs="Arial" w:eastAsia="Arial" w:hAnsi="Arial"/>
                <w:sz w:val="23"/>
                <w:szCs w:val="23"/>
                <w:color w:val="auto"/>
                <w:vertAlign w:val="superscript"/>
              </w:rPr>
              <w:t>(1)</w:t>
            </w:r>
            <w:r>
              <w:rPr>
                <w:rFonts w:ascii="Arial" w:cs="Arial" w:eastAsia="Arial" w:hAnsi="Arial"/>
                <w:sz w:val="18"/>
                <w:szCs w:val="18"/>
                <w:color w:val="auto"/>
              </w:rPr>
              <w:t xml:space="preserve"> (</w:t>
            </w:r>
            <w:r>
              <w:rPr>
                <w:rFonts w:ascii="Arial" w:cs="Arial" w:eastAsia="Arial" w:hAnsi="Arial"/>
                <w:sz w:val="18"/>
                <w:szCs w:val="18"/>
                <w:i w:val="1"/>
                <w:iCs w:val="1"/>
                <w:color w:val="auto"/>
              </w:rPr>
              <w:t>Includes $60 million to $80 million of Trokendi XR</w:t>
            </w:r>
            <w:r>
              <w:rPr>
                <w:rFonts w:ascii="Arial" w:cs="Arial" w:eastAsia="Arial" w:hAnsi="Arial"/>
                <w:sz w:val="23"/>
                <w:szCs w:val="23"/>
                <w:i w:val="1"/>
                <w:iCs w:val="1"/>
                <w:color w:val="auto"/>
                <w:vertAlign w:val="superscript"/>
              </w:rPr>
              <w:t>(2)</w:t>
            </w:r>
            <w:r>
              <w:rPr>
                <w:rFonts w:ascii="Arial" w:cs="Arial" w:eastAsia="Arial" w:hAnsi="Arial"/>
                <w:sz w:val="18"/>
                <w:szCs w:val="18"/>
                <w:i w:val="1"/>
                <w:iCs w:val="1"/>
                <w:color w:val="auto"/>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$580</w:t>
            </w:r>
          </w:p>
        </w:tc>
        <w:tc>
          <w:tcPr>
            <w:tcW w:w="14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 $620</w:t>
            </w:r>
          </w:p>
        </w:tc>
      </w:tr>
      <w:tr>
        <w:trPr>
          <w:trHeight w:val="230"/>
        </w:trPr>
        <w:tc>
          <w:tcPr>
            <w:tcW w:w="8400" w:type="dxa"/>
            <w:vAlign w:val="bottom"/>
          </w:tcPr>
          <w:p>
            <w:pPr>
              <w:ind w:left="20"/>
              <w:spacing w:after="0"/>
              <w:rPr>
                <w:sz w:val="20"/>
                <w:szCs w:val="20"/>
                <w:color w:val="auto"/>
              </w:rPr>
            </w:pPr>
            <w:r>
              <w:rPr>
                <w:rFonts w:ascii="Arial" w:cs="Arial" w:eastAsia="Arial" w:hAnsi="Arial"/>
                <w:sz w:val="18"/>
                <w:szCs w:val="18"/>
                <w:color w:val="auto"/>
              </w:rPr>
              <w:t>Combined R&amp;D and SG&amp;A expenses</w:t>
            </w:r>
          </w:p>
        </w:tc>
        <w:tc>
          <w:tcPr>
            <w:tcW w:w="1360" w:type="dxa"/>
            <w:vAlign w:val="bottom"/>
          </w:tcPr>
          <w:p>
            <w:pPr>
              <w:jc w:val="right"/>
              <w:spacing w:after="0"/>
              <w:rPr>
                <w:sz w:val="20"/>
                <w:szCs w:val="20"/>
                <w:color w:val="auto"/>
              </w:rPr>
            </w:pPr>
            <w:r>
              <w:rPr>
                <w:rFonts w:ascii="Arial" w:cs="Arial" w:eastAsia="Arial" w:hAnsi="Arial"/>
                <w:sz w:val="18"/>
                <w:szCs w:val="18"/>
                <w:color w:val="auto"/>
              </w:rPr>
              <w:t>$460</w:t>
            </w:r>
          </w:p>
        </w:tc>
        <w:tc>
          <w:tcPr>
            <w:tcW w:w="1480" w:type="dxa"/>
            <w:vAlign w:val="bottom"/>
          </w:tcPr>
          <w:p>
            <w:pPr>
              <w:ind w:left="20"/>
              <w:spacing w:after="0"/>
              <w:rPr>
                <w:sz w:val="20"/>
                <w:szCs w:val="20"/>
                <w:color w:val="auto"/>
              </w:rPr>
            </w:pPr>
            <w:r>
              <w:rPr>
                <w:rFonts w:ascii="Arial" w:cs="Arial" w:eastAsia="Arial" w:hAnsi="Arial"/>
                <w:sz w:val="18"/>
                <w:szCs w:val="18"/>
                <w:color w:val="auto"/>
              </w:rPr>
              <w:t>- $490</w:t>
            </w:r>
          </w:p>
        </w:tc>
      </w:tr>
      <w:tr>
        <w:trPr>
          <w:trHeight w:val="229"/>
        </w:trPr>
        <w:tc>
          <w:tcPr>
            <w:tcW w:w="840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Operating loss </w:t>
            </w:r>
            <w:r>
              <w:rPr>
                <w:rFonts w:ascii="Arial" w:cs="Arial" w:eastAsia="Arial" w:hAnsi="Arial"/>
                <w:sz w:val="23"/>
                <w:szCs w:val="23"/>
                <w:color w:val="auto"/>
                <w:vertAlign w:val="superscript"/>
              </w:rPr>
              <w:t>(3)</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 $(25)</w:t>
            </w:r>
          </w:p>
        </w:tc>
      </w:tr>
    </w:tbl>
    <w:p>
      <w:pPr>
        <w:spacing w:after="0" w:line="76"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w:t>
      </w:r>
    </w:p>
    <w:p>
      <w:pPr>
        <w:ind w:left="340" w:hanging="170"/>
        <w:spacing w:after="0" w:line="225" w:lineRule="auto"/>
        <w:tabs>
          <w:tab w:leader="none" w:pos="340" w:val="left"/>
        </w:tabs>
        <w:numPr>
          <w:ilvl w:val="0"/>
          <w:numId w:val="10"/>
        </w:numPr>
        <w:rPr>
          <w:rFonts w:ascii="Arial" w:cs="Arial" w:eastAsia="Arial" w:hAnsi="Arial"/>
          <w:sz w:val="20"/>
          <w:szCs w:val="20"/>
          <w:color w:val="auto"/>
          <w:vertAlign w:val="superscript"/>
        </w:rPr>
      </w:pPr>
      <w:r>
        <w:rPr>
          <w:rFonts w:ascii="Arial" w:cs="Arial" w:eastAsia="Arial" w:hAnsi="Arial"/>
          <w:sz w:val="15"/>
          <w:szCs w:val="15"/>
          <w:color w:val="auto"/>
        </w:rPr>
        <w:t>Includes net product sales and royalty revenue.</w:t>
      </w:r>
    </w:p>
    <w:p>
      <w:pPr>
        <w:spacing w:after="0" w:line="10" w:lineRule="exact"/>
        <w:rPr>
          <w:rFonts w:ascii="Arial" w:cs="Arial" w:eastAsia="Arial" w:hAnsi="Arial"/>
          <w:sz w:val="20"/>
          <w:szCs w:val="20"/>
          <w:color w:val="auto"/>
          <w:vertAlign w:val="superscript"/>
        </w:rPr>
      </w:pPr>
    </w:p>
    <w:p>
      <w:pPr>
        <w:ind w:left="320" w:hanging="150"/>
        <w:spacing w:after="0" w:line="219" w:lineRule="auto"/>
        <w:tabs>
          <w:tab w:leader="none" w:pos="320" w:val="left"/>
        </w:tabs>
        <w:numPr>
          <w:ilvl w:val="0"/>
          <w:numId w:val="10"/>
        </w:numPr>
        <w:rPr>
          <w:rFonts w:ascii="Arial" w:cs="Arial" w:eastAsia="Arial" w:hAnsi="Arial"/>
          <w:sz w:val="18"/>
          <w:szCs w:val="18"/>
          <w:color w:val="auto"/>
          <w:vertAlign w:val="superscript"/>
        </w:rPr>
      </w:pPr>
      <w:r>
        <w:rPr>
          <w:rFonts w:ascii="Arial" w:cs="Arial" w:eastAsia="Arial" w:hAnsi="Arial"/>
          <w:sz w:val="14"/>
          <w:szCs w:val="14"/>
          <w:color w:val="auto"/>
        </w:rPr>
        <w:t>Reflects generic entry on Trokendi XR in 2023.</w:t>
      </w:r>
    </w:p>
    <w:p>
      <w:pPr>
        <w:ind w:left="340" w:hanging="170"/>
        <w:spacing w:after="0" w:line="200" w:lineRule="auto"/>
        <w:tabs>
          <w:tab w:leader="none" w:pos="340" w:val="left"/>
        </w:tabs>
        <w:numPr>
          <w:ilvl w:val="0"/>
          <w:numId w:val="10"/>
        </w:numPr>
        <w:rPr>
          <w:rFonts w:ascii="Arial" w:cs="Arial" w:eastAsia="Arial" w:hAnsi="Arial"/>
          <w:sz w:val="20"/>
          <w:szCs w:val="20"/>
          <w:color w:val="auto"/>
          <w:vertAlign w:val="superscript"/>
        </w:rPr>
      </w:pPr>
      <w:r>
        <w:rPr>
          <w:rFonts w:ascii="Arial" w:cs="Arial" w:eastAsia="Arial" w:hAnsi="Arial"/>
          <w:sz w:val="15"/>
          <w:szCs w:val="15"/>
          <w:color w:val="auto"/>
        </w:rPr>
        <w:t>Includes amortization of intangible assets and contingent consideration expense (gain).</w:t>
      </w: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320" w:top="1066"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Full Year 2023 Financial Guidance - GAAP to Non-GAAP Adjustments</w:t>
      </w:r>
    </w:p>
    <w:p>
      <w:pPr>
        <w:spacing w:after="0" w:line="202"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An itemized reconciliation between projected operating loss on a GAAP basis and projected operating earnings on a non-GAAP basis is as follows (dollars in millions):</w:t>
      </w:r>
    </w:p>
    <w:p>
      <w:pPr>
        <w:spacing w:after="0" w:line="1" w:lineRule="exact"/>
        <w:rPr>
          <w:sz w:val="20"/>
          <w:szCs w:val="20"/>
          <w:color w:val="auto"/>
        </w:rPr>
      </w:pPr>
    </w:p>
    <w:p>
      <w:pPr>
        <w:ind w:left="9500"/>
        <w:spacing w:after="0"/>
        <w:rPr>
          <w:sz w:val="20"/>
          <w:szCs w:val="20"/>
          <w:color w:val="auto"/>
        </w:rPr>
      </w:pPr>
      <w:r>
        <w:rPr>
          <w:rFonts w:ascii="Arial" w:cs="Arial" w:eastAsia="Arial" w:hAnsi="Arial"/>
          <w:sz w:val="18"/>
          <w:szCs w:val="18"/>
          <w:b w:val="1"/>
          <w:bCs w:val="1"/>
          <w:color w:val="auto"/>
        </w:rPr>
        <w:t>Amount</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84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Operating loss - GAAP</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4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 $(25)</w:t>
            </w:r>
          </w:p>
        </w:tc>
      </w:tr>
      <w:tr>
        <w:trPr>
          <w:trHeight w:val="229"/>
        </w:trPr>
        <w:tc>
          <w:tcPr>
            <w:tcW w:w="8400" w:type="dxa"/>
            <w:vAlign w:val="bottom"/>
          </w:tcPr>
          <w:p>
            <w:pPr>
              <w:ind w:left="180"/>
              <w:spacing w:after="0"/>
              <w:rPr>
                <w:sz w:val="20"/>
                <w:szCs w:val="20"/>
                <w:color w:val="auto"/>
              </w:rPr>
            </w:pPr>
            <w:r>
              <w:rPr>
                <w:rFonts w:ascii="Arial" w:cs="Arial" w:eastAsia="Arial" w:hAnsi="Arial"/>
                <w:sz w:val="18"/>
                <w:szCs w:val="18"/>
                <w:color w:val="auto"/>
              </w:rPr>
              <w:t>Adjustments:</w:t>
            </w:r>
          </w:p>
        </w:tc>
        <w:tc>
          <w:tcPr>
            <w:tcW w:w="1360" w:type="dxa"/>
            <w:vAlign w:val="bottom"/>
          </w:tcPr>
          <w:p>
            <w:pPr>
              <w:spacing w:after="0"/>
              <w:rPr>
                <w:sz w:val="19"/>
                <w:szCs w:val="19"/>
                <w:color w:val="auto"/>
              </w:rPr>
            </w:pPr>
          </w:p>
        </w:tc>
        <w:tc>
          <w:tcPr>
            <w:tcW w:w="1480" w:type="dxa"/>
            <w:vAlign w:val="bottom"/>
          </w:tcPr>
          <w:p>
            <w:pPr>
              <w:spacing w:after="0"/>
              <w:rPr>
                <w:sz w:val="19"/>
                <w:szCs w:val="19"/>
                <w:color w:val="auto"/>
              </w:rPr>
            </w:pPr>
          </w:p>
        </w:tc>
      </w:tr>
      <w:tr>
        <w:trPr>
          <w:trHeight w:val="229"/>
        </w:trPr>
        <w:tc>
          <w:tcPr>
            <w:tcW w:w="8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Amortization of intangible assets</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1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 $80</w:t>
            </w:r>
          </w:p>
        </w:tc>
      </w:tr>
      <w:tr>
        <w:trPr>
          <w:trHeight w:val="230"/>
        </w:trPr>
        <w:tc>
          <w:tcPr>
            <w:tcW w:w="8400" w:type="dxa"/>
            <w:vAlign w:val="bottom"/>
          </w:tcPr>
          <w:p>
            <w:pPr>
              <w:ind w:left="180"/>
              <w:spacing w:after="0"/>
              <w:rPr>
                <w:sz w:val="20"/>
                <w:szCs w:val="20"/>
                <w:color w:val="auto"/>
              </w:rPr>
            </w:pPr>
            <w:r>
              <w:rPr>
                <w:rFonts w:ascii="Arial" w:cs="Arial" w:eastAsia="Arial" w:hAnsi="Arial"/>
                <w:sz w:val="18"/>
                <w:szCs w:val="18"/>
                <w:color w:val="auto"/>
              </w:rPr>
              <w:t>Share-based compensation</w:t>
            </w:r>
          </w:p>
        </w:tc>
        <w:tc>
          <w:tcPr>
            <w:tcW w:w="1360" w:type="dxa"/>
            <w:vAlign w:val="bottom"/>
          </w:tcPr>
          <w:p>
            <w:pPr>
              <w:jc w:val="right"/>
              <w:spacing w:after="0"/>
              <w:rPr>
                <w:sz w:val="20"/>
                <w:szCs w:val="20"/>
                <w:color w:val="auto"/>
              </w:rPr>
            </w:pPr>
            <w:r>
              <w:rPr>
                <w:rFonts w:ascii="Arial" w:cs="Arial" w:eastAsia="Arial" w:hAnsi="Arial"/>
                <w:sz w:val="18"/>
                <w:szCs w:val="18"/>
                <w:color w:val="auto"/>
              </w:rPr>
              <w:t>$20</w:t>
            </w:r>
          </w:p>
        </w:tc>
        <w:tc>
          <w:tcPr>
            <w:tcW w:w="1480" w:type="dxa"/>
            <w:vAlign w:val="bottom"/>
          </w:tcPr>
          <w:p>
            <w:pPr>
              <w:ind w:left="20"/>
              <w:spacing w:after="0"/>
              <w:rPr>
                <w:sz w:val="20"/>
                <w:szCs w:val="20"/>
                <w:color w:val="auto"/>
              </w:rPr>
            </w:pPr>
            <w:r>
              <w:rPr>
                <w:rFonts w:ascii="Arial" w:cs="Arial" w:eastAsia="Arial" w:hAnsi="Arial"/>
                <w:sz w:val="18"/>
                <w:szCs w:val="18"/>
                <w:color w:val="auto"/>
              </w:rPr>
              <w:t>- $23</w:t>
            </w:r>
          </w:p>
        </w:tc>
      </w:tr>
      <w:tr>
        <w:trPr>
          <w:trHeight w:val="229"/>
        </w:trPr>
        <w:tc>
          <w:tcPr>
            <w:tcW w:w="8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Contingent consideration</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 $12</w:t>
            </w:r>
          </w:p>
        </w:tc>
      </w:tr>
      <w:tr>
        <w:trPr>
          <w:trHeight w:val="230"/>
        </w:trPr>
        <w:tc>
          <w:tcPr>
            <w:tcW w:w="8400" w:type="dxa"/>
            <w:vAlign w:val="bottom"/>
          </w:tcPr>
          <w:p>
            <w:pPr>
              <w:ind w:left="180"/>
              <w:spacing w:after="0"/>
              <w:rPr>
                <w:sz w:val="20"/>
                <w:szCs w:val="20"/>
                <w:color w:val="auto"/>
              </w:rPr>
            </w:pPr>
            <w:r>
              <w:rPr>
                <w:rFonts w:ascii="Arial" w:cs="Arial" w:eastAsia="Arial" w:hAnsi="Arial"/>
                <w:sz w:val="18"/>
                <w:szCs w:val="18"/>
                <w:color w:val="auto"/>
              </w:rPr>
              <w:t>Depreciation</w:t>
            </w:r>
          </w:p>
        </w:tc>
        <w:tc>
          <w:tcPr>
            <w:tcW w:w="1360" w:type="dxa"/>
            <w:vAlign w:val="bottom"/>
          </w:tcPr>
          <w:p>
            <w:pPr>
              <w:jc w:val="right"/>
              <w:spacing w:after="0"/>
              <w:rPr>
                <w:sz w:val="20"/>
                <w:szCs w:val="20"/>
                <w:color w:val="auto"/>
              </w:rPr>
            </w:pPr>
            <w:r>
              <w:rPr>
                <w:rFonts w:ascii="Arial" w:cs="Arial" w:eastAsia="Arial" w:hAnsi="Arial"/>
                <w:sz w:val="18"/>
                <w:szCs w:val="18"/>
                <w:color w:val="auto"/>
              </w:rPr>
              <w:t>$5</w:t>
            </w:r>
          </w:p>
        </w:tc>
        <w:tc>
          <w:tcPr>
            <w:tcW w:w="1480" w:type="dxa"/>
            <w:vAlign w:val="bottom"/>
          </w:tcPr>
          <w:p>
            <w:pPr>
              <w:ind w:left="20"/>
              <w:spacing w:after="0"/>
              <w:rPr>
                <w:sz w:val="20"/>
                <w:szCs w:val="20"/>
                <w:color w:val="auto"/>
              </w:rPr>
            </w:pPr>
            <w:r>
              <w:rPr>
                <w:rFonts w:ascii="Arial" w:cs="Arial" w:eastAsia="Arial" w:hAnsi="Arial"/>
                <w:sz w:val="18"/>
                <w:szCs w:val="18"/>
                <w:color w:val="auto"/>
              </w:rPr>
              <w:t>- $5</w:t>
            </w:r>
          </w:p>
        </w:tc>
      </w:tr>
      <w:tr>
        <w:trPr>
          <w:trHeight w:val="229"/>
        </w:trPr>
        <w:tc>
          <w:tcPr>
            <w:tcW w:w="84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earnings - non-GAAP</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 $95</w:t>
            </w:r>
          </w:p>
        </w:tc>
      </w:tr>
    </w:tbl>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Information</w:t>
      </w:r>
    </w:p>
    <w:p>
      <w:pPr>
        <w:spacing w:after="0" w:line="189"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This press release contains a financial measure, non-GAAP operating earnings, which does not comply with United States generally accepted accounting principles (GAAP). The non-GAAP financial measure should be considered in addition to, not as a substitute for or in isolation from, or superior to measures prepared in accordance with GAAP. Non-GAAP operating earnings adjusts for non-cash share-based compensation expense, depreciation and amortization, and accretion of contingent consideration, and for factors that are unusual, non-recurring or unpredictable, and excludes those costs, expenses, and other specified items presented in the reconciliation tables in this press release. We believe the use of non-GAAP operating earnings is useful supplemental information to investors regarding the Company’s results of operations and assist management, analysts, and investors in evaluating the performance of the business. There are limitations associated with the use of non-GAAP financial measures. Including such measures may not be entirely comparable to similarly titled measures used by other companies, may not reflect all items of income and expense, as applicable, that affect our operations, potential differences among calculation methodologies, may differ from the non-GAAP information used by other companies, including peer companies, and therefore comparability may be limited. We mitigate these limitations by reconciling the non-GAAP financial measure to the most comparable GAAP financial measure. Investors are encouraged to review the reconciliation. The Company’s financial guidance is also being provided on both a reported and a non-GAAP basis.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Conference Call Details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Supernus will host a conference call and webcast today, February 28, 2023, at 4:30 p.m. Eastern Time to discuss these results.</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A live webcast will be available in the </w:t>
      </w:r>
      <w:r>
        <w:rPr>
          <w:rFonts w:ascii="Arial" w:cs="Arial" w:eastAsia="Arial" w:hAnsi="Arial"/>
          <w:sz w:val="17"/>
          <w:szCs w:val="17"/>
          <w:color w:val="0000FF"/>
        </w:rPr>
        <w:t>Events &amp; Presentations</w:t>
      </w:r>
      <w:r>
        <w:rPr>
          <w:rFonts w:ascii="Arial" w:cs="Arial" w:eastAsia="Arial" w:hAnsi="Arial"/>
          <w:sz w:val="17"/>
          <w:szCs w:val="17"/>
          <w:color w:val="auto"/>
        </w:rPr>
        <w:t xml:space="preserve"> section of the Company’s Investor Relations website </w:t>
      </w:r>
      <w:r>
        <w:rPr>
          <w:rFonts w:ascii="Arial" w:cs="Arial" w:eastAsia="Arial" w:hAnsi="Arial"/>
          <w:sz w:val="17"/>
          <w:szCs w:val="17"/>
          <w:color w:val="0000FF"/>
        </w:rPr>
        <w:t>www.supernus.com/investors</w:t>
      </w:r>
      <w:r>
        <w:rPr>
          <w:rFonts w:ascii="Arial" w:cs="Arial" w:eastAsia="Arial" w:hAnsi="Arial"/>
          <w:sz w:val="17"/>
          <w:szCs w:val="17"/>
          <w:color w:val="auto"/>
        </w:rPr>
        <w:t>.</w:t>
      </w:r>
    </w:p>
    <w:p>
      <w:pPr>
        <w:spacing w:after="0" w:line="18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Participants may also pre-register any time before the call </w:t>
      </w:r>
      <w:r>
        <w:rPr>
          <w:rFonts w:ascii="Arial" w:cs="Arial" w:eastAsia="Arial" w:hAnsi="Arial"/>
          <w:sz w:val="18"/>
          <w:szCs w:val="18"/>
          <w:color w:val="0000FF"/>
        </w:rPr>
        <w:t>here</w:t>
      </w:r>
      <w:r>
        <w:rPr>
          <w:rFonts w:ascii="Arial" w:cs="Arial" w:eastAsia="Arial" w:hAnsi="Arial"/>
          <w:sz w:val="18"/>
          <w:szCs w:val="18"/>
          <w:color w:val="auto"/>
        </w:rPr>
        <w:t>. Once registration is completed, participants will be provided a dial-in number with a personalized conference code to access the call. Please dial in 15 minutes prior to the start time.</w:t>
      </w:r>
    </w:p>
    <w:p>
      <w:pPr>
        <w:spacing w:after="0" w:line="13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Following the live call, a replay will be available on the Company's Investor Relations website </w:t>
      </w:r>
      <w:r>
        <w:rPr>
          <w:rFonts w:ascii="Arial" w:cs="Arial" w:eastAsia="Arial" w:hAnsi="Arial"/>
          <w:sz w:val="18"/>
          <w:szCs w:val="18"/>
          <w:color w:val="0000FF"/>
        </w:rPr>
        <w:t>www.supernus.com/investors</w:t>
      </w:r>
      <w:r>
        <w:rPr>
          <w:rFonts w:ascii="Arial" w:cs="Arial" w:eastAsia="Arial" w:hAnsi="Arial"/>
          <w:sz w:val="18"/>
          <w:szCs w:val="18"/>
          <w:color w:val="auto"/>
        </w:rPr>
        <w:t>. The webcast will be available on the Company’s website for 60 days following the live call.</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Supernus Pharmaceuticals, Inc.</w:t>
      </w:r>
    </w:p>
    <w:p>
      <w:pPr>
        <w:spacing w:after="0" w:line="18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Supernus Pharmaceuticals is a biopharmaceutical company focused on developing and commercializing products for the treatment of central nervous system (CNS) diseases.</w:t>
      </w:r>
    </w:p>
    <w:p>
      <w:pPr>
        <w:spacing w:after="0" w:line="130"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Our diverse neuroscience portfolio includes approved treatments for epilepsy, migraine, ADHD, hypomobility in PD, cervical dystonia, chronic sialorrhea, dyskinesia in PD patients receiving levodopa-based therapy, and drug-induced extrapyramidal reactions in adult patients. We are developing a broad range of novel CNS product candidates including new potential treatments for hypomobility in PD, epilepsy, depression, and other CNS disorders.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For more information, please visit </w:t>
      </w:r>
      <w:r>
        <w:rPr>
          <w:rFonts w:ascii="Arial" w:cs="Arial" w:eastAsia="Arial" w:hAnsi="Arial"/>
          <w:sz w:val="18"/>
          <w:szCs w:val="18"/>
          <w:u w:val="single" w:color="auto"/>
          <w:color w:val="0E32E1"/>
        </w:rPr>
        <w:t>www.supernus.com</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40"/>
          </w:cols>
          <w:pgMar w:left="320" w:top="1309"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Forward-Looking Statements</w:t>
      </w:r>
    </w:p>
    <w:p>
      <w:pPr>
        <w:spacing w:after="0" w:line="202"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This press release includes forward-looking statements within the meaning of the Private Securities Litigation Reform Act of 1995. These statements do not convey historical information but relate to predicted or potential future events that are based upon management's current expectations. These statements are subject to risks and uncertainties that could cause actual results to differ materially from those expressed or implied by such statements. In addition to the factors mentioned in this press release, such risks and uncertainties include, but are not limited to, the Company’s ability to sustain and increase its profitability; the Company’s ability to raise sufficient capital to fully implement its corporate strategy; the implementation of the Company’s corporate strategy; the Company’s future financial performance and projected expenditures; the Company’s ability to increase the number of prescriptions written for each of its products and the products of its subsidiaries; the Company’s ability to increase its net revenue; the Company’s ability to commercialize its products and the products of its subsidiaries; the Company’s ability to enter into future collaborations with pharmaceutical companies and academic institutions or to obtain funding from government agencies; the Company’s product research and development activities, including the timing and progress of the Company’s clinical trials, and projected expenditures; the Company’s ability to receive, and the timing of any receipt of, regulatory approvals to develop and commercialize the Company’s product candidates; the Company’s ability to protect its intellectual property and the intellectual property of its subsidiaries and operate its business without infringing upon the intellectual property rights of others; the Company’s expectations regarding federal, state and foreign regulatory requirements; the therapeutic benefits, effectiveness and safety of the Company’s product candidates; the accuracy of the Company’s estimates of the size and characteristics of the markets that may be addressed by its product candidates; the Company’s ability to increase its manufacturing capabilities for its products and product candidates; the Company’s projected markets and growth in markets; the Company’s product formulations and patient needs and potential funding sources; the Company’s staffing needs; the Company’s ability to increase the number of prescriptions written for each of its products and the products of its subsidiaries; the Company’s ability to increase its net revenue from its products and the products of its subsidiaries; and other risk factors set forth from time to time in the Company’s filings with the Securities and Exchange Commission made pursuant to Section 13 or 15(d) of the Securities Exchange Act of 1934, as amended. The Company undertakes no obligation to update the information in this press release to reflect events or circumstances after the date hereof or to reflect the occurrence of anticipated or unanticipated events.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40"/>
          </w:cols>
          <w:pgMar w:left="320" w:top="1066"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Supernus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data)</w:t>
      </w:r>
    </w:p>
    <w:p>
      <w:pPr>
        <w:spacing w:after="0" w:line="27"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8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December 31,</w:t>
            </w:r>
          </w:p>
        </w:tc>
        <w:tc>
          <w:tcPr>
            <w:tcW w:w="180" w:type="dxa"/>
            <w:vAlign w:val="bottom"/>
          </w:tcPr>
          <w:p>
            <w:pPr>
              <w:spacing w:after="0"/>
              <w:rPr>
                <w:sz w:val="16"/>
                <w:szCs w:val="16"/>
                <w:color w:val="auto"/>
              </w:rPr>
            </w:pPr>
          </w:p>
        </w:tc>
        <w:tc>
          <w:tcPr>
            <w:tcW w:w="1120" w:type="dxa"/>
            <w:vAlign w:val="bottom"/>
          </w:tcPr>
          <w:p>
            <w:pPr>
              <w:jc w:val="right"/>
              <w:ind w:right="131"/>
              <w:spacing w:after="0"/>
              <w:rPr>
                <w:sz w:val="20"/>
                <w:szCs w:val="20"/>
                <w:color w:val="auto"/>
              </w:rPr>
            </w:pPr>
            <w:r>
              <w:rPr>
                <w:rFonts w:ascii="Arial" w:cs="Arial" w:eastAsia="Arial" w:hAnsi="Arial"/>
                <w:sz w:val="14"/>
                <w:szCs w:val="14"/>
                <w:b w:val="1"/>
                <w:bCs w:val="1"/>
                <w:color w:val="auto"/>
                <w:w w:val="96"/>
              </w:rPr>
              <w:t>December 31,</w:t>
            </w:r>
          </w:p>
        </w:tc>
      </w:tr>
      <w:tr>
        <w:trPr>
          <w:trHeight w:val="203"/>
        </w:trPr>
        <w:tc>
          <w:tcPr>
            <w:tcW w:w="8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jc w:val="center"/>
              <w:ind w:right="72"/>
              <w:spacing w:after="0"/>
              <w:rPr>
                <w:sz w:val="20"/>
                <w:szCs w:val="20"/>
                <w:color w:val="auto"/>
              </w:rPr>
            </w:pPr>
            <w:r>
              <w:rPr>
                <w:rFonts w:ascii="Arial" w:cs="Arial" w:eastAsia="Arial" w:hAnsi="Arial"/>
                <w:sz w:val="14"/>
                <w:szCs w:val="14"/>
                <w:b w:val="1"/>
                <w:bCs w:val="1"/>
                <w:color w:val="auto"/>
                <w:w w:val="89"/>
              </w:rPr>
              <w:t>2022</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jc w:val="right"/>
              <w:ind w:right="411"/>
              <w:spacing w:after="0"/>
              <w:rPr>
                <w:sz w:val="20"/>
                <w:szCs w:val="20"/>
                <w:color w:val="auto"/>
              </w:rPr>
            </w:pPr>
            <w:r>
              <w:rPr>
                <w:rFonts w:ascii="Arial" w:cs="Arial" w:eastAsia="Arial" w:hAnsi="Arial"/>
                <w:sz w:val="14"/>
                <w:szCs w:val="14"/>
                <w:b w:val="1"/>
                <w:bCs w:val="1"/>
                <w:color w:val="auto"/>
              </w:rPr>
              <w:t>2021</w:t>
            </w:r>
          </w:p>
        </w:tc>
      </w:tr>
      <w:tr>
        <w:trPr>
          <w:trHeight w:val="26"/>
        </w:trPr>
        <w:tc>
          <w:tcPr>
            <w:tcW w:w="85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196"/>
        </w:trPr>
        <w:tc>
          <w:tcPr>
            <w:tcW w:w="8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20" w:type="dxa"/>
            <w:vAlign w:val="bottom"/>
            <w:shd w:val="clear" w:color="auto" w:fill="CCEEFF"/>
          </w:tcPr>
          <w:p>
            <w:pPr>
              <w:jc w:val="center"/>
              <w:ind w:right="52"/>
              <w:spacing w:after="0"/>
              <w:rPr>
                <w:sz w:val="20"/>
                <w:szCs w:val="20"/>
                <w:color w:val="auto"/>
              </w:rPr>
            </w:pPr>
            <w:r>
              <w:rPr>
                <w:rFonts w:ascii="Arial" w:cs="Arial" w:eastAsia="Arial" w:hAnsi="Arial"/>
                <w:sz w:val="14"/>
                <w:szCs w:val="14"/>
                <w:b w:val="1"/>
                <w:bCs w:val="1"/>
                <w:color w:val="auto"/>
                <w:w w:val="95"/>
              </w:rPr>
              <w:t>(Unaudited)</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r>
      <w:tr>
        <w:trPr>
          <w:trHeight w:val="229"/>
        </w:trPr>
        <w:tc>
          <w:tcPr>
            <w:tcW w:w="8560" w:type="dxa"/>
            <w:vAlign w:val="bottom"/>
          </w:tcPr>
          <w:p>
            <w:pPr>
              <w:ind w:left="20"/>
              <w:spacing w:after="0"/>
              <w:rPr>
                <w:sz w:val="20"/>
                <w:szCs w:val="20"/>
                <w:color w:val="auto"/>
              </w:rPr>
            </w:pPr>
            <w:r>
              <w:rPr>
                <w:rFonts w:ascii="Arial" w:cs="Arial" w:eastAsia="Arial" w:hAnsi="Arial"/>
                <w:sz w:val="18"/>
                <w:szCs w:val="18"/>
                <w:b w:val="1"/>
                <w:bCs w:val="1"/>
                <w:color w:val="auto"/>
              </w:rPr>
              <w:t>Assets</w:t>
            </w: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29"/>
        </w:trPr>
        <w:tc>
          <w:tcPr>
            <w:tcW w:w="8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assets</w:t>
            </w: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30"/>
        </w:trPr>
        <w:tc>
          <w:tcPr>
            <w:tcW w:w="8560" w:type="dxa"/>
            <w:vAlign w:val="bottom"/>
          </w:tcPr>
          <w:p>
            <w:pPr>
              <w:ind w:left="220"/>
              <w:spacing w:after="0"/>
              <w:rPr>
                <w:sz w:val="20"/>
                <w:szCs w:val="20"/>
                <w:color w:val="auto"/>
              </w:rPr>
            </w:pPr>
            <w:r>
              <w:rPr>
                <w:rFonts w:ascii="Arial" w:cs="Arial" w:eastAsia="Arial" w:hAnsi="Arial"/>
                <w:sz w:val="18"/>
                <w:szCs w:val="18"/>
                <w:color w:val="auto"/>
              </w:rPr>
              <w:t>Cash and cash equivalents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93,120</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203,434</w:t>
            </w:r>
          </w:p>
        </w:tc>
      </w:tr>
      <w:tr>
        <w:trPr>
          <w:trHeight w:val="229"/>
        </w:trPr>
        <w:tc>
          <w:tcPr>
            <w:tcW w:w="85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Marketable securities</w:t>
            </w: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368,214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136,246</w:t>
            </w:r>
          </w:p>
        </w:tc>
      </w:tr>
      <w:tr>
        <w:trPr>
          <w:trHeight w:val="229"/>
        </w:trPr>
        <w:tc>
          <w:tcPr>
            <w:tcW w:w="8560" w:type="dxa"/>
            <w:vAlign w:val="bottom"/>
          </w:tcPr>
          <w:p>
            <w:pPr>
              <w:ind w:left="220"/>
              <w:spacing w:after="0"/>
              <w:rPr>
                <w:sz w:val="20"/>
                <w:szCs w:val="20"/>
                <w:color w:val="auto"/>
              </w:rPr>
            </w:pPr>
            <w:r>
              <w:rPr>
                <w:rFonts w:ascii="Arial" w:cs="Arial" w:eastAsia="Arial" w:hAnsi="Arial"/>
                <w:sz w:val="18"/>
                <w:szCs w:val="18"/>
                <w:color w:val="auto"/>
              </w:rPr>
              <w:t>Accounts receivable, net</w:t>
            </w: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165,497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148,932</w:t>
            </w:r>
          </w:p>
        </w:tc>
      </w:tr>
      <w:tr>
        <w:trPr>
          <w:trHeight w:val="230"/>
        </w:trPr>
        <w:tc>
          <w:tcPr>
            <w:tcW w:w="85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Inventories, net</w:t>
            </w: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91,541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85,959</w:t>
            </w:r>
          </w:p>
        </w:tc>
      </w:tr>
      <w:tr>
        <w:trPr>
          <w:trHeight w:val="229"/>
        </w:trPr>
        <w:tc>
          <w:tcPr>
            <w:tcW w:w="856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Prepaid expenses and other current assets</w:t>
            </w: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15,779</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27,019</w:t>
            </w:r>
          </w:p>
        </w:tc>
      </w:tr>
      <w:tr>
        <w:trPr>
          <w:trHeight w:val="223"/>
        </w:trPr>
        <w:tc>
          <w:tcPr>
            <w:tcW w:w="85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Total current assets</w:t>
            </w: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734,151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601,590</w:t>
            </w:r>
          </w:p>
        </w:tc>
      </w:tr>
      <w:tr>
        <w:trPr>
          <w:trHeight w:val="229"/>
        </w:trPr>
        <w:tc>
          <w:tcPr>
            <w:tcW w:w="8560" w:type="dxa"/>
            <w:vAlign w:val="bottom"/>
          </w:tcPr>
          <w:p>
            <w:pPr>
              <w:ind w:left="220"/>
              <w:spacing w:after="0"/>
              <w:rPr>
                <w:sz w:val="20"/>
                <w:szCs w:val="20"/>
                <w:color w:val="auto"/>
              </w:rPr>
            </w:pPr>
            <w:r>
              <w:rPr>
                <w:rFonts w:ascii="Arial" w:cs="Arial" w:eastAsia="Arial" w:hAnsi="Arial"/>
                <w:sz w:val="18"/>
                <w:szCs w:val="18"/>
                <w:color w:val="auto"/>
              </w:rPr>
              <w:t>Long-term marketable securities</w:t>
            </w: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93,896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119,166</w:t>
            </w:r>
          </w:p>
        </w:tc>
      </w:tr>
      <w:tr>
        <w:trPr>
          <w:trHeight w:val="230"/>
        </w:trPr>
        <w:tc>
          <w:tcPr>
            <w:tcW w:w="85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Property and equipment, net</w:t>
            </w: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15,173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16,955</w:t>
            </w:r>
          </w:p>
        </w:tc>
      </w:tr>
      <w:tr>
        <w:trPr>
          <w:trHeight w:val="229"/>
        </w:trPr>
        <w:tc>
          <w:tcPr>
            <w:tcW w:w="8560" w:type="dxa"/>
            <w:vAlign w:val="bottom"/>
          </w:tcPr>
          <w:p>
            <w:pPr>
              <w:ind w:left="220"/>
              <w:spacing w:after="0"/>
              <w:rPr>
                <w:sz w:val="20"/>
                <w:szCs w:val="20"/>
                <w:color w:val="auto"/>
              </w:rPr>
            </w:pPr>
            <w:r>
              <w:rPr>
                <w:rFonts w:ascii="Arial" w:cs="Arial" w:eastAsia="Arial" w:hAnsi="Arial"/>
                <w:sz w:val="18"/>
                <w:szCs w:val="18"/>
                <w:color w:val="auto"/>
              </w:rPr>
              <w:t>Intangible assets, net</w:t>
            </w: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702,463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784,693</w:t>
            </w:r>
          </w:p>
        </w:tc>
      </w:tr>
      <w:tr>
        <w:trPr>
          <w:trHeight w:val="229"/>
        </w:trPr>
        <w:tc>
          <w:tcPr>
            <w:tcW w:w="85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Goodwill</w:t>
            </w: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117,019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117,516</w:t>
            </w:r>
          </w:p>
        </w:tc>
      </w:tr>
      <w:tr>
        <w:trPr>
          <w:trHeight w:val="230"/>
        </w:trPr>
        <w:tc>
          <w:tcPr>
            <w:tcW w:w="856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Other assets</w:t>
            </w: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39,806</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49,232</w:t>
            </w:r>
          </w:p>
        </w:tc>
      </w:tr>
      <w:tr>
        <w:trPr>
          <w:trHeight w:val="248"/>
        </w:trPr>
        <w:tc>
          <w:tcPr>
            <w:tcW w:w="8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assets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1,702,508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1,689,152</w:t>
            </w:r>
          </w:p>
        </w:tc>
      </w:tr>
      <w:tr>
        <w:trPr>
          <w:trHeight w:val="20"/>
        </w:trPr>
        <w:tc>
          <w:tcPr>
            <w:tcW w:w="85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8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229"/>
        </w:trPr>
        <w:tc>
          <w:tcPr>
            <w:tcW w:w="85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Liabilities and stockholders’ equity</w:t>
            </w: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30"/>
        </w:trPr>
        <w:tc>
          <w:tcPr>
            <w:tcW w:w="856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29"/>
        </w:trPr>
        <w:tc>
          <w:tcPr>
            <w:tcW w:w="85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Accounts payable and accrued liabilities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96,342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117,683</w:t>
            </w:r>
          </w:p>
        </w:tc>
      </w:tr>
      <w:tr>
        <w:trPr>
          <w:trHeight w:val="230"/>
        </w:trPr>
        <w:tc>
          <w:tcPr>
            <w:tcW w:w="8560" w:type="dxa"/>
            <w:vAlign w:val="bottom"/>
          </w:tcPr>
          <w:p>
            <w:pPr>
              <w:ind w:left="220"/>
              <w:spacing w:after="0"/>
              <w:rPr>
                <w:sz w:val="20"/>
                <w:szCs w:val="20"/>
                <w:color w:val="auto"/>
              </w:rPr>
            </w:pPr>
            <w:r>
              <w:rPr>
                <w:rFonts w:ascii="Arial" w:cs="Arial" w:eastAsia="Arial" w:hAnsi="Arial"/>
                <w:sz w:val="18"/>
                <w:szCs w:val="18"/>
                <w:color w:val="auto"/>
              </w:rPr>
              <w:t>Accrued product returns and rebates</w:t>
            </w: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151,665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132,724</w:t>
            </w:r>
          </w:p>
        </w:tc>
      </w:tr>
      <w:tr>
        <w:trPr>
          <w:trHeight w:val="229"/>
        </w:trPr>
        <w:tc>
          <w:tcPr>
            <w:tcW w:w="85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Contingent consideration, current portion</w:t>
            </w: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21,120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44,840</w:t>
            </w:r>
          </w:p>
        </w:tc>
      </w:tr>
      <w:tr>
        <w:trPr>
          <w:trHeight w:val="230"/>
        </w:trPr>
        <w:tc>
          <w:tcPr>
            <w:tcW w:w="8560" w:type="dxa"/>
            <w:vAlign w:val="bottom"/>
          </w:tcPr>
          <w:p>
            <w:pPr>
              <w:ind w:left="220"/>
              <w:spacing w:after="0" w:line="230" w:lineRule="exact"/>
              <w:rPr>
                <w:sz w:val="20"/>
                <w:szCs w:val="20"/>
                <w:color w:val="auto"/>
              </w:rPr>
            </w:pPr>
            <w:r>
              <w:rPr>
                <w:rFonts w:ascii="Arial" w:cs="Arial" w:eastAsia="Arial" w:hAnsi="Arial"/>
                <w:sz w:val="18"/>
                <w:szCs w:val="18"/>
                <w:color w:val="auto"/>
              </w:rPr>
              <w:t xml:space="preserve">Convertible notes, net </w:t>
            </w:r>
            <w:r>
              <w:rPr>
                <w:rFonts w:ascii="Arial" w:cs="Arial" w:eastAsia="Arial" w:hAnsi="Arial"/>
                <w:sz w:val="23"/>
                <w:szCs w:val="23"/>
                <w:color w:val="auto"/>
                <w:vertAlign w:val="superscript"/>
              </w:rPr>
              <w:t>(a)</w:t>
            </w: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401,968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5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Other current liabilities</w:t>
            </w:r>
          </w:p>
        </w:tc>
        <w:tc>
          <w:tcPr>
            <w:tcW w:w="1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16,863</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20,132</w:t>
            </w:r>
          </w:p>
        </w:tc>
      </w:tr>
      <w:tr>
        <w:trPr>
          <w:trHeight w:val="223"/>
        </w:trPr>
        <w:tc>
          <w:tcPr>
            <w:tcW w:w="8560" w:type="dxa"/>
            <w:vAlign w:val="bottom"/>
          </w:tcPr>
          <w:p>
            <w:pPr>
              <w:ind w:left="20"/>
              <w:spacing w:after="0"/>
              <w:rPr>
                <w:sz w:val="20"/>
                <w:szCs w:val="20"/>
                <w:color w:val="auto"/>
              </w:rPr>
            </w:pPr>
            <w:r>
              <w:rPr>
                <w:rFonts w:ascii="Arial" w:cs="Arial" w:eastAsia="Arial" w:hAnsi="Arial"/>
                <w:sz w:val="18"/>
                <w:szCs w:val="18"/>
                <w:b w:val="1"/>
                <w:bCs w:val="1"/>
                <w:color w:val="auto"/>
              </w:rPr>
              <w:t>Total current liabilities</w:t>
            </w: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687,958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315,379</w:t>
            </w:r>
          </w:p>
        </w:tc>
      </w:tr>
      <w:tr>
        <w:trPr>
          <w:trHeight w:val="230"/>
        </w:trPr>
        <w:tc>
          <w:tcPr>
            <w:tcW w:w="8560" w:type="dxa"/>
            <w:vAlign w:val="bottom"/>
            <w:shd w:val="clear" w:color="auto" w:fill="CCEEFF"/>
          </w:tcPr>
          <w:p>
            <w:pPr>
              <w:ind w:left="220"/>
              <w:spacing w:after="0" w:line="230" w:lineRule="exact"/>
              <w:rPr>
                <w:sz w:val="20"/>
                <w:szCs w:val="20"/>
                <w:color w:val="auto"/>
              </w:rPr>
            </w:pPr>
            <w:r>
              <w:rPr>
                <w:rFonts w:ascii="Arial" w:cs="Arial" w:eastAsia="Arial" w:hAnsi="Arial"/>
                <w:sz w:val="18"/>
                <w:szCs w:val="18"/>
                <w:color w:val="auto"/>
              </w:rPr>
              <w:t xml:space="preserve">Convertible notes, net </w:t>
            </w:r>
            <w:r>
              <w:rPr>
                <w:rFonts w:ascii="Arial" w:cs="Arial" w:eastAsia="Arial" w:hAnsi="Arial"/>
                <w:sz w:val="23"/>
                <w:szCs w:val="23"/>
                <w:color w:val="auto"/>
                <w:vertAlign w:val="superscript"/>
              </w:rPr>
              <w:t>(a)</w:t>
            </w:r>
          </w:p>
        </w:tc>
        <w:tc>
          <w:tcPr>
            <w:tcW w:w="1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379,252</w:t>
            </w:r>
          </w:p>
        </w:tc>
      </w:tr>
      <w:tr>
        <w:trPr>
          <w:trHeight w:val="230"/>
        </w:trPr>
        <w:tc>
          <w:tcPr>
            <w:tcW w:w="8560" w:type="dxa"/>
            <w:vAlign w:val="bottom"/>
          </w:tcPr>
          <w:p>
            <w:pPr>
              <w:ind w:left="220"/>
              <w:spacing w:after="0"/>
              <w:rPr>
                <w:sz w:val="20"/>
                <w:szCs w:val="20"/>
                <w:color w:val="auto"/>
              </w:rPr>
            </w:pPr>
            <w:r>
              <w:rPr>
                <w:rFonts w:ascii="Arial" w:cs="Arial" w:eastAsia="Arial" w:hAnsi="Arial"/>
                <w:sz w:val="18"/>
                <w:szCs w:val="18"/>
                <w:color w:val="auto"/>
              </w:rPr>
              <w:t>Contingent consideration, long-term</w:t>
            </w: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33,847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35,637</w:t>
            </w:r>
          </w:p>
        </w:tc>
      </w:tr>
      <w:tr>
        <w:trPr>
          <w:trHeight w:val="229"/>
        </w:trPr>
        <w:tc>
          <w:tcPr>
            <w:tcW w:w="85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Operating lease liabilities, long-term</w:t>
            </w: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35,998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41,298</w:t>
            </w:r>
          </w:p>
        </w:tc>
      </w:tr>
      <w:tr>
        <w:trPr>
          <w:trHeight w:val="230"/>
        </w:trPr>
        <w:tc>
          <w:tcPr>
            <w:tcW w:w="8560" w:type="dxa"/>
            <w:vAlign w:val="bottom"/>
          </w:tcPr>
          <w:p>
            <w:pPr>
              <w:ind w:left="220"/>
              <w:spacing w:after="0" w:line="230" w:lineRule="exact"/>
              <w:rPr>
                <w:sz w:val="20"/>
                <w:szCs w:val="20"/>
                <w:color w:val="auto"/>
              </w:rPr>
            </w:pPr>
            <w:r>
              <w:rPr>
                <w:rFonts w:ascii="Arial" w:cs="Arial" w:eastAsia="Arial" w:hAnsi="Arial"/>
                <w:sz w:val="18"/>
                <w:szCs w:val="18"/>
                <w:color w:val="auto"/>
              </w:rPr>
              <w:t xml:space="preserve">Deferred income tax liabilities </w:t>
            </w:r>
            <w:r>
              <w:rPr>
                <w:rFonts w:ascii="Arial" w:cs="Arial" w:eastAsia="Arial" w:hAnsi="Arial"/>
                <w:sz w:val="23"/>
                <w:szCs w:val="23"/>
                <w:color w:val="auto"/>
                <w:vertAlign w:val="superscript"/>
              </w:rPr>
              <w:t>(a)</w:t>
            </w: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49,809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85,355</w:t>
            </w:r>
          </w:p>
        </w:tc>
      </w:tr>
      <w:tr>
        <w:trPr>
          <w:trHeight w:val="230"/>
        </w:trPr>
        <w:tc>
          <w:tcPr>
            <w:tcW w:w="85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liabilities</w:t>
            </w:r>
          </w:p>
        </w:tc>
        <w:tc>
          <w:tcPr>
            <w:tcW w:w="1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8,692</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16,380</w:t>
            </w:r>
          </w:p>
        </w:tc>
      </w:tr>
      <w:tr>
        <w:trPr>
          <w:trHeight w:val="223"/>
        </w:trPr>
        <w:tc>
          <w:tcPr>
            <w:tcW w:w="856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Total liabilities</w:t>
            </w: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816,304</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873,301</w:t>
            </w:r>
          </w:p>
        </w:tc>
      </w:tr>
      <w:tr>
        <w:trPr>
          <w:trHeight w:val="196"/>
        </w:trPr>
        <w:tc>
          <w:tcPr>
            <w:tcW w:w="8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r>
      <w:tr>
        <w:trPr>
          <w:trHeight w:val="230"/>
        </w:trPr>
        <w:tc>
          <w:tcPr>
            <w:tcW w:w="8560" w:type="dxa"/>
            <w:vAlign w:val="bottom"/>
          </w:tcPr>
          <w:p>
            <w:pPr>
              <w:ind w:left="20"/>
              <w:spacing w:after="0"/>
              <w:rPr>
                <w:sz w:val="20"/>
                <w:szCs w:val="20"/>
                <w:color w:val="auto"/>
              </w:rPr>
            </w:pPr>
            <w:r>
              <w:rPr>
                <w:rFonts w:ascii="Arial" w:cs="Arial" w:eastAsia="Arial" w:hAnsi="Arial"/>
                <w:sz w:val="18"/>
                <w:szCs w:val="18"/>
                <w:b w:val="1"/>
                <w:bCs w:val="1"/>
                <w:color w:val="auto"/>
              </w:rPr>
              <w:t>Stockholders’ equity</w:t>
            </w: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188"/>
        </w:trPr>
        <w:tc>
          <w:tcPr>
            <w:tcW w:w="8560" w:type="dxa"/>
            <w:vAlign w:val="bottom"/>
            <w:shd w:val="clear" w:color="auto" w:fill="CCEEFF"/>
          </w:tcPr>
          <w:p>
            <w:pPr>
              <w:ind w:left="220"/>
              <w:spacing w:after="0" w:line="189" w:lineRule="exact"/>
              <w:rPr>
                <w:sz w:val="20"/>
                <w:szCs w:val="20"/>
                <w:color w:val="auto"/>
              </w:rPr>
            </w:pPr>
            <w:r>
              <w:rPr>
                <w:rFonts w:ascii="Arial" w:cs="Arial" w:eastAsia="Arial" w:hAnsi="Arial"/>
                <w:sz w:val="18"/>
                <w:szCs w:val="18"/>
                <w:color w:val="auto"/>
                <w:w w:val="92"/>
              </w:rPr>
              <w:t>Common stock, $0.001 par value; 130,000,000 shares authorized; 54,253,796 and 53,256,094 shares issued and</w:t>
            </w:r>
          </w:p>
        </w:tc>
        <w:tc>
          <w:tcPr>
            <w:tcW w:w="16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r>
      <w:tr>
        <w:trPr>
          <w:trHeight w:val="230"/>
        </w:trPr>
        <w:tc>
          <w:tcPr>
            <w:tcW w:w="85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outstanding as of December 31, 2022 and December 31, 2021, respectively</w:t>
            </w:r>
          </w:p>
        </w:tc>
        <w:tc>
          <w:tcPr>
            <w:tcW w:w="16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r>
      <w:tr>
        <w:trPr>
          <w:trHeight w:val="229"/>
        </w:trPr>
        <w:tc>
          <w:tcPr>
            <w:tcW w:w="8560" w:type="dxa"/>
            <w:vAlign w:val="bottom"/>
          </w:tcPr>
          <w:p>
            <w:pPr>
              <w:ind w:left="220"/>
              <w:spacing w:after="0" w:line="230" w:lineRule="exact"/>
              <w:rPr>
                <w:sz w:val="20"/>
                <w:szCs w:val="20"/>
                <w:color w:val="auto"/>
              </w:rPr>
            </w:pPr>
            <w:r>
              <w:rPr>
                <w:rFonts w:ascii="Arial" w:cs="Arial" w:eastAsia="Arial" w:hAnsi="Arial"/>
                <w:sz w:val="18"/>
                <w:szCs w:val="18"/>
                <w:color w:val="auto"/>
              </w:rPr>
              <w:t xml:space="preserve">Additional paid-in capital </w:t>
            </w:r>
            <w:r>
              <w:rPr>
                <w:rFonts w:ascii="Arial" w:cs="Arial" w:eastAsia="Arial" w:hAnsi="Arial"/>
                <w:sz w:val="23"/>
                <w:szCs w:val="23"/>
                <w:color w:val="auto"/>
                <w:vertAlign w:val="superscript"/>
              </w:rPr>
              <w:t>(a)</w:t>
            </w: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408,115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434,337</w:t>
            </w:r>
          </w:p>
        </w:tc>
      </w:tr>
      <w:tr>
        <w:trPr>
          <w:trHeight w:val="230"/>
        </w:trPr>
        <w:tc>
          <w:tcPr>
            <w:tcW w:w="85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Accumulated other comprehensive (loss) earnings, net of tax</w:t>
            </w: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1,539</w:t>
            </w:r>
          </w:p>
        </w:tc>
      </w:tr>
      <w:tr>
        <w:trPr>
          <w:trHeight w:val="230"/>
        </w:trPr>
        <w:tc>
          <w:tcPr>
            <w:tcW w:w="8560" w:type="dxa"/>
            <w:vAlign w:val="bottom"/>
            <w:tcBorders>
              <w:bottom w:val="single" w:sz="8" w:color="CCEEFF"/>
            </w:tcBorders>
          </w:tcPr>
          <w:p>
            <w:pPr>
              <w:ind w:left="220"/>
              <w:spacing w:after="0" w:line="230" w:lineRule="exact"/>
              <w:rPr>
                <w:sz w:val="20"/>
                <w:szCs w:val="20"/>
                <w:color w:val="auto"/>
              </w:rPr>
            </w:pPr>
            <w:r>
              <w:rPr>
                <w:rFonts w:ascii="Arial" w:cs="Arial" w:eastAsia="Arial" w:hAnsi="Arial"/>
                <w:sz w:val="18"/>
                <w:szCs w:val="18"/>
                <w:color w:val="auto"/>
              </w:rPr>
              <w:t xml:space="preserve">Retained earnings </w:t>
            </w:r>
            <w:r>
              <w:rPr>
                <w:rFonts w:ascii="Arial" w:cs="Arial" w:eastAsia="Arial" w:hAnsi="Arial"/>
                <w:sz w:val="23"/>
                <w:szCs w:val="23"/>
                <w:color w:val="auto"/>
                <w:vertAlign w:val="superscript"/>
              </w:rPr>
              <w:t>(a)</w:t>
            </w: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481,245</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379,922</w:t>
            </w:r>
          </w:p>
        </w:tc>
      </w:tr>
      <w:tr>
        <w:trPr>
          <w:trHeight w:val="223"/>
        </w:trPr>
        <w:tc>
          <w:tcPr>
            <w:tcW w:w="85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Total stockholders’ equity</w:t>
            </w:r>
          </w:p>
        </w:tc>
        <w:tc>
          <w:tcPr>
            <w:tcW w:w="1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886,204</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815,851</w:t>
            </w:r>
          </w:p>
        </w:tc>
      </w:tr>
      <w:tr>
        <w:trPr>
          <w:trHeight w:val="196"/>
        </w:trPr>
        <w:tc>
          <w:tcPr>
            <w:tcW w:w="8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55"/>
        </w:trPr>
        <w:tc>
          <w:tcPr>
            <w:tcW w:w="8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liabilities and stockholders’ equity</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1,702,508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1,689,152</w:t>
            </w:r>
          </w:p>
        </w:tc>
      </w:tr>
      <w:tr>
        <w:trPr>
          <w:trHeight w:val="20"/>
        </w:trPr>
        <w:tc>
          <w:tcPr>
            <w:tcW w:w="85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251"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w:t>
      </w:r>
    </w:p>
    <w:p>
      <w:pPr>
        <w:spacing w:after="0" w:line="20" w:lineRule="exact"/>
        <w:rPr>
          <w:sz w:val="20"/>
          <w:szCs w:val="20"/>
          <w:color w:val="auto"/>
        </w:rPr>
      </w:pPr>
    </w:p>
    <w:p>
      <w:pPr>
        <w:ind w:right="80" w:firstLine="8"/>
        <w:spacing w:after="0" w:line="251" w:lineRule="auto"/>
        <w:tabs>
          <w:tab w:leader="none" w:pos="157" w:val="left"/>
        </w:tabs>
        <w:numPr>
          <w:ilvl w:val="0"/>
          <w:numId w:val="11"/>
        </w:numPr>
        <w:rPr>
          <w:rFonts w:ascii="Arial" w:cs="Arial" w:eastAsia="Arial" w:hAnsi="Arial"/>
          <w:sz w:val="18"/>
          <w:szCs w:val="18"/>
          <w:color w:val="auto"/>
          <w:vertAlign w:val="superscript"/>
        </w:rPr>
      </w:pPr>
      <w:r>
        <w:rPr>
          <w:rFonts w:ascii="Arial" w:cs="Arial" w:eastAsia="Arial" w:hAnsi="Arial"/>
          <w:sz w:val="14"/>
          <w:szCs w:val="14"/>
          <w:color w:val="auto"/>
        </w:rPr>
        <w:t>Effective January 1, 2022, the Company adopted the simplified convertible instruments accounting guidance (ASU 2020-06), which impacted the treatment of our Convertible Senior Notes Due 2023. The adoption of ASU 2020-06 increased the carrying amount of the convertible notes, net by $20.6 million, increased retained earnings by $40.6 million, reduced additional paid-in capital by $56.2 million, and decreased deferred tax liabilities by $5.0 million as of January 1, 2022.</w:t>
      </w:r>
    </w:p>
    <w:p>
      <w:pPr>
        <w:sectPr>
          <w:pgSz w:w="11900" w:h="16838" w:orient="portrait"/>
          <w:cols w:equalWidth="0" w:num="1">
            <w:col w:w="11280"/>
          </w:cols>
          <w:pgMar w:left="320" w:top="1066" w:right="2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40"/>
        <w:spacing w:after="0"/>
        <w:rPr>
          <w:sz w:val="20"/>
          <w:szCs w:val="20"/>
          <w:color w:val="auto"/>
        </w:rPr>
      </w:pPr>
      <w:r>
        <w:rPr>
          <w:rFonts w:ascii="Arial" w:cs="Arial" w:eastAsia="Arial" w:hAnsi="Arial"/>
          <w:sz w:val="13"/>
          <w:szCs w:val="13"/>
          <w:color w:val="auto"/>
        </w:rPr>
        <w:t>6</w:t>
      </w:r>
    </w:p>
    <w:p>
      <w:pPr>
        <w:sectPr>
          <w:pgSz w:w="11900" w:h="16838" w:orient="portrait"/>
          <w:cols w:equalWidth="0" w:num="1">
            <w:col w:w="11280"/>
          </w:cols>
          <w:pgMar w:left="320" w:top="1066" w:right="299" w:bottom="1440" w:gutter="0" w:footer="0" w:header="0"/>
          <w:type w:val="continuous"/>
        </w:sectPr>
      </w:pPr>
    </w:p>
    <w:bookmarkStart w:id="9" w:name="page10"/>
    <w:bookmarkEnd w:id="9"/>
    <w:p>
      <w:pPr>
        <w:jc w:val="center"/>
        <w:ind w:right="-119"/>
        <w:spacing w:after="0"/>
        <w:rPr>
          <w:sz w:val="20"/>
          <w:szCs w:val="20"/>
          <w:color w:val="auto"/>
        </w:rPr>
      </w:pPr>
      <w:r>
        <w:rPr>
          <w:rFonts w:ascii="Arial" w:cs="Arial" w:eastAsia="Arial" w:hAnsi="Arial"/>
          <w:sz w:val="18"/>
          <w:szCs w:val="18"/>
          <w:b w:val="1"/>
          <w:bCs w:val="1"/>
          <w:color w:val="auto"/>
        </w:rPr>
        <w:t>Supernus Pharmaceuticals, Inc.</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Consolidated Statements of Earnings</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(Unaudited)</w:t>
      </w:r>
    </w:p>
    <w:p>
      <w:pPr>
        <w:spacing w:after="0" w:line="257" w:lineRule="exact"/>
        <w:rPr>
          <w:sz w:val="20"/>
          <w:szCs w:val="20"/>
          <w:color w:val="auto"/>
        </w:rPr>
      </w:pPr>
    </w:p>
    <w:tbl>
      <w:tblPr>
        <w:tblLayout w:type="fixed"/>
        <w:tblInd w:w="38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60" w:type="dxa"/>
            <w:vAlign w:val="bottom"/>
            <w:gridSpan w:val="5"/>
          </w:tcPr>
          <w:p>
            <w:pPr>
              <w:ind w:left="460"/>
              <w:spacing w:after="0"/>
              <w:rPr>
                <w:sz w:val="20"/>
                <w:szCs w:val="20"/>
                <w:color w:val="auto"/>
              </w:rPr>
            </w:pPr>
            <w:r>
              <w:rPr>
                <w:rFonts w:ascii="Arial" w:cs="Arial" w:eastAsia="Arial" w:hAnsi="Arial"/>
                <w:sz w:val="14"/>
                <w:szCs w:val="14"/>
                <w:b w:val="1"/>
                <w:bCs w:val="1"/>
                <w:color w:val="auto"/>
              </w:rPr>
              <w:t>Three Months Ended</w:t>
            </w:r>
          </w:p>
        </w:tc>
        <w:tc>
          <w:tcPr>
            <w:tcW w:w="300" w:type="dxa"/>
            <w:vAlign w:val="bottom"/>
          </w:tcPr>
          <w:p>
            <w:pPr>
              <w:spacing w:after="0"/>
              <w:rPr>
                <w:sz w:val="14"/>
                <w:szCs w:val="14"/>
                <w:color w:val="auto"/>
              </w:rPr>
            </w:pPr>
          </w:p>
        </w:tc>
        <w:tc>
          <w:tcPr>
            <w:tcW w:w="2600" w:type="dxa"/>
            <w:vAlign w:val="bottom"/>
            <w:gridSpan w:val="4"/>
          </w:tcPr>
          <w:p>
            <w:pPr>
              <w:jc w:val="right"/>
              <w:ind w:right="671"/>
              <w:spacing w:after="0"/>
              <w:rPr>
                <w:sz w:val="20"/>
                <w:szCs w:val="20"/>
                <w:color w:val="auto"/>
              </w:rPr>
            </w:pPr>
            <w:r>
              <w:rPr>
                <w:rFonts w:ascii="Arial" w:cs="Arial" w:eastAsia="Arial" w:hAnsi="Arial"/>
                <w:sz w:val="14"/>
                <w:szCs w:val="14"/>
                <w:b w:val="1"/>
                <w:bCs w:val="1"/>
                <w:color w:val="auto"/>
              </w:rPr>
              <w:t>Twelve Months Ended</w:t>
            </w:r>
          </w:p>
        </w:tc>
      </w:tr>
      <w:tr>
        <w:trPr>
          <w:trHeight w:val="192"/>
        </w:trPr>
        <w:tc>
          <w:tcPr>
            <w:tcW w:w="47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9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960" w:type="dxa"/>
            <w:vAlign w:val="bottom"/>
            <w:tcBorders>
              <w:bottom w:val="single" w:sz="8" w:color="auto"/>
            </w:tcBorders>
          </w:tcPr>
          <w:p>
            <w:pPr>
              <w:spacing w:after="0"/>
              <w:rPr>
                <w:sz w:val="16"/>
                <w:szCs w:val="16"/>
                <w:color w:val="auto"/>
              </w:rPr>
            </w:pPr>
          </w:p>
        </w:tc>
      </w:tr>
      <w:tr>
        <w:trPr>
          <w:trHeight w:val="196"/>
        </w:trPr>
        <w:tc>
          <w:tcPr>
            <w:tcW w:w="47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2021</w:t>
            </w:r>
          </w:p>
        </w:tc>
      </w:tr>
      <w:tr>
        <w:trPr>
          <w:trHeight w:val="216"/>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29"/>
        </w:trPr>
        <w:tc>
          <w:tcPr>
            <w:tcW w:w="4700" w:type="dxa"/>
            <w:vAlign w:val="bottom"/>
          </w:tcPr>
          <w:p>
            <w:pPr>
              <w:ind w:left="220"/>
              <w:spacing w:after="0"/>
              <w:rPr>
                <w:sz w:val="20"/>
                <w:szCs w:val="20"/>
                <w:color w:val="auto"/>
              </w:rPr>
            </w:pPr>
            <w:r>
              <w:rPr>
                <w:rFonts w:ascii="Arial" w:cs="Arial" w:eastAsia="Arial" w:hAnsi="Arial"/>
                <w:sz w:val="18"/>
                <w:szCs w:val="18"/>
                <w:color w:val="auto"/>
              </w:rPr>
              <w:t>Net product sales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163,785</w:t>
            </w:r>
          </w:p>
        </w:tc>
        <w:tc>
          <w:tcPr>
            <w:tcW w:w="80" w:type="dxa"/>
            <w:vAlign w:val="bottom"/>
          </w:tcPr>
          <w:p>
            <w:pPr>
              <w:spacing w:after="0"/>
              <w:rPr>
                <w:sz w:val="19"/>
                <w:szCs w:val="19"/>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154,963</w:t>
            </w:r>
          </w:p>
        </w:tc>
        <w:tc>
          <w:tcPr>
            <w:tcW w:w="10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649,432</w:t>
            </w:r>
          </w:p>
        </w:tc>
        <w:tc>
          <w:tcPr>
            <w:tcW w:w="100" w:type="dxa"/>
            <w:vAlign w:val="bottom"/>
          </w:tcPr>
          <w:p>
            <w:pPr>
              <w:spacing w:after="0"/>
              <w:rPr>
                <w:sz w:val="19"/>
                <w:szCs w:val="19"/>
                <w:color w:val="auto"/>
              </w:rPr>
            </w:pP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567,504</w:t>
            </w:r>
          </w:p>
        </w:tc>
      </w:tr>
      <w:tr>
        <w:trPr>
          <w:trHeight w:val="229"/>
        </w:trPr>
        <w:tc>
          <w:tcPr>
            <w:tcW w:w="4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Royalty revenues</w:t>
            </w: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3,543</w:t>
            </w:r>
          </w:p>
        </w:tc>
        <w:tc>
          <w:tcPr>
            <w:tcW w:w="8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4,087</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17,806</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12,271</w:t>
            </w:r>
          </w:p>
        </w:tc>
      </w:tr>
      <w:tr>
        <w:trPr>
          <w:trHeight w:val="223"/>
        </w:trPr>
        <w:tc>
          <w:tcPr>
            <w:tcW w:w="470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Total revenues</w:t>
            </w: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167,328</w:t>
            </w:r>
          </w:p>
        </w:tc>
        <w:tc>
          <w:tcPr>
            <w:tcW w:w="8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159,050</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667,238</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579,775</w:t>
            </w:r>
          </w:p>
        </w:tc>
      </w:tr>
      <w:tr>
        <w:trPr>
          <w:trHeight w:val="250"/>
        </w:trPr>
        <w:tc>
          <w:tcPr>
            <w:tcW w:w="47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r>
      <w:tr>
        <w:trPr>
          <w:trHeight w:val="229"/>
        </w:trPr>
        <w:tc>
          <w:tcPr>
            <w:tcW w:w="4700" w:type="dxa"/>
            <w:vAlign w:val="bottom"/>
          </w:tcPr>
          <w:p>
            <w:pPr>
              <w:ind w:left="20"/>
              <w:spacing w:after="0"/>
              <w:rPr>
                <w:sz w:val="20"/>
                <w:szCs w:val="20"/>
                <w:color w:val="auto"/>
              </w:rPr>
            </w:pPr>
            <w:r>
              <w:rPr>
                <w:rFonts w:ascii="Arial" w:cs="Arial" w:eastAsia="Arial" w:hAnsi="Arial"/>
                <w:sz w:val="18"/>
                <w:szCs w:val="18"/>
                <w:color w:val="auto"/>
              </w:rPr>
              <w:t>Costs and expenses</w:t>
            </w: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30"/>
        </w:trPr>
        <w:tc>
          <w:tcPr>
            <w:tcW w:w="4700" w:type="dxa"/>
            <w:vAlign w:val="bottom"/>
            <w:shd w:val="clear" w:color="auto" w:fill="CCEEFF"/>
          </w:tcPr>
          <w:p>
            <w:pPr>
              <w:ind w:left="220"/>
              <w:spacing w:after="0" w:line="230" w:lineRule="exact"/>
              <w:rPr>
                <w:sz w:val="20"/>
                <w:szCs w:val="20"/>
                <w:color w:val="auto"/>
              </w:rPr>
            </w:pPr>
            <w:r>
              <w:rPr>
                <w:rFonts w:ascii="Arial" w:cs="Arial" w:eastAsia="Arial" w:hAnsi="Arial"/>
                <w:sz w:val="18"/>
                <w:szCs w:val="18"/>
                <w:color w:val="auto"/>
              </w:rPr>
              <w:t xml:space="preserve">Cost of goods sold </w:t>
            </w:r>
            <w:r>
              <w:rPr>
                <w:rFonts w:ascii="Arial" w:cs="Arial" w:eastAsia="Arial" w:hAnsi="Arial"/>
                <w:sz w:val="23"/>
                <w:szCs w:val="23"/>
                <w:color w:val="auto"/>
                <w:vertAlign w:val="superscript"/>
              </w:rPr>
              <w:t>(a)</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22,954</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16,994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87,221</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75,061</w:t>
            </w:r>
          </w:p>
        </w:tc>
      </w:tr>
      <w:tr>
        <w:trPr>
          <w:trHeight w:val="229"/>
        </w:trPr>
        <w:tc>
          <w:tcPr>
            <w:tcW w:w="4700" w:type="dxa"/>
            <w:vAlign w:val="bottom"/>
          </w:tcPr>
          <w:p>
            <w:pPr>
              <w:ind w:left="220"/>
              <w:spacing w:after="0"/>
              <w:rPr>
                <w:sz w:val="20"/>
                <w:szCs w:val="20"/>
                <w:color w:val="auto"/>
              </w:rPr>
            </w:pPr>
            <w:r>
              <w:rPr>
                <w:rFonts w:ascii="Arial" w:cs="Arial" w:eastAsia="Arial" w:hAnsi="Arial"/>
                <w:sz w:val="18"/>
                <w:szCs w:val="18"/>
                <w:color w:val="auto"/>
              </w:rPr>
              <w:t>Research and development</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17,774</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21,078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74,552</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90,467</w:t>
            </w:r>
          </w:p>
        </w:tc>
      </w:tr>
      <w:tr>
        <w:trPr>
          <w:trHeight w:val="230"/>
        </w:trPr>
        <w:tc>
          <w:tcPr>
            <w:tcW w:w="4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Selling, general and administrative</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73,972</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101,735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377,221</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304,759</w:t>
            </w:r>
          </w:p>
        </w:tc>
      </w:tr>
      <w:tr>
        <w:trPr>
          <w:trHeight w:val="229"/>
        </w:trPr>
        <w:tc>
          <w:tcPr>
            <w:tcW w:w="4700" w:type="dxa"/>
            <w:vAlign w:val="bottom"/>
          </w:tcPr>
          <w:p>
            <w:pPr>
              <w:ind w:left="240"/>
              <w:spacing w:after="0"/>
              <w:rPr>
                <w:sz w:val="20"/>
                <w:szCs w:val="20"/>
                <w:color w:val="auto"/>
              </w:rPr>
            </w:pPr>
            <w:r>
              <w:rPr>
                <w:rFonts w:ascii="Arial" w:cs="Arial" w:eastAsia="Arial" w:hAnsi="Arial"/>
                <w:sz w:val="18"/>
                <w:szCs w:val="18"/>
                <w:color w:val="auto"/>
              </w:rPr>
              <w:t>Amortization of intangible assets</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20,698</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12,025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82,630</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29,989</w:t>
            </w:r>
          </w:p>
        </w:tc>
      </w:tr>
      <w:tr>
        <w:trPr>
          <w:trHeight w:val="229"/>
        </w:trPr>
        <w:tc>
          <w:tcPr>
            <w:tcW w:w="4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Contingent consideration (gain) expense</w:t>
            </w: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(2,404)</w:t>
            </w:r>
          </w:p>
        </w:tc>
        <w:tc>
          <w:tcPr>
            <w:tcW w:w="8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1,120</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(510)</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(6,530)</w:t>
            </w:r>
          </w:p>
        </w:tc>
      </w:tr>
      <w:tr>
        <w:trPr>
          <w:trHeight w:val="223"/>
        </w:trPr>
        <w:tc>
          <w:tcPr>
            <w:tcW w:w="47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Total costs and expenses</w:t>
            </w: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132,994</w:t>
            </w:r>
          </w:p>
        </w:tc>
        <w:tc>
          <w:tcPr>
            <w:tcW w:w="8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152,952</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621,114</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493,746</w:t>
            </w:r>
          </w:p>
        </w:tc>
      </w:tr>
      <w:tr>
        <w:trPr>
          <w:trHeight w:val="250"/>
        </w:trPr>
        <w:tc>
          <w:tcPr>
            <w:tcW w:w="47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r>
      <w:tr>
        <w:trPr>
          <w:trHeight w:val="229"/>
        </w:trPr>
        <w:tc>
          <w:tcPr>
            <w:tcW w:w="47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Operating earnings</w:t>
            </w: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34,334</w:t>
            </w:r>
          </w:p>
        </w:tc>
        <w:tc>
          <w:tcPr>
            <w:tcW w:w="8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6,098</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46,124</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86,029</w:t>
            </w:r>
          </w:p>
        </w:tc>
      </w:tr>
      <w:tr>
        <w:trPr>
          <w:trHeight w:val="250"/>
        </w:trPr>
        <w:tc>
          <w:tcPr>
            <w:tcW w:w="47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r>
      <w:tr>
        <w:trPr>
          <w:trHeight w:val="230"/>
        </w:trPr>
        <w:tc>
          <w:tcPr>
            <w:tcW w:w="4700" w:type="dxa"/>
            <w:vAlign w:val="bottom"/>
          </w:tcPr>
          <w:p>
            <w:pPr>
              <w:ind w:left="20"/>
              <w:spacing w:after="0"/>
              <w:rPr>
                <w:sz w:val="20"/>
                <w:szCs w:val="20"/>
                <w:color w:val="auto"/>
              </w:rPr>
            </w:pPr>
            <w:r>
              <w:rPr>
                <w:rFonts w:ascii="Arial" w:cs="Arial" w:eastAsia="Arial" w:hAnsi="Arial"/>
                <w:sz w:val="18"/>
                <w:szCs w:val="18"/>
                <w:color w:val="auto"/>
              </w:rPr>
              <w:t>Other income (expense)</w:t>
            </w: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29"/>
        </w:trPr>
        <w:tc>
          <w:tcPr>
            <w:tcW w:w="4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and other income, net</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2,400</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21,689</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10,569</w:t>
            </w:r>
          </w:p>
        </w:tc>
      </w:tr>
      <w:tr>
        <w:trPr>
          <w:trHeight w:val="230"/>
        </w:trPr>
        <w:tc>
          <w:tcPr>
            <w:tcW w:w="4700" w:type="dxa"/>
            <w:vAlign w:val="bottom"/>
            <w:tcBorders>
              <w:bottom w:val="single" w:sz="8" w:color="CCEEFF"/>
            </w:tcBorders>
          </w:tcPr>
          <w:p>
            <w:pPr>
              <w:ind w:left="220"/>
              <w:spacing w:after="0" w:line="230" w:lineRule="exact"/>
              <w:rPr>
                <w:sz w:val="20"/>
                <w:szCs w:val="20"/>
                <w:color w:val="auto"/>
              </w:rPr>
            </w:pPr>
            <w:r>
              <w:rPr>
                <w:rFonts w:ascii="Arial" w:cs="Arial" w:eastAsia="Arial" w:hAnsi="Arial"/>
                <w:sz w:val="18"/>
                <w:szCs w:val="18"/>
                <w:color w:val="auto"/>
              </w:rPr>
              <w:t xml:space="preserve">Interest expense </w:t>
            </w:r>
            <w:r>
              <w:rPr>
                <w:rFonts w:ascii="Arial" w:cs="Arial" w:eastAsia="Arial" w:hAnsi="Arial"/>
                <w:sz w:val="23"/>
                <w:szCs w:val="23"/>
                <w:color w:val="auto"/>
                <w:vertAlign w:val="superscript"/>
              </w:rPr>
              <w:t>(b)</w:t>
            </w: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(1,594)</w:t>
            </w:r>
          </w:p>
        </w:tc>
        <w:tc>
          <w:tcPr>
            <w:tcW w:w="8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(5,934)</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(7,070)</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(23,423)</w:t>
            </w:r>
          </w:p>
        </w:tc>
      </w:tr>
      <w:tr>
        <w:trPr>
          <w:trHeight w:val="223"/>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other income (expense)</w:t>
            </w: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806</w:t>
            </w:r>
          </w:p>
        </w:tc>
        <w:tc>
          <w:tcPr>
            <w:tcW w:w="8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(4,047)</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14,619</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(12,854)</w:t>
            </w:r>
          </w:p>
        </w:tc>
      </w:tr>
      <w:tr>
        <w:trPr>
          <w:trHeight w:val="250"/>
        </w:trPr>
        <w:tc>
          <w:tcPr>
            <w:tcW w:w="47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30"/>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Earnings before income taxes</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35,140</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60,743</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73,175</w:t>
            </w:r>
          </w:p>
        </w:tc>
      </w:tr>
      <w:tr>
        <w:trPr>
          <w:trHeight w:val="270"/>
        </w:trPr>
        <w:tc>
          <w:tcPr>
            <w:tcW w:w="47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60" w:type="dxa"/>
            <w:vAlign w:val="bottom"/>
          </w:tcPr>
          <w:p>
            <w:pPr>
              <w:spacing w:after="0"/>
              <w:rPr>
                <w:sz w:val="23"/>
                <w:szCs w:val="23"/>
                <w:color w:val="auto"/>
              </w:rPr>
            </w:pPr>
          </w:p>
        </w:tc>
      </w:tr>
      <w:tr>
        <w:trPr>
          <w:trHeight w:val="229"/>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(benefit) expense</w:t>
            </w: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9,659</w:t>
            </w:r>
          </w:p>
        </w:tc>
        <w:tc>
          <w:tcPr>
            <w:tcW w:w="8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(391)</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19,751</w:t>
            </w:r>
          </w:p>
        </w:tc>
      </w:tr>
      <w:tr>
        <w:trPr>
          <w:trHeight w:val="223"/>
        </w:trPr>
        <w:tc>
          <w:tcPr>
            <w:tcW w:w="4700" w:type="dxa"/>
            <w:vAlign w:val="bottom"/>
          </w:tcPr>
          <w:p>
            <w:pPr>
              <w:ind w:left="20"/>
              <w:spacing w:after="0"/>
              <w:rPr>
                <w:sz w:val="20"/>
                <w:szCs w:val="20"/>
                <w:color w:val="auto"/>
              </w:rPr>
            </w:pPr>
            <w:r>
              <w:rPr>
                <w:rFonts w:ascii="Arial" w:cs="Arial" w:eastAsia="Arial" w:hAnsi="Arial"/>
                <w:sz w:val="18"/>
                <w:szCs w:val="18"/>
                <w:color w:val="auto"/>
              </w:rPr>
              <w:t>Net earnings</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25,481</w:t>
            </w:r>
          </w:p>
        </w:tc>
        <w:tc>
          <w:tcPr>
            <w:tcW w:w="80" w:type="dxa"/>
            <w:vAlign w:val="bottom"/>
          </w:tcPr>
          <w:p>
            <w:pPr>
              <w:spacing w:after="0"/>
              <w:rPr>
                <w:sz w:val="19"/>
                <w:szCs w:val="19"/>
                <w:color w:val="auto"/>
              </w:rPr>
            </w:pPr>
          </w:p>
        </w:tc>
        <w:tc>
          <w:tcPr>
            <w:tcW w:w="4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2,442</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60,711</w:t>
            </w:r>
          </w:p>
        </w:tc>
        <w:tc>
          <w:tcPr>
            <w:tcW w:w="100" w:type="dxa"/>
            <w:vAlign w:val="bottom"/>
          </w:tcPr>
          <w:p>
            <w:pPr>
              <w:spacing w:after="0"/>
              <w:rPr>
                <w:sz w:val="19"/>
                <w:szCs w:val="19"/>
                <w:color w:val="auto"/>
              </w:rPr>
            </w:pPr>
          </w:p>
        </w:tc>
        <w:tc>
          <w:tcPr>
            <w:tcW w:w="4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53,424</w:t>
            </w:r>
          </w:p>
        </w:tc>
      </w:tr>
      <w:tr>
        <w:trPr>
          <w:trHeight w:val="20"/>
        </w:trPr>
        <w:tc>
          <w:tcPr>
            <w:tcW w:w="47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237"/>
        </w:trPr>
        <w:tc>
          <w:tcPr>
            <w:tcW w:w="47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r>
      <w:tr>
        <w:trPr>
          <w:trHeight w:val="230"/>
        </w:trPr>
        <w:tc>
          <w:tcPr>
            <w:tcW w:w="4700" w:type="dxa"/>
            <w:vAlign w:val="bottom"/>
          </w:tcPr>
          <w:p>
            <w:pPr>
              <w:ind w:left="20"/>
              <w:spacing w:after="0"/>
              <w:rPr>
                <w:sz w:val="20"/>
                <w:szCs w:val="20"/>
                <w:color w:val="auto"/>
              </w:rPr>
            </w:pPr>
            <w:r>
              <w:rPr>
                <w:rFonts w:ascii="Arial" w:cs="Arial" w:eastAsia="Arial" w:hAnsi="Arial"/>
                <w:sz w:val="18"/>
                <w:szCs w:val="18"/>
                <w:color w:val="auto"/>
              </w:rPr>
              <w:t>Earnings per share</w:t>
            </w: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30"/>
        </w:trPr>
        <w:tc>
          <w:tcPr>
            <w:tcW w:w="4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Basic</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0.47</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w:t>
            </w:r>
          </w:p>
        </w:tc>
      </w:tr>
      <w:tr>
        <w:trPr>
          <w:trHeight w:val="229"/>
        </w:trPr>
        <w:tc>
          <w:tcPr>
            <w:tcW w:w="4700" w:type="dxa"/>
            <w:vAlign w:val="bottom"/>
          </w:tcPr>
          <w:p>
            <w:pPr>
              <w:ind w:left="140"/>
              <w:spacing w:after="0" w:line="230" w:lineRule="exact"/>
              <w:rPr>
                <w:sz w:val="20"/>
                <w:szCs w:val="20"/>
                <w:color w:val="auto"/>
              </w:rPr>
            </w:pPr>
            <w:r>
              <w:rPr>
                <w:rFonts w:ascii="Arial" w:cs="Arial" w:eastAsia="Arial" w:hAnsi="Arial"/>
                <w:sz w:val="18"/>
                <w:szCs w:val="18"/>
                <w:color w:val="auto"/>
              </w:rPr>
              <w:t xml:space="preserve">Diluted </w:t>
            </w:r>
            <w:r>
              <w:rPr>
                <w:rFonts w:ascii="Arial" w:cs="Arial" w:eastAsia="Arial" w:hAnsi="Arial"/>
                <w:sz w:val="23"/>
                <w:szCs w:val="23"/>
                <w:color w:val="auto"/>
                <w:vertAlign w:val="superscript"/>
              </w:rPr>
              <w:t>(b)</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0.43</w:t>
            </w:r>
          </w:p>
        </w:tc>
        <w:tc>
          <w:tcPr>
            <w:tcW w:w="80" w:type="dxa"/>
            <w:vAlign w:val="bottom"/>
          </w:tcPr>
          <w:p>
            <w:pPr>
              <w:spacing w:after="0"/>
              <w:rPr>
                <w:sz w:val="19"/>
                <w:szCs w:val="19"/>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0.04</w:t>
            </w:r>
          </w:p>
        </w:tc>
        <w:tc>
          <w:tcPr>
            <w:tcW w:w="10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1.04</w:t>
            </w:r>
          </w:p>
        </w:tc>
        <w:tc>
          <w:tcPr>
            <w:tcW w:w="100" w:type="dxa"/>
            <w:vAlign w:val="bottom"/>
          </w:tcPr>
          <w:p>
            <w:pPr>
              <w:spacing w:after="0"/>
              <w:rPr>
                <w:sz w:val="19"/>
                <w:szCs w:val="19"/>
                <w:color w:val="auto"/>
              </w:rPr>
            </w:pP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0.98</w:t>
            </w:r>
          </w:p>
        </w:tc>
      </w:tr>
      <w:tr>
        <w:trPr>
          <w:trHeight w:val="270"/>
        </w:trPr>
        <w:tc>
          <w:tcPr>
            <w:tcW w:w="47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r>
      <w:tr>
        <w:trPr>
          <w:trHeight w:val="230"/>
        </w:trPr>
        <w:tc>
          <w:tcPr>
            <w:tcW w:w="4700" w:type="dxa"/>
            <w:vAlign w:val="bottom"/>
          </w:tcPr>
          <w:p>
            <w:pPr>
              <w:ind w:left="20"/>
              <w:spacing w:after="0"/>
              <w:rPr>
                <w:sz w:val="20"/>
                <w:szCs w:val="20"/>
                <w:color w:val="auto"/>
              </w:rPr>
            </w:pPr>
            <w:r>
              <w:rPr>
                <w:rFonts w:ascii="Arial" w:cs="Arial" w:eastAsia="Arial" w:hAnsi="Arial"/>
                <w:sz w:val="18"/>
                <w:szCs w:val="18"/>
                <w:color w:val="auto"/>
              </w:rPr>
              <w:t>Weighted average shares outstanding</w:t>
            </w: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30"/>
        </w:trPr>
        <w:tc>
          <w:tcPr>
            <w:tcW w:w="4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Basic</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54,104,908</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53,235,082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53,665,143</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53,099,330</w:t>
            </w:r>
          </w:p>
        </w:tc>
      </w:tr>
      <w:tr>
        <w:trPr>
          <w:trHeight w:val="312"/>
        </w:trPr>
        <w:tc>
          <w:tcPr>
            <w:tcW w:w="4700" w:type="dxa"/>
            <w:vAlign w:val="bottom"/>
          </w:tcPr>
          <w:p>
            <w:pPr>
              <w:ind w:left="140"/>
              <w:spacing w:after="0"/>
              <w:rPr>
                <w:sz w:val="20"/>
                <w:szCs w:val="20"/>
                <w:color w:val="auto"/>
              </w:rPr>
            </w:pPr>
            <w:r>
              <w:rPr>
                <w:rFonts w:ascii="Arial" w:cs="Arial" w:eastAsia="Arial" w:hAnsi="Arial"/>
                <w:sz w:val="18"/>
                <w:szCs w:val="18"/>
                <w:color w:val="auto"/>
              </w:rPr>
              <w:t xml:space="preserve">Diluted </w:t>
            </w:r>
            <w:r>
              <w:rPr>
                <w:rFonts w:ascii="Arial" w:cs="Arial" w:eastAsia="Arial" w:hAnsi="Arial"/>
                <w:sz w:val="23"/>
                <w:szCs w:val="23"/>
                <w:color w:val="auto"/>
                <w:vertAlign w:val="superscript"/>
              </w:rPr>
              <w:t>(b)</w:t>
            </w:r>
          </w:p>
        </w:tc>
        <w:tc>
          <w:tcPr>
            <w:tcW w:w="3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62,087,687</w:t>
            </w: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w w:val="95"/>
              </w:rPr>
              <w:t>54,528,826</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61,679,800</w:t>
            </w: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w w:val="95"/>
              </w:rPr>
              <w:t>54,356,744</w:t>
            </w:r>
          </w:p>
        </w:tc>
      </w:tr>
    </w:tbl>
    <w:p>
      <w:pPr>
        <w:spacing w:after="0" w:line="169"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w:t>
      </w:r>
    </w:p>
    <w:p>
      <w:pPr>
        <w:spacing w:after="0" w:line="23" w:lineRule="exact"/>
        <w:rPr>
          <w:sz w:val="20"/>
          <w:szCs w:val="20"/>
          <w:color w:val="auto"/>
        </w:rPr>
      </w:pPr>
    </w:p>
    <w:p>
      <w:pPr>
        <w:ind w:left="160" w:hanging="152"/>
        <w:spacing w:after="0"/>
        <w:tabs>
          <w:tab w:leader="none" w:pos="160" w:val="left"/>
        </w:tabs>
        <w:numPr>
          <w:ilvl w:val="0"/>
          <w:numId w:val="12"/>
        </w:numPr>
        <w:rPr>
          <w:rFonts w:ascii="Arial" w:cs="Arial" w:eastAsia="Arial" w:hAnsi="Arial"/>
          <w:sz w:val="18"/>
          <w:szCs w:val="18"/>
          <w:color w:val="auto"/>
          <w:vertAlign w:val="superscript"/>
        </w:rPr>
      </w:pPr>
      <w:r>
        <w:rPr>
          <w:rFonts w:ascii="Arial" w:cs="Arial" w:eastAsia="Arial" w:hAnsi="Arial"/>
          <w:sz w:val="14"/>
          <w:szCs w:val="14"/>
          <w:color w:val="auto"/>
        </w:rPr>
        <w:t>Excludes amortization of acquired intangible assets</w:t>
      </w:r>
    </w:p>
    <w:p>
      <w:pPr>
        <w:spacing w:after="0" w:line="10" w:lineRule="exact"/>
        <w:rPr>
          <w:rFonts w:ascii="Arial" w:cs="Arial" w:eastAsia="Arial" w:hAnsi="Arial"/>
          <w:sz w:val="18"/>
          <w:szCs w:val="18"/>
          <w:color w:val="auto"/>
          <w:vertAlign w:val="superscript"/>
        </w:rPr>
      </w:pPr>
    </w:p>
    <w:p>
      <w:pPr>
        <w:ind w:firstLine="8"/>
        <w:spacing w:after="0" w:line="302" w:lineRule="auto"/>
        <w:tabs>
          <w:tab w:leader="none" w:pos="149" w:val="left"/>
        </w:tabs>
        <w:numPr>
          <w:ilvl w:val="0"/>
          <w:numId w:val="12"/>
        </w:numPr>
        <w:rPr>
          <w:rFonts w:ascii="Arial" w:cs="Arial" w:eastAsia="Arial" w:hAnsi="Arial"/>
          <w:sz w:val="17"/>
          <w:szCs w:val="17"/>
          <w:color w:val="auto"/>
          <w:vertAlign w:val="superscript"/>
        </w:rPr>
      </w:pPr>
      <w:r>
        <w:rPr>
          <w:rFonts w:ascii="Arial" w:cs="Arial" w:eastAsia="Arial" w:hAnsi="Arial"/>
          <w:sz w:val="13"/>
          <w:szCs w:val="13"/>
          <w:color w:val="auto"/>
        </w:rPr>
        <w:t>As a result of the adoption of ASU 2020-06 in January 1, 2022, for the 2022 periods presented, the Company used the if-converted method in calculating diluted earnings per share. The potential dilutive effect of the convertible notes, an increase of 6.8 million in dilutive shares, is included in the computation of diluted earnings (loss) per share if these are determined to be dilutive for the respective period. In addition, beginning January 1, 2022, the Company no longer records interest expense on the previously recorded discount for the embedded conversion feature on the Convertible Senior Notes Due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160"/>
          </w:cols>
          <w:pgMar w:left="320" w:top="1066" w:right="419" w:bottom="1440" w:gutter="0" w:footer="0" w:header="0"/>
        </w:sectPr>
      </w:pPr>
    </w:p>
    <w:bookmarkStart w:id="10" w:name="page11"/>
    <w:bookmarkEnd w:id="10"/>
    <w:p>
      <w:pPr>
        <w:spacing w:after="0"/>
        <w:rPr>
          <w:sz w:val="20"/>
          <w:szCs w:val="20"/>
          <w:color w:val="auto"/>
        </w:rPr>
      </w:pPr>
      <w:r>
        <w:rPr>
          <w:rFonts w:ascii="Arial" w:cs="Arial" w:eastAsia="Arial" w:hAnsi="Arial"/>
          <w:sz w:val="20"/>
          <w:szCs w:val="20"/>
          <w:b w:val="1"/>
          <w:bCs w:val="1"/>
          <w:color w:val="auto"/>
        </w:rPr>
        <w:t>CONTACTS:</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color w:val="auto"/>
        </w:rPr>
        <w:t>Jack A. Khattar, President and CEO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Timothy C. Dec, Senior Vice President and CFO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Supernus Pharmaceuticals,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 (301) 838-2591</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or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INVESTOR CONTACT: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Peter Vozzo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ICR Westwicke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Office: (443) 213-0505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Mobile: (443) 377-4767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peter.vozzo@westwicke.com</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right"/>
        <w:ind w:right="4479"/>
        <w:spacing w:after="0"/>
        <w:rPr>
          <w:sz w:val="20"/>
          <w:szCs w:val="20"/>
          <w:color w:val="auto"/>
        </w:rPr>
      </w:pPr>
      <w:r>
        <w:rPr>
          <w:rFonts w:ascii="Arial" w:cs="Arial" w:eastAsia="Arial" w:hAnsi="Arial"/>
          <w:sz w:val="18"/>
          <w:szCs w:val="18"/>
          <w:color w:val="auto"/>
        </w:rPr>
        <w:t>8</w:t>
      </w:r>
    </w:p>
    <w:sectPr>
      <w:pgSz w:w="11900" w:h="16838" w:orient="portrait"/>
      <w:cols w:equalWidth="0" w:num="1">
        <w:col w:w="10139"/>
      </w:cols>
      <w:pgMar w:left="320" w:top="88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abstractNum>
  <w:abstractNum w:abstractNumId="1">
    <w:nsid w:val="41B71EFB"/>
    <w:multiLevelType w:val="hybridMultilevel"/>
    <w:lvl w:ilvl="0">
      <w:lvlJc w:val="left"/>
      <w:lvlText w:val="(%1)"/>
      <w:numFmt w:val="lowerLetter"/>
      <w:start w:val="4"/>
    </w:lvl>
  </w:abstractNum>
  <w:abstractNum w:abstractNumId="2">
    <w:nsid w:val="79E2A9E3"/>
    <w:multiLevelType w:val="hybridMultilevel"/>
    <w:lvl w:ilvl="0">
      <w:lvlJc w:val="left"/>
      <w:lvlText w:val="*"/>
      <w:numFmt w:val="bullet"/>
      <w:start w:val="1"/>
    </w:lvl>
  </w:abstractNum>
  <w:abstractNum w:abstractNumId="3">
    <w:nsid w:val="7545E146"/>
    <w:multiLevelType w:val="hybridMultilevel"/>
    <w:lvl w:ilvl="0">
      <w:lvlJc w:val="left"/>
      <w:lvlText w:val="•"/>
      <w:numFmt w:val="bullet"/>
      <w:start w:val="1"/>
    </w:lvl>
  </w:abstractNum>
  <w:abstractNum w:abstractNumId="4">
    <w:nsid w:val="515F007C"/>
    <w:multiLevelType w:val="hybridMultilevel"/>
    <w:lvl w:ilvl="0">
      <w:lvlJc w:val="left"/>
      <w:lvlText w:val="•"/>
      <w:numFmt w:val="bullet"/>
      <w:start w:val="1"/>
    </w:lvl>
  </w:abstractNum>
  <w:abstractNum w:abstractNumId="5">
    <w:nsid w:val="5BD062C2"/>
    <w:multiLevelType w:val="hybridMultilevel"/>
    <w:lvl w:ilvl="0">
      <w:lvlJc w:val="left"/>
      <w:lvlText w:val="•"/>
      <w:numFmt w:val="bullet"/>
      <w:start w:val="1"/>
    </w:lvl>
  </w:abstractNum>
  <w:abstractNum w:abstractNumId="6">
    <w:nsid w:val="12200854"/>
    <w:multiLevelType w:val="hybridMultilevel"/>
    <w:lvl w:ilvl="0">
      <w:lvlJc w:val="left"/>
      <w:lvlText w:val="•"/>
      <w:numFmt w:val="bullet"/>
      <w:start w:val="1"/>
    </w:lvl>
  </w:abstractNum>
  <w:abstractNum w:abstractNumId="7">
    <w:nsid w:val="4DB127F8"/>
    <w:multiLevelType w:val="hybridMultilevel"/>
    <w:lvl w:ilvl="0">
      <w:lvlJc w:val="left"/>
      <w:lvlText w:val="•"/>
      <w:numFmt w:val="bullet"/>
      <w:start w:val="1"/>
    </w:lvl>
  </w:abstractNum>
  <w:abstractNum w:abstractNumId="8">
    <w:nsid w:val="216231B"/>
    <w:multiLevelType w:val="hybridMultilevel"/>
    <w:lvl w:ilvl="0">
      <w:lvlJc w:val="left"/>
      <w:lvlText w:val="(%1)"/>
      <w:numFmt w:val="decimal"/>
      <w:start w:val="1"/>
    </w:lvl>
  </w:abstractNum>
  <w:abstractNum w:abstractNumId="9">
    <w:nsid w:val="1F16E9E8"/>
    <w:multiLevelType w:val="hybridMultilevel"/>
    <w:lvl w:ilvl="0">
      <w:lvlJc w:val="left"/>
      <w:lvlText w:val="(%1)"/>
      <w:numFmt w:val="decimal"/>
      <w:start w:val="1"/>
    </w:lvl>
  </w:abstractNum>
  <w:abstractNum w:abstractNumId="10">
    <w:nsid w:val="1190CDE7"/>
    <w:multiLevelType w:val="hybridMultilevel"/>
    <w:lvl w:ilvl="0">
      <w:lvlJc w:val="left"/>
      <w:lvlText w:val="(%1)"/>
      <w:numFmt w:val="lowerLetter"/>
      <w:start w:val="1"/>
    </w:lvl>
  </w:abstractNum>
  <w:abstractNum w:abstractNumId="11">
    <w:nsid w:val="66EF438D"/>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2023-02-28T22:17:59Z</dcterms:created>
  <dcterms:modified xsi:type="dcterms:W3CDTF">2023-02-28T22:17:59Z</dcterms:modified>
</cp:coreProperties>
</file>