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18"/>
        </w:rPr>
        <w:t>October 15,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Supernus Pharmaceuticals,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7"/>
        <w:gridCol w:w="1561"/>
        <w:gridCol w:w="1577"/>
        <w:gridCol w:w="381"/>
        <w:gridCol w:w="380"/>
        <w:gridCol w:w="378"/>
        <w:gridCol w:w="378"/>
        <w:gridCol w:w="378"/>
        <w:gridCol w:w="386"/>
        <w:gridCol w:w="877"/>
        <w:gridCol w:w="877"/>
        <w:gridCol w:w="1255"/>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001-35518</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20-2590184</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9715 Key West Ave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Rockville</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MD</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(301) 838-2500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Securities registered pursuant to Section 12(b) of the Exchange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op w:val="single" w:sz="8" w:space="0" w:color="FFFFFF"/>
              <w:left w:val="single" w:sz="8" w:space="0" w:color="FFFFFF"/>
              <w:right w:val="single" w:sz="8" w:space="0" w:color="FFFFFF"/>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705" w:type="dxa"/>
            <w:gridSpan w:val="3"/>
            <w:tcBorders>
              <w:top w:val="single" w:sz="8" w:space="0" w:color="FFFFFF"/>
              <w:left w:val="single" w:sz="8" w:space="0" w:color="FFFFFF"/>
              <w:bottom w:val="single" w:sz="8" w:space="0" w:color="FFFFFF"/>
              <w:right w:val="single" w:sz="8" w:space="0" w:color="FFFFFF"/>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color w:val="FF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Item 5.07</w:t>
      </w:r>
      <w:r>
        <w:rPr>
          <w:color w:val="000000"/>
        </w:rPr>
        <w:t>           </w:t>
      </w:r>
      <w:r>
        <w:rPr>
          <w:rFonts w:ascii="Times New Roman;serif" w:hAnsi="Times New Roman;serif"/>
          <w:b/>
          <w:color w:val="000000"/>
          <w:sz w:val="20"/>
        </w:rPr>
        <w:t>Submission of Matters to a Vote of Security Holders.</w:t>
      </w:r>
    </w:p>
    <w:p>
      <w:pPr>
        <w:pStyle w:val="TextBody"/>
        <w:bidi w:val="0"/>
        <w:spacing w:before="0" w:after="0"/>
        <w:ind w:left="0" w:right="0" w:firstLine="72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2026 Supernus Pharmaceuticals, Inc. (the “Company”) held a special meeting of its stockholders (the “Special Meeting”). The definitive proxy statement pertaining to the Special Meeting was previously filed by the Company with the Securities and Exchange Commission on September 11, 2026. As of the close of business on September 4, 2026, there were 58,224,143 shares of common stock outstanding and entitled to vote.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proposals voted upon by stockholders at the Special Meeting pertained to the Merger Agreement (the “Merger Agreement”) entered into by and among the Company, Indivior Pharmaceuticals Inc., a Delaware corporation (“Indivior”), and Artemis Merger Sub, Inc., a Delaware corporation and a wholly-owned subsidiary of Indivior (“Merger Sub”). Pursuant to the Merger Agreement, and upon the terms and subject to the conditions thereof, Merger Sub will merge with and into the Company (the “Merger”), with the Company continuing as the surviving corporation and a wholly-owned subsidiary of Indivior. </w:t>
      </w:r>
    </w:p>
    <w:p>
      <w:pPr>
        <w:pStyle w:val="TextBody"/>
        <w:bidi w:val="0"/>
        <w:spacing w:before="0" w:after="0"/>
        <w:jc w:val="left"/>
        <w:rPr/>
      </w:pPr>
      <w:r>
        <w:rPr/>
      </w:r>
    </w:p>
    <w:p>
      <w:pPr>
        <w:pStyle w:val="TextBody"/>
        <w:bidi w:val="0"/>
        <w:spacing w:lineRule="auto" w:line="256" w:before="0" w:after="0"/>
        <w:ind w:left="0" w:right="0" w:firstLine="648"/>
        <w:jc w:val="left"/>
        <w:rPr>
          <w:rFonts w:ascii="Times New Roman;serif" w:hAnsi="Times New Roman;serif"/>
          <w:b w:val="false"/>
          <w:color w:val="000000"/>
          <w:sz w:val="20"/>
        </w:rPr>
      </w:pPr>
      <w:r>
        <w:rPr>
          <w:rFonts w:ascii="Times New Roman;serif" w:hAnsi="Times New Roman;serif"/>
          <w:b w:val="false"/>
          <w:color w:val="000000"/>
          <w:sz w:val="20"/>
        </w:rPr>
        <w:t>The tabulation of votes for each proposal voted on by the Company’s stockholders was as follows: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Proposal 1: Adoption of the Merger Agreement (such proposal, the “Supernus Merger Proposal”).</w:t>
      </w:r>
    </w:p>
    <w:p>
      <w:pPr>
        <w:pStyle w:val="TextBody"/>
        <w:bidi w:val="0"/>
        <w:spacing w:before="0" w:after="0"/>
        <w:ind w:left="0" w:right="0" w:firstLine="720"/>
        <w:jc w:val="left"/>
        <w:rPr/>
      </w:pPr>
      <w:r>
        <w:rPr/>
      </w:r>
    </w:p>
    <w:tbl>
      <w:tblPr>
        <w:tblW w:w="6056"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90"/>
        <w:gridCol w:w="190"/>
        <w:gridCol w:w="191"/>
        <w:gridCol w:w="250"/>
        <w:gridCol w:w="250"/>
        <w:gridCol w:w="251"/>
        <w:gridCol w:w="109"/>
        <w:gridCol w:w="109"/>
        <w:gridCol w:w="109"/>
        <w:gridCol w:w="518"/>
        <w:gridCol w:w="518"/>
        <w:gridCol w:w="73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571" w:type="dxa"/>
            <w:gridSpan w:val="3"/>
            <w:tcBorders/>
            <w:tcMar>
              <w:top w:w="0" w:type="dxa"/>
              <w:left w:w="0" w:type="dxa"/>
              <w:bottom w:w="0" w:type="dxa"/>
              <w:right w:w="0" w:type="dxa"/>
            </w:tcMar>
            <w:vAlign w:val="center"/>
          </w:tcPr>
          <w:p>
            <w:pPr>
              <w:pStyle w:val="TableContents"/>
              <w:bidi w:val="0"/>
              <w:spacing w:before="0" w:after="283"/>
              <w:ind w:left="0" w:right="0" w:firstLine="485"/>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9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48,249,532</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235,601</w:t>
            </w:r>
          </w:p>
        </w:tc>
        <w:tc>
          <w:tcPr>
            <w:tcW w:w="571"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67,004</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ind w:left="0" w:right="0" w:firstLine="110"/>
              <w:jc w:val="center"/>
              <w:rPr>
                <w:color w:val="000000"/>
              </w:rPr>
            </w:pPr>
            <w:r>
              <w:rPr>
                <w:color w:val="000000"/>
              </w:rPr>
              <w: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Proposal 2: To approve, on a non-binding basis, the compensation that (i) will become payable to, and (ii) may become upon a termination of, the Company’s named executive officers in connection with the Merger.</w:t>
      </w:r>
    </w:p>
    <w:p>
      <w:pPr>
        <w:pStyle w:val="TextBody"/>
        <w:bidi w:val="0"/>
        <w:spacing w:before="0" w:after="0"/>
        <w:jc w:val="left"/>
        <w:rPr/>
      </w:pPr>
      <w:r>
        <w:rPr/>
      </w:r>
    </w:p>
    <w:tbl>
      <w:tblPr>
        <w:tblW w:w="572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250"/>
        <w:gridCol w:w="250"/>
        <w:gridCol w:w="25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ind w:left="0" w:right="0" w:hanging="271"/>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32,688,410</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15,847,350</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16,377</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firstLine="72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Exhibit 104 — The cover page from this Current Report on Form 8-K, formatted in Inline XBRL.</w:t>
      </w:r>
    </w:p>
    <w:p>
      <w:pPr>
        <w:pStyle w:val="TextBody"/>
        <w:bidi w:val="0"/>
        <w:spacing w:before="0" w:after="0"/>
        <w:ind w:left="0" w:right="0" w:firstLine="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8064" w:type="dxa"/>
        <w:jc w:val="left"/>
        <w:tblInd w:w="0" w:type="dxa"/>
        <w:tblLayout w:type="fixed"/>
        <w:tblCellMar>
          <w:top w:w="28" w:type="dxa"/>
          <w:left w:w="28" w:type="dxa"/>
          <w:bottom w:w="28" w:type="dxa"/>
          <w:right w:w="28" w:type="dxa"/>
        </w:tblCellMar>
      </w:tblPr>
      <w:tblGrid>
        <w:gridCol w:w="825"/>
        <w:gridCol w:w="726"/>
        <w:gridCol w:w="729"/>
        <w:gridCol w:w="548"/>
        <w:gridCol w:w="548"/>
        <w:gridCol w:w="548"/>
        <w:gridCol w:w="1208"/>
        <w:gridCol w:w="1208"/>
        <w:gridCol w:w="172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15,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3524</Characters>
  <CharactersWithSpaces>4194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