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11, 2022</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28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spacing w:after="0"/>
              <w:rPr>
                <w:sz w:val="24"/>
                <w:szCs w:val="24"/>
                <w:color w:val="auto"/>
              </w:rPr>
            </w:pPr>
          </w:p>
        </w:tc>
        <w:tc>
          <w:tcPr>
            <w:tcW w:w="25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001-35518</w:t>
            </w:r>
          </w:p>
        </w:tc>
        <w:tc>
          <w:tcPr>
            <w:tcW w:w="2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20-2590184</w:t>
            </w:r>
          </w:p>
        </w:tc>
        <w:tc>
          <w:tcPr>
            <w:tcW w:w="0" w:type="dxa"/>
            <w:vAlign w:val="bottom"/>
          </w:tcPr>
          <w:p>
            <w:pPr>
              <w:spacing w:after="0"/>
              <w:rPr>
                <w:sz w:val="1"/>
                <w:szCs w:val="1"/>
                <w:color w:val="auto"/>
              </w:rPr>
            </w:pPr>
          </w:p>
        </w:tc>
      </w:tr>
      <w:tr>
        <w:trPr>
          <w:trHeight w:val="189"/>
        </w:trPr>
        <w:tc>
          <w:tcPr>
            <w:tcW w:w="3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150"/>
              <w:spacing w:after="0" w:line="189"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9715 Key West Ave</w:t>
            </w:r>
          </w:p>
        </w:tc>
        <w:tc>
          <w:tcPr>
            <w:tcW w:w="15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Rockville</w:t>
            </w:r>
          </w:p>
        </w:tc>
        <w:tc>
          <w:tcPr>
            <w:tcW w:w="25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MD</w:t>
            </w:r>
          </w:p>
        </w:tc>
        <w:tc>
          <w:tcPr>
            <w:tcW w:w="28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3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300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4"/>
        </w:trPr>
        <w:tc>
          <w:tcPr>
            <w:tcW w:w="43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SUPN</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20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4" w:lineRule="exact"/>
        <w:rPr>
          <w:sz w:val="24"/>
          <w:szCs w:val="24"/>
          <w:color w:val="auto"/>
        </w:rPr>
      </w:pPr>
    </w:p>
    <w:p>
      <w:pPr>
        <w:ind w:right="360"/>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65"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8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8.01 Other Events</w:t>
      </w:r>
      <w:r>
        <w:rPr>
          <w:rFonts w:ascii="Times New Roman" w:cs="Times New Roman" w:eastAsia="Times New Roman" w:hAnsi="Times New Roman"/>
          <w:sz w:val="18"/>
          <w:szCs w:val="18"/>
          <w:b w:val="1"/>
          <w:bCs w:val="1"/>
          <w:color w:val="000000"/>
        </w:rPr>
        <w:t>.</w:t>
      </w:r>
    </w:p>
    <w:p>
      <w:pPr>
        <w:spacing w:after="0" w:line="24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On October 10, 2022, Supernus Pharmaceuticals, Inc. (“Supernus” or the “Company”) issued a press release announcing that it had received a Complete Response Letter from the U.S. Food and Drug Administration (FDA) regarding its New Drug Application (NDA) for SPN-830 (apomorphine infusion device) for the continuous treatment of motor fluctuations (OFF episodes) in Parkinson’s disease. A copy of this press release is furnished as Exhibit 99.1 hereto and is incorporated herein by reference.</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do not convey historical information, but relate to predicted or potential future events, such as statements of our plans, strategies and intentions. These statements can often be identified by the use of forward-looking terminology such as “believe,” “expect,” “intend,” “may,” “will,” “should,” or “anticipate” or similar terminology. All statements other than statements of historical facts included in this Current Report on Form 8-K are forward-looking statements. All forward-looking statements speak only as of the date of this Current Report on Form 8-K. Except for Supernus’ ongoing obligations to disclose material information under the federal securities laws, Supernus undertakes no obligation to update or revise any forward-looking statements, whether as a result of new information, future events or otherwise. In addition to the risks and uncertainties of ordinary business operations and conditions in the general economy and the markets in which Supernus competes, the forward-looking statements of Supernus contained in this Current Report on Form 8-K are also subject to various risks and uncertainties, including those set forth in Item 1A, “Risk Factors,” in Supernus’ Annual Report on Form 10-K for the fiscal year ended December 31, 2021, and other risk factors set forth from time to time in the Company’s filings with the Securities and Exchange Commission made pursuant to Section 13 or 15(d) of the Securities Exchange Act of 1934, as amended.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2" w:lineRule="exact"/>
        <w:rPr>
          <w:sz w:val="20"/>
          <w:szCs w:val="20"/>
          <w:color w:val="auto"/>
        </w:rPr>
      </w:pPr>
    </w:p>
    <w:p>
      <w:pPr>
        <w:ind w:left="860"/>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Exhibit</w:t>
        <w:tab/>
        <w:t>Description</w:t>
      </w:r>
    </w:p>
    <w:p>
      <w:pPr>
        <w:spacing w:after="0" w:line="237" w:lineRule="exact"/>
        <w:rPr>
          <w:sz w:val="20"/>
          <w:szCs w:val="20"/>
          <w:color w:val="auto"/>
        </w:rPr>
      </w:pPr>
    </w:p>
    <w:p>
      <w:pPr>
        <w:ind w:left="940"/>
        <w:spacing w:after="0"/>
        <w:tabs>
          <w:tab w:leader="none" w:pos="1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 xml:space="preserve">Press Release Dated October 10, 2022 </w:t>
      </w:r>
      <w:r>
        <w:rPr>
          <w:rFonts w:ascii="Times New Roman" w:cs="Times New Roman" w:eastAsia="Times New Roman" w:hAnsi="Times New Roman"/>
          <w:sz w:val="17"/>
          <w:szCs w:val="17"/>
          <w:color w:val="000000"/>
        </w:rPr>
        <w:t>filed as an Exhibit pursuant to Item 8.01 hereof.</w:t>
      </w:r>
    </w:p>
    <w:p>
      <w:pPr>
        <w:spacing w:after="0" w:line="225" w:lineRule="exact"/>
        <w:rPr>
          <w:sz w:val="20"/>
          <w:szCs w:val="20"/>
          <w:color w:val="auto"/>
        </w:rPr>
      </w:pPr>
    </w:p>
    <w:p>
      <w:pPr>
        <w:ind w:left="1540" w:hanging="587"/>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52" w:lineRule="exact"/>
        <w:rPr>
          <w:sz w:val="20"/>
          <w:szCs w:val="20"/>
          <w:color w:val="auto"/>
        </w:rPr>
      </w:pPr>
    </w:p>
    <w:p>
      <w:pPr>
        <w:ind w:left="680"/>
        <w:spacing w:after="0"/>
        <w:tabs>
          <w:tab w:leader="none" w:pos="5220" w:val="left"/>
          <w:tab w:leader="none" w:pos="5700" w:val="left"/>
        </w:tabs>
        <w:rPr>
          <w:sz w:val="20"/>
          <w:szCs w:val="20"/>
          <w:color w:val="auto"/>
        </w:rPr>
      </w:pPr>
      <w:r>
        <w:rPr>
          <w:rFonts w:ascii="Times New Roman" w:cs="Times New Roman" w:eastAsia="Times New Roman" w:hAnsi="Times New Roman"/>
          <w:sz w:val="18"/>
          <w:szCs w:val="18"/>
          <w:color w:val="auto"/>
        </w:rPr>
        <w:t>DATED: October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3120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Timothy C. Dec</w:t>
      </w:r>
    </w:p>
    <w:p>
      <w:pPr>
        <w:spacing w:after="0" w:line="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88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2623185"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318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Supernus Provides Regulatory Update on SPN-830</w:t>
      </w:r>
    </w:p>
    <w:p>
      <w:pPr>
        <w:spacing w:after="0" w:line="200" w:lineRule="exact"/>
        <w:rPr>
          <w:sz w:val="20"/>
          <w:szCs w:val="20"/>
          <w:color w:val="auto"/>
        </w:rPr>
      </w:pP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ROCKVILLE, Md., October 10, 2022 </w:t>
      </w:r>
      <w:r>
        <w:rPr>
          <w:rFonts w:ascii="Times New Roman" w:cs="Times New Roman" w:eastAsia="Times New Roman" w:hAnsi="Times New Roman"/>
          <w:sz w:val="18"/>
          <w:szCs w:val="18"/>
          <w:color w:val="auto"/>
        </w:rPr>
        <w:t>- Supernus Pharmaceuticals, Inc. (Nasdaq: SUPN), a pharmaceutical company focused on developing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commercializing products for the treatment of central nervous system (CNS) diseases, today announced that the U.S. Food and Drug Administration (FDA) has issued a Complete Response Letter (CRL) for the SPN-830 New Drug Application (NDA). SPN-830 is an investigational apomorphine infusion device under review for the continuous treatment of motor fluctuations (OFF episodes) in Parkinson’s disease (PD).</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CRL requires additional information and analysis related to the infusion device and drug product across several areas of the NDA including, but not limited to, labeling, product quality and manufacturing, device performance and risk analysis. In addition, the FDA mentions that approval of the NDA requires inspections that could not be completed in a timely manner due to COVID-19 travel restrictions. The CRL does not request additional efficacy and safety clinical studies. Supernus will continue to work closely with the FDA to address all questions, and when possible, to provide clarity regarding the potential timing of a resubmission of the NDA. The FDA has made an initial determination that the amendment to the Company’s application in response to the CRL will be subject to a Class 2, or six-month, review timeline.</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“SPN-830 remains a key priority for Supernus as there is a need to provide a minimally invasive therapy for PD patients who are experiencing motor fluctuations not adequately controlled with current treatment options,” said Jack Khattar, President and CEO of Supernus. “We are committed to PD patients and to working with the FDA to address the CRL issues so that we can put the NDA back on track towards potential U.S. approval.”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Supernus Pharmaceuticals, Inc.</w:t>
      </w:r>
    </w:p>
    <w:p>
      <w:pPr>
        <w:spacing w:after="0" w:line="18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Supernus Pharmaceuticals is a biopharmaceutical company focused on developing and commercializing products for the treatment of central nervous system (CNS) diseases.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diverse neuroscience portfolio includes approved treatments for epilepsy, migraine, ADHD, hypomobility in Parkinson’s disease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color w:val="0000EE"/>
        </w:rPr>
        <w:t>www.supernus.com</w:t>
      </w:r>
      <w:r>
        <w:rPr>
          <w:rFonts w:ascii="Times New Roman" w:cs="Times New Roman" w:eastAsia="Times New Roman" w:hAnsi="Times New Roman"/>
          <w:sz w:val="18"/>
          <w:szCs w:val="18"/>
          <w:color w:val="0E32E1"/>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the Company’s ability to increase its net revenue; the Company’s ability to commercialize its products including Qelbree;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w:t>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candidates; the Company’s ability to increase its manufacturing capabilities for its products and product candidates; the Company’s projected markets and growth in markets; the Company’s product formulations and patient needs and potential funding sources; the Company’s staffing needs;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A. Khattar, President and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C. Dec, Senior Vice President and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(301) 838-2591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Vozzo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Westwicke</w:t>
      </w:r>
    </w:p>
    <w:p>
      <w:pPr>
        <w:spacing w:after="0" w:line="234" w:lineRule="auto"/>
        <w:rPr>
          <w:sz w:val="20"/>
          <w:szCs w:val="20"/>
          <w:color w:val="auto"/>
        </w:rPr>
      </w:pPr>
      <w:r>
        <w:rPr>
          <w:rFonts w:ascii="Times New Roman" w:cs="Times New Roman" w:eastAsia="Times New Roman" w:hAnsi="Times New Roman"/>
          <w:sz w:val="18"/>
          <w:szCs w:val="18"/>
          <w:color w:val="auto"/>
        </w:rPr>
        <w:t>Office: (443) 213-0505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(443) 377-4767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0E32E1"/>
        </w:rPr>
        <w:t>peter.vozzo@westwicke.com</w:t>
      </w:r>
    </w:p>
    <w:sectPr>
      <w:pgSz w:w="11900" w:h="16838" w:orient="portrait"/>
      <w:cols w:equalWidth="0" w:num="1">
        <w:col w:w="11240"/>
      </w:cols>
      <w:pgMar w:left="320" w:top="10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2022-10-11T15:39:57Z</dcterms:created>
  <dcterms:modified xsi:type="dcterms:W3CDTF">2022-10-11T15:39:57Z</dcterms:modified>
</cp:coreProperties>
</file>