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26, 2022</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Supernus Pharmaceuticals, Inc.</w:t>
      </w:r>
    </w:p>
    <w:p>
      <w:pPr>
        <w:spacing w:after="0" w:line="266"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spacing w:after="0"/>
              <w:rPr>
                <w:sz w:val="23"/>
                <w:szCs w:val="23"/>
                <w:color w:val="auto"/>
              </w:rPr>
            </w:pPr>
          </w:p>
        </w:tc>
        <w:tc>
          <w:tcPr>
            <w:tcW w:w="25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001-35518</w:t>
            </w:r>
          </w:p>
        </w:tc>
        <w:tc>
          <w:tcPr>
            <w:tcW w:w="2860" w:type="dxa"/>
            <w:vAlign w:val="bottom"/>
          </w:tcPr>
          <w:p>
            <w:pPr>
              <w:jc w:val="right"/>
              <w:ind w:right="790"/>
              <w:spacing w:after="0"/>
              <w:rPr>
                <w:sz w:val="20"/>
                <w:szCs w:val="20"/>
                <w:color w:val="auto"/>
              </w:rPr>
            </w:pPr>
            <w:r>
              <w:rPr>
                <w:rFonts w:ascii="Arial" w:cs="Arial" w:eastAsia="Arial" w:hAnsi="Arial"/>
                <w:sz w:val="18"/>
                <w:szCs w:val="18"/>
                <w:b w:val="1"/>
                <w:bCs w:val="1"/>
                <w:color w:val="auto"/>
              </w:rPr>
              <w:t>20-2590184</w:t>
            </w:r>
          </w:p>
        </w:tc>
        <w:tc>
          <w:tcPr>
            <w:tcW w:w="0" w:type="dxa"/>
            <w:vAlign w:val="bottom"/>
          </w:tcPr>
          <w:p>
            <w:pPr>
              <w:spacing w:after="0"/>
              <w:rPr>
                <w:sz w:val="1"/>
                <w:szCs w:val="1"/>
                <w:color w:val="auto"/>
              </w:rPr>
            </w:pPr>
          </w:p>
        </w:tc>
      </w:tr>
      <w:tr>
        <w:trPr>
          <w:trHeight w:val="176"/>
        </w:trPr>
        <w:tc>
          <w:tcPr>
            <w:tcW w:w="3360" w:type="dxa"/>
            <w:vAlign w:val="bottom"/>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150"/>
              <w:spacing w:after="0" w:line="176"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9715 Key West Ave</w:t>
            </w:r>
          </w:p>
        </w:tc>
        <w:tc>
          <w:tcPr>
            <w:tcW w:w="1500" w:type="dxa"/>
            <w:vAlign w:val="bottom"/>
          </w:tcPr>
          <w:p>
            <w:pPr>
              <w:ind w:left="720"/>
              <w:spacing w:after="0"/>
              <w:rPr>
                <w:sz w:val="20"/>
                <w:szCs w:val="20"/>
                <w:color w:val="auto"/>
              </w:rPr>
            </w:pPr>
            <w:r>
              <w:rPr>
                <w:rFonts w:ascii="Arial" w:cs="Arial" w:eastAsia="Arial" w:hAnsi="Arial"/>
                <w:sz w:val="18"/>
                <w:szCs w:val="18"/>
                <w:b w:val="1"/>
                <w:bCs w:val="1"/>
                <w:color w:val="auto"/>
                <w:w w:val="96"/>
              </w:rPr>
              <w:t>Rockville</w:t>
            </w:r>
          </w:p>
        </w:tc>
        <w:tc>
          <w:tcPr>
            <w:tcW w:w="2520" w:type="dxa"/>
            <w:vAlign w:val="bottom"/>
          </w:tcPr>
          <w:p>
            <w:pPr>
              <w:ind w:left="1120"/>
              <w:spacing w:after="0"/>
              <w:rPr>
                <w:sz w:val="20"/>
                <w:szCs w:val="20"/>
                <w:color w:val="auto"/>
              </w:rPr>
            </w:pPr>
            <w:r>
              <w:rPr>
                <w:rFonts w:ascii="Arial" w:cs="Arial" w:eastAsia="Arial" w:hAnsi="Arial"/>
                <w:sz w:val="18"/>
                <w:szCs w:val="18"/>
                <w:b w:val="1"/>
                <w:bCs w:val="1"/>
                <w:color w:val="auto"/>
              </w:rPr>
              <w:t>MD</w:t>
            </w:r>
          </w:p>
        </w:tc>
        <w:tc>
          <w:tcPr>
            <w:tcW w:w="2860" w:type="dxa"/>
            <w:vAlign w:val="bottom"/>
          </w:tcPr>
          <w:p>
            <w:pPr>
              <w:jc w:val="right"/>
              <w:ind w:right="99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3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636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Arial" w:cs="Arial" w:eastAsia="Arial" w:hAnsi="Arial"/>
                <w:sz w:val="18"/>
                <w:szCs w:val="18"/>
                <w:color w:val="auto"/>
                <w:w w:val="88"/>
              </w:rPr>
              <w:t>Title of each class</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3"/>
              </w:rPr>
              <w:t>Trading Symbol</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3"/>
        </w:trPr>
        <w:tc>
          <w:tcPr>
            <w:tcW w:w="43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Common Stock, $0.001 par value per share</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SUPN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21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ind w:right="360"/>
        <w:spacing w:after="0" w:line="26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9"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9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July 25, 2022, Supernus Pharmaceuticals, Inc. issued a press release announcing that it expects to report its business results for the second quarter 2022 after the market closes on Thursday, August 4, 2022. The Company will host a conference call and webcast on Thursday, August 4, 2022 at 4:30 p.m. E.T. to discuss its second quarter 2022 business and financial results. A copy of this press release is furnished as Exhibit 99.1 hereto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Exhibit</w:t>
        <w:tab/>
        <w:t>Description</w:t>
      </w:r>
    </w:p>
    <w:p>
      <w:pPr>
        <w:spacing w:after="0" w:line="225" w:lineRule="exact"/>
        <w:rPr>
          <w:sz w:val="20"/>
          <w:szCs w:val="20"/>
          <w:color w:val="auto"/>
        </w:rPr>
      </w:pPr>
    </w:p>
    <w:p>
      <w:pPr>
        <w:ind w:left="94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 xml:space="preserve">Press Release Dated July 25, 2022 </w:t>
        </w:r>
      </w:hyperlink>
      <w:r>
        <w:rPr>
          <w:rFonts w:ascii="Arial" w:cs="Arial" w:eastAsia="Arial" w:hAnsi="Arial"/>
          <w:sz w:val="16"/>
          <w:szCs w:val="16"/>
          <w:color w:val="000000"/>
        </w:rPr>
        <w:t>filed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as an Exhibit pursuant to Item 2.02 hereof.</w:t>
      </w:r>
    </w:p>
    <w:p>
      <w:pPr>
        <w:spacing w:after="0" w:line="225" w:lineRule="exact"/>
        <w:rPr>
          <w:sz w:val="20"/>
          <w:szCs w:val="20"/>
          <w:color w:val="auto"/>
        </w:rPr>
      </w:pPr>
    </w:p>
    <w:p>
      <w:pPr>
        <w:ind w:left="1540" w:hanging="58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000"/>
          </w:cols>
          <w:pgMar w:left="320" w:top="1066" w:right="57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SUPERNUS PHARMACEUTICALS, INC.</w:t>
      </w:r>
    </w:p>
    <w:p>
      <w:pPr>
        <w:spacing w:after="0" w:line="252" w:lineRule="exact"/>
        <w:rPr>
          <w:sz w:val="20"/>
          <w:szCs w:val="20"/>
          <w:color w:val="auto"/>
        </w:rPr>
      </w:pPr>
    </w:p>
    <w:p>
      <w:pPr>
        <w:ind w:left="1320"/>
        <w:spacing w:after="0"/>
        <w:tabs>
          <w:tab w:leader="none" w:pos="5660" w:val="left"/>
          <w:tab w:leader="none" w:pos="6600" w:val="left"/>
        </w:tabs>
        <w:rPr>
          <w:sz w:val="20"/>
          <w:szCs w:val="20"/>
          <w:color w:val="auto"/>
        </w:rPr>
      </w:pPr>
      <w:r>
        <w:rPr>
          <w:rFonts w:ascii="Arial" w:cs="Arial" w:eastAsia="Arial" w:hAnsi="Arial"/>
          <w:sz w:val="18"/>
          <w:szCs w:val="18"/>
          <w:color w:val="auto"/>
        </w:rPr>
        <w:t>DATED: July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9660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Timothy C. Dec</w:t>
      </w: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89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623185" cy="65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31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Supernus Pharmaceuticals to Announce Second Quarter 2022 Financial Results and Host</w:t>
      </w:r>
    </w:p>
    <w:p>
      <w:pPr>
        <w:jc w:val="center"/>
        <w:spacing w:after="0"/>
        <w:rPr>
          <w:sz w:val="20"/>
          <w:szCs w:val="20"/>
          <w:color w:val="auto"/>
        </w:rPr>
      </w:pPr>
      <w:r>
        <w:rPr>
          <w:rFonts w:ascii="Arial" w:cs="Arial" w:eastAsia="Arial" w:hAnsi="Arial"/>
          <w:sz w:val="22"/>
          <w:szCs w:val="22"/>
          <w:b w:val="1"/>
          <w:bCs w:val="1"/>
          <w:color w:val="auto"/>
        </w:rPr>
        <w:t>Conference Call on August 4, 2022</w:t>
      </w:r>
    </w:p>
    <w:p>
      <w:pPr>
        <w:spacing w:after="0" w:line="19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color w:val="auto"/>
        </w:rPr>
        <w:t xml:space="preserve">ROCKVILLE, Md., July 25, 2022 </w:t>
      </w:r>
      <w:r>
        <w:rPr>
          <w:rFonts w:ascii="Arial" w:cs="Arial" w:eastAsia="Arial" w:hAnsi="Arial"/>
          <w:sz w:val="17"/>
          <w:szCs w:val="17"/>
          <w:color w:val="auto"/>
        </w:rPr>
        <w:t>- Supernus Pharmaceuticals, Inc. (Nasdaq: SUPN), a biopharmaceutical company focused on developing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commercializing products for the treatment of central nervous system (CNS) diseases, today announced that the Company expects to report financial and business results for the second quarter of 2022 after the market closes on Thursday, August 4, 2022.</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Jack Khattar, President and CEO, and Tim Dec, Senior Vice President and CFO, will host a conference call to present the second quarter 2022 financial and business results on Thursday, August 4, 2022 at 4:30 p.m. ET. Following management’s prepared remarks and discussion of business results, the call will be open for questions.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live webcast will be accessible in the </w:t>
      </w:r>
      <w:r>
        <w:rPr>
          <w:rFonts w:ascii="Arial" w:cs="Arial" w:eastAsia="Arial" w:hAnsi="Arial"/>
          <w:sz w:val="17"/>
          <w:szCs w:val="17"/>
          <w:color w:val="0E32E1"/>
        </w:rPr>
        <w:t>Events &amp; Presentation</w:t>
      </w:r>
      <w:r>
        <w:rPr>
          <w:rFonts w:ascii="Arial" w:cs="Arial" w:eastAsia="Arial" w:hAnsi="Arial"/>
          <w:sz w:val="17"/>
          <w:szCs w:val="17"/>
          <w:color w:val="auto"/>
        </w:rPr>
        <w:t xml:space="preserve"> section of the Company’s Investor Relations website </w:t>
      </w:r>
      <w:r>
        <w:rPr>
          <w:rFonts w:ascii="Arial" w:cs="Arial" w:eastAsia="Arial" w:hAnsi="Arial"/>
          <w:sz w:val="17"/>
          <w:szCs w:val="17"/>
          <w:color w:val="0E32E1"/>
        </w:rPr>
        <w:t>www.supernus.com/investors</w:t>
      </w:r>
      <w:r>
        <w:rPr>
          <w:rFonts w:ascii="Arial" w:cs="Arial" w:eastAsia="Arial" w:hAnsi="Arial"/>
          <w:sz w:val="17"/>
          <w:szCs w:val="17"/>
          <w:color w:val="auto"/>
        </w:rPr>
        <w:t>.</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Participants may also pre-register any time before the call </w:t>
      </w:r>
      <w:r>
        <w:rPr>
          <w:rFonts w:ascii="Arial" w:cs="Arial" w:eastAsia="Arial" w:hAnsi="Arial"/>
          <w:sz w:val="18"/>
          <w:szCs w:val="18"/>
          <w:color w:val="0E32E1"/>
        </w:rPr>
        <w:t>here</w:t>
      </w:r>
      <w:r>
        <w:rPr>
          <w:rFonts w:ascii="Arial" w:cs="Arial" w:eastAsia="Arial" w:hAnsi="Arial"/>
          <w:sz w:val="18"/>
          <w:szCs w:val="18"/>
          <w:color w:val="auto"/>
        </w:rPr>
        <w:t>. Once registration is completed, participants will be provided a dial-in number with a personalized conference code to access the call. Please dial in 15 minutes prior to the start time.</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Following the live call, a replay will be available on the Company's Investor Relations website </w:t>
      </w:r>
      <w:r>
        <w:rPr>
          <w:rFonts w:ascii="Arial" w:cs="Arial" w:eastAsia="Arial" w:hAnsi="Arial"/>
          <w:sz w:val="18"/>
          <w:szCs w:val="18"/>
          <w:color w:val="0E32E1"/>
        </w:rPr>
        <w:t>www.supernus.com/investors</w:t>
      </w:r>
      <w:r>
        <w:rPr>
          <w:rFonts w:ascii="Arial" w:cs="Arial" w:eastAsia="Arial" w:hAnsi="Arial"/>
          <w:sz w:val="18"/>
          <w:szCs w:val="18"/>
          <w:color w:val="auto"/>
        </w:rPr>
        <w:t>. The webcast will be available on the Company’s website for 60 days following the live call.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Supernus Pharmaceuticals, Inc.</w:t>
      </w:r>
    </w:p>
    <w:p>
      <w:pPr>
        <w:spacing w:after="0" w:line="24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Supernus Pharmaceuticals is a biopharmaceutical company focused on developing and commercializing products for the treatment of central nervous system (CNS) diseases.</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diverse neuroscience portfolio includes approved treatments for epilepsy, migraine,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color w:val="0E32E1"/>
        </w:rPr>
        <w:t>www.supernus.com.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 A. Khattar, President and 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 Dec, Senior Vice President and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(301) 838-2591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Peter Vozzo</w:t>
      </w:r>
    </w:p>
    <w:p>
      <w:pPr>
        <w:spacing w:after="0" w:line="234" w:lineRule="auto"/>
        <w:rPr>
          <w:sz w:val="20"/>
          <w:szCs w:val="20"/>
          <w:color w:val="auto"/>
        </w:rPr>
      </w:pPr>
      <w:r>
        <w:rPr>
          <w:rFonts w:ascii="Arial" w:cs="Arial" w:eastAsia="Arial" w:hAnsi="Arial"/>
          <w:sz w:val="18"/>
          <w:szCs w:val="18"/>
          <w:color w:val="auto"/>
        </w:rPr>
        <w:t>ICR Westwicke</w:t>
      </w:r>
    </w:p>
    <w:p>
      <w:pPr>
        <w:spacing w:after="0" w:line="235" w:lineRule="auto"/>
        <w:rPr>
          <w:sz w:val="20"/>
          <w:szCs w:val="20"/>
          <w:color w:val="auto"/>
        </w:rPr>
      </w:pPr>
      <w:r>
        <w:rPr>
          <w:rFonts w:ascii="Arial" w:cs="Arial" w:eastAsia="Arial" w:hAnsi="Arial"/>
          <w:sz w:val="18"/>
          <w:szCs w:val="18"/>
          <w:color w:val="auto"/>
        </w:rPr>
        <w:t>Office: (443) 213-0505</w:t>
      </w:r>
    </w:p>
    <w:p>
      <w:pPr>
        <w:spacing w:after="0" w:line="235" w:lineRule="auto"/>
        <w:rPr>
          <w:sz w:val="20"/>
          <w:szCs w:val="20"/>
          <w:color w:val="auto"/>
        </w:rPr>
      </w:pPr>
      <w:r>
        <w:rPr>
          <w:rFonts w:ascii="Arial" w:cs="Arial" w:eastAsia="Arial" w:hAnsi="Arial"/>
          <w:sz w:val="18"/>
          <w:szCs w:val="18"/>
          <w:color w:val="auto"/>
        </w:rPr>
        <w:t>Mobile: (443) 377-4767</w:t>
      </w: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E32E1"/>
        </w:rPr>
        <w:t>peter.vozzo@westwicke.com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2022-07-26T15:43:56Z</dcterms:created>
  <dcterms:modified xsi:type="dcterms:W3CDTF">2022-07-26T15:43:56Z</dcterms:modified>
</cp:coreProperties>
</file>