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380" w:hanging="328"/>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233" w:right="259" w:bottom="0" w:gutter="0" w:footer="0" w:header="0"/>
        </w:sectPr>
      </w:pPr>
    </w:p>
    <w:p>
      <w:pPr>
        <w:spacing w:after="0" w:line="172"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480" w:space="720"/>
            <w:col w:w="4200"/>
          </w:cols>
          <w:pgMar w:left="240" w:top="233" w:right="259" w:bottom="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001-35518</w:t>
      </w:r>
    </w:p>
    <w:p>
      <w:pPr>
        <w:sectPr>
          <w:pgSz w:w="11900" w:h="16838" w:orient="portrait"/>
          <w:cols w:equalWidth="0" w:num="1">
            <w:col w:w="11400"/>
          </w:cols>
          <w:pgMar w:left="240" w:top="233" w:right="259" w:bottom="0" w:gutter="0" w:footer="0" w:header="0"/>
          <w:type w:val="continuous"/>
        </w:sect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20-2590184</w:t>
            </w:r>
          </w:p>
        </w:tc>
      </w:tr>
      <w:tr>
        <w:trPr>
          <w:trHeight w:val="216"/>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42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1550 East Gude Drive, Rockville, MD</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20850</w:t>
            </w:r>
          </w:p>
        </w:tc>
      </w:tr>
      <w:tr>
        <w:trPr>
          <w:trHeight w:val="230"/>
        </w:trPr>
        <w:tc>
          <w:tcPr>
            <w:tcW w:w="642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20" w:type="dxa"/>
            <w:vAlign w:val="bottom"/>
          </w:tcPr>
          <w:p>
            <w:pPr>
              <w:jc w:val="right"/>
              <w:ind w:right="1410"/>
              <w:spacing w:after="0"/>
              <w:rPr>
                <w:sz w:val="20"/>
                <w:szCs w:val="20"/>
                <w:color w:val="auto"/>
              </w:rPr>
            </w:pPr>
            <w:r>
              <w:rPr>
                <w:rFonts w:ascii="Arial" w:cs="Arial" w:eastAsia="Arial" w:hAnsi="Arial"/>
                <w:sz w:val="18"/>
                <w:szCs w:val="18"/>
                <w:b w:val="1"/>
                <w:bCs w:val="1"/>
                <w:color w:val="auto"/>
              </w:rPr>
              <w:t>(301) 838-2500</w:t>
            </w:r>
          </w:p>
        </w:tc>
        <w:tc>
          <w:tcPr>
            <w:tcW w:w="1520" w:type="dxa"/>
            <w:vAlign w:val="bottom"/>
          </w:tcPr>
          <w:p>
            <w:pPr>
              <w:spacing w:after="0"/>
              <w:rPr>
                <w:sz w:val="24"/>
                <w:szCs w:val="24"/>
                <w:color w:val="auto"/>
              </w:rPr>
            </w:pPr>
          </w:p>
        </w:tc>
      </w:tr>
      <w:tr>
        <w:trPr>
          <w:trHeight w:val="230"/>
        </w:trPr>
        <w:tc>
          <w:tcPr>
            <w:tcW w:w="642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x</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2"/>
              </w:rPr>
              <w:t>Accelerated filer o</w:t>
            </w:r>
          </w:p>
        </w:tc>
        <w:tc>
          <w:tcPr>
            <w:tcW w:w="0" w:type="dxa"/>
            <w:vAlign w:val="bottom"/>
          </w:tcPr>
          <w:p>
            <w:pPr>
              <w:spacing w:after="0"/>
              <w:rPr>
                <w:sz w:val="1"/>
                <w:szCs w:val="1"/>
                <w:color w:val="auto"/>
              </w:rPr>
            </w:pP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c>
          <w:tcPr>
            <w:tcW w:w="0" w:type="dxa"/>
            <w:vAlign w:val="bottom"/>
          </w:tcPr>
          <w:p>
            <w:pPr>
              <w:spacing w:after="0"/>
              <w:rPr>
                <w:sz w:val="1"/>
                <w:szCs w:val="1"/>
                <w:color w:val="auto"/>
              </w:rPr>
            </w:pP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vMerge w:val="restart"/>
          </w:tcPr>
          <w:p>
            <w:pPr>
              <w:jc w:val="center"/>
              <w:ind w:left="1470"/>
              <w:spacing w:after="0"/>
              <w:rPr>
                <w:sz w:val="20"/>
                <w:szCs w:val="20"/>
                <w:color w:val="auto"/>
              </w:rPr>
            </w:pPr>
            <w:r>
              <w:rPr>
                <w:rFonts w:ascii="Arial" w:cs="Arial" w:eastAsia="Arial" w:hAnsi="Arial"/>
                <w:sz w:val="18"/>
                <w:szCs w:val="18"/>
                <w:color w:val="auto"/>
                <w:w w:val="91"/>
              </w:rPr>
              <w:t>Emerging growth companyo</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right="740" w:firstLine="324"/>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$0.001 per share, as of the close of business on May 2, 2018 was 51,796,466.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19"/>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 — FINANCIAL INFORMATION</w:t>
              </w:r>
            </w:hyperlink>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000" w:type="dxa"/>
            <w:vAlign w:val="bottom"/>
            <w:gridSpan w:val="19"/>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4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Item 1. Financial Statements</w:t>
            </w:r>
          </w:p>
        </w:tc>
        <w:tc>
          <w:tcPr>
            <w:tcW w:w="4940" w:type="dxa"/>
            <w:vAlign w:val="bottom"/>
            <w:gridSpan w:val="7"/>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March 31, 2018 (Unaudited) and December 31, 2017</w:t>
              </w:r>
            </w:hyperlink>
          </w:p>
        </w:tc>
        <w:tc>
          <w:tcPr>
            <w:tcW w:w="8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Earnings for the three month periods ended March 31, 2018 and 2017 (Unaudited)</w:t>
              </w:r>
            </w:hyperlink>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3"/>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Comprehensive Earnings for the three month periods ended March 31, 2018 and 2017 (Unaudited)</w:t>
              </w:r>
            </w:hyperlink>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three month periods ended March 31, 2018 and 2017 (Unaudited)</w:t>
              </w:r>
            </w:hyperlink>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Notes to Consolidated Financial Statements (Unaudited)</w:t>
              </w:r>
            </w:hyperlink>
          </w:p>
        </w:tc>
        <w:tc>
          <w:tcPr>
            <w:tcW w:w="3160" w:type="dxa"/>
            <w:vAlign w:val="bottom"/>
            <w:tcBorders>
              <w:top w:val="single" w:sz="8" w:color="0000EE"/>
            </w:tcBorders>
            <w:gridSpan w:val="5"/>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Item 2. Management’s Discussion and Analysis of Financial Condition and Results of Operations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4. Controls and Procedures</w:t>
              </w:r>
            </w:hyperlink>
          </w:p>
        </w:tc>
        <w:tc>
          <w:tcPr>
            <w:tcW w:w="508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00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280" w:type="dxa"/>
            <w:vAlign w:val="bottom"/>
            <w:tcBorders>
              <w:top w:val="single" w:sz="8" w:color="0000EE"/>
            </w:tcBorders>
          </w:tcPr>
          <w:p>
            <w:pPr>
              <w:spacing w:after="0"/>
              <w:rPr>
                <w:sz w:val="17"/>
                <w:szCs w:val="17"/>
                <w:color w:val="auto"/>
              </w:rPr>
            </w:pPr>
          </w:p>
        </w:tc>
        <w:tc>
          <w:tcPr>
            <w:tcW w:w="5240" w:type="dxa"/>
            <w:vAlign w:val="bottom"/>
            <w:gridSpan w:val="9"/>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1A. Risk Factors</w:t>
              </w:r>
            </w:hyperlink>
          </w:p>
        </w:tc>
        <w:tc>
          <w:tcPr>
            <w:tcW w:w="5820" w:type="dxa"/>
            <w:vAlign w:val="bottom"/>
            <w:gridSpan w:val="12"/>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250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17"/>
                <w:szCs w:val="17"/>
                <w:color w:val="auto"/>
              </w:rPr>
            </w:pPr>
          </w:p>
        </w:tc>
        <w:tc>
          <w:tcPr>
            <w:tcW w:w="454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5. Other Information</w:t>
              </w:r>
            </w:hyperlink>
          </w:p>
        </w:tc>
        <w:tc>
          <w:tcPr>
            <w:tcW w:w="5540" w:type="dxa"/>
            <w:vAlign w:val="bottom"/>
            <w:gridSpan w:val="11"/>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6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gridSpan w:val="3"/>
          </w:tcPr>
          <w:p>
            <w:pPr>
              <w:spacing w:after="0"/>
              <w:rPr>
                <w:sz w:val="24"/>
                <w:szCs w:val="24"/>
                <w:color w:val="auto"/>
              </w:rPr>
            </w:pPr>
          </w:p>
        </w:tc>
        <w:tc>
          <w:tcPr>
            <w:tcW w:w="6020" w:type="dxa"/>
            <w:vAlign w:val="bottom"/>
            <w:gridSpan w:val="13"/>
          </w:tcPr>
          <w:p>
            <w:pPr>
              <w:jc w:val="center"/>
              <w:ind w:left="3110"/>
              <w:spacing w:after="0"/>
              <w:rPr>
                <w:sz w:val="20"/>
                <w:szCs w:val="20"/>
                <w:color w:val="auto"/>
              </w:rPr>
            </w:pPr>
            <w:r>
              <w:rPr>
                <w:rFonts w:ascii="Arial" w:cs="Arial" w:eastAsia="Arial" w:hAnsi="Arial"/>
                <w:sz w:val="18"/>
                <w:szCs w:val="18"/>
                <w:color w:val="auto"/>
                <w:w w:val="99"/>
              </w:rPr>
              <w:t>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0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9"/>
              </w:rPr>
              <w:t>Supernus Pharmaceuticals,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(in thousands, except share amounts)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center"/>
              <w:ind w:right="110"/>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130"/>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444,140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45,585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39,736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67,864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19,075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16,304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6,582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18"/>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583,246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228,451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Long term marketable securities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175,064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5,003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34,858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26,254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825,160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3,333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Accrued sales deductions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73,034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68,343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25,024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16,265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15,938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Deferred licensing revenue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119,088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Deferred licensing revenue, net of current portion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Convertible notes,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318,225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34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24,370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22,258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11,608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18"/>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473,291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156,984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18"/>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18"/>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130,000,000 shares authorized at March 31, 2018 and December 31,</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w w:val="92"/>
              </w:rPr>
              <w:t>2017; 51,633,991 and 51,314,850 shares issued and outstanding at March 31, 2018 and December 31,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18"/>
            <w:shd w:val="clear" w:color="auto" w:fill="CCEEFF"/>
          </w:tcPr>
          <w:p>
            <w:pPr>
              <w:ind w:left="360"/>
              <w:spacing w:after="0"/>
              <w:rPr>
                <w:sz w:val="20"/>
                <w:szCs w:val="20"/>
                <w:color w:val="auto"/>
              </w:rPr>
            </w:pPr>
            <w:r>
              <w:rPr>
                <w:rFonts w:ascii="Arial" w:cs="Arial" w:eastAsia="Arial" w:hAnsi="Arial"/>
                <w:sz w:val="18"/>
                <w:szCs w:val="18"/>
                <w:color w:val="auto"/>
              </w:rPr>
              <w:t>2017, respectively</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352,257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294,999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18"/>
          </w:tcPr>
          <w:p>
            <w:pPr>
              <w:ind w:left="18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1,851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(26,823)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351,869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267,480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-7335520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-7335520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3"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825,160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424,464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bottom w:val="single" w:sz="8" w:color="CCEEFF"/>
            </w:tcBorders>
            <w:vMerge w:val="restart"/>
          </w:tcPr>
          <w:p>
            <w:pPr>
              <w:jc w:val="center"/>
              <w:ind w:left="2030"/>
              <w:spacing w:after="0"/>
              <w:rPr>
                <w:sz w:val="20"/>
                <w:szCs w:val="20"/>
                <w:color w:val="auto"/>
              </w:rPr>
            </w:pPr>
            <w:r>
              <w:rPr>
                <w:rFonts w:ascii="Arial" w:cs="Arial" w:eastAsia="Arial" w:hAnsi="Arial"/>
                <w:sz w:val="18"/>
                <w:szCs w:val="18"/>
                <w:color w:val="auto"/>
                <w:w w:val="87"/>
              </w:rPr>
              <w:t>See accompanying notes.</w:t>
            </w: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3"/>
          </w:tcPr>
          <w:p>
            <w:pPr>
              <w:jc w:val="center"/>
              <w:ind w:left="33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Supernus Pharmaceuticals, Inc.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w w:val="88"/>
              </w:rPr>
              <w:t>Consolidated Statements of Earnings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jc w:val="center"/>
              <w:ind w:left="20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jc w:val="center"/>
              <w:ind w:left="593"/>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Net product sales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89,120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56,369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Royalty revenue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Licensing 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90,429</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57,576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 sales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18,908</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9,601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36,849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28,238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59,035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31,394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expense-nonrecourse liability related to sale of future royalties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Changes in fair value of derivative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31,182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26,352</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0.49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51,536,474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50,158,634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53,788,346</w:t>
            </w:r>
          </w:p>
        </w:tc>
        <w:tc>
          <w:tcPr>
            <w:tcW w:w="3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52,764,442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jc w:val="center"/>
              <w:ind w:left="2030"/>
              <w:spacing w:after="0"/>
              <w:rPr>
                <w:sz w:val="20"/>
                <w:szCs w:val="20"/>
                <w:color w:val="auto"/>
              </w:rPr>
            </w:pPr>
            <w:r>
              <w:rPr>
                <w:rFonts w:ascii="Arial" w:cs="Arial" w:eastAsia="Arial" w:hAnsi="Arial"/>
                <w:sz w:val="18"/>
                <w:szCs w:val="18"/>
                <w:color w:val="auto"/>
                <w:w w:val="87"/>
              </w:rPr>
              <w:t>See accompanying notes.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3"/>
          </w:tcPr>
          <w:p>
            <w:pPr>
              <w:jc w:val="center"/>
              <w:ind w:left="331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6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Supernus Pharmaceuticals, Inc.</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w w:val="88"/>
              </w:rPr>
              <w:t>Consolidated Statements of Comprehensive Earnings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jc w:val="center"/>
              <w:ind w:left="203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4"/>
              </w:rPr>
              <w:t>(unaudited)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earnings: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 net of tax of ($614) and $0, respectively</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earnings:</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24,808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10,463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-9391650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-9391650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-2376805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-2376805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460"/>
          </w:cols>
          <w:pgMar w:left="240" w:top="140" w:right="199" w:bottom="0" w:gutter="0" w:footer="0" w:header="0"/>
          <w:type w:val="continuous"/>
        </w:sectPr>
      </w:pPr>
    </w:p>
    <w:bookmarkStart w:id="3" w:name="page4"/>
    <w:bookmarkEnd w:id="3"/>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earnings</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26,352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Change in fair value of derivative liability</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 and debt discount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premium/discount on marketable securities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Non-cash interest expense on non-recourse liability related to sale of future royalties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701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royalty revenue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provision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(2,771)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Other non-current assets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Accrued sales deductions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4,691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licensing revenue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Other non-current liabilities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984</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(57,757)</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legal fees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(51,010)</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402,500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Convertible notes issuance financing costs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(10,435)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warrants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convertible note hedges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(92,897)</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367,713</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343,836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100,304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444,140</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financial activity:</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Conversion of convertible notes and interest make-whole</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legal fees included in accounts payable and accrued expenses</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48" w:orient="portrait"/>
          <w:cols w:equalWidth="0" w:num="1">
            <w:col w:w="11420"/>
          </w:cols>
          <w:pgMar w:left="240" w:top="34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specialty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the psychiatry market.</w:t>
      </w:r>
    </w:p>
    <w:p>
      <w:pPr>
        <w:spacing w:after="0" w:line="17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launched Oxtellar XR and Trokendi XR in 2013 for the treatment of epilepsy and launched Trokendi XR for the prophylaxis of migraine headache in adolescents and adults in April 2017.</w:t>
      </w:r>
    </w:p>
    <w:p>
      <w:pPr>
        <w:spacing w:after="0" w:line="166" w:lineRule="exact"/>
        <w:rPr>
          <w:sz w:val="20"/>
          <w:szCs w:val="20"/>
          <w:color w:val="auto"/>
        </w:rPr>
      </w:pPr>
    </w:p>
    <w:p>
      <w:pPr>
        <w:ind w:right="7780" w:firstLine="8"/>
        <w:spacing w:after="0" w:line="503" w:lineRule="auto"/>
        <w:tabs>
          <w:tab w:leader="none" w:pos="22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and Supernus Europe Ltd., collectively referred to herein as “Supernus” or “the Company.” All significant intercompany transactions and balances have been eliminated in consolidation. The Company’s unaudited consolidated financial statements have been prepared in accordance with the requirements of the U.S. Securities and Exchange Commission (SEC) for interim financial information.</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permitted under Generally Accepted Accounting Principles in the United States (U.S. GAAP), certain notes and other information have been omitted from the interim unaudited consolidated financial statements presented in this Quarterly Report on Form 10-Q. Therefore, these financial statements should be read in conjunction with the Company’s Annual Report on Form 10-K for the year ended December 31, 2017 filed with the SEC.</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the opinion of management, the consolidated financial statements reflect all adjustments necessary to fairly present the Company’s financial position, results of earnings, and cash flows for the periods presented. These adjustments are of a normal recurring nature. The Company, which is primarily located in the United States (U.S.), operates in one operating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results of operations for the three months ended March 31, 2018 are not necessarily indicative of the Company’s future financial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preparation of the Company’s consolidated financial statements in conformity with U.S. GAAP requires management to make estimates and assumptions that affect the reported amounts of assets, liabilities, revenue and expenses, as well as related disclosure of contingent assets and liabilities. Actual results could differ materially from the Company’s estimates. To the extent that there are material differences between these estimates and actual results, the Company’s financial condition or operating results will be affected. The Company bases its estimates on historical experience or on various forecasts, including information received from its service providers and other assumptions that the Company believes are reasonable under the circumstances. The Company evaluates these estimates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considers all investments in highly liquid financial instruments with an original maturity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 industrial or financial institutions whose debt is rated as investment grade. The Company classifies all available-for-sale marketable securities with maturities greater than one year from the balance sheet date as non-current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investments are classified as available-for-sale and are carried at estimated fair value. Except for changes in fair value of equity securities which are recognized through net income, any unrealized holding gains or losses are reported, net of any reported tax effects, as accumulated other comprehensive earnings (loss), which is a separate component of stockholders’ equity.</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Realized gains and losses, and declines in value judged to be other-than-temporary, if any, are included in consolidated results of operations. A decline in the market value of any available-for-sale security below cost that is deemed to be other-than-temporary results in a reduction in fair value, with that reduction charged to earnings in that period. A new cost basis for the security is then established. Dividend and interest income is recognized when earned. The cost of securities sold is calculated using the specific identification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cash equivalents, accounts receivable and marketable securities. The counterparties are various corporations and financial institutions of high credit standing, as described above.</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Substantially all of the Company’s cash and cash equivalents are maintained in U.S. government agencies and debt of well-known, investment grade, corporations. Deposits held with banks may exceed the amount of insurance provided on such deposits. Generally, these deposits may be redeemed upon demand and, therefore, management believes they bear minimal default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ectPr>
          <w:pgSz w:w="11900" w:h="16838" w:orient="portrait"/>
          <w:cols w:equalWidth="0" w:num="1">
            <w:col w:w="11400"/>
          </w:cols>
          <w:pgMar w:left="240" w:top="337" w:right="259" w:bottom="0" w:gutter="0" w:footer="0" w:header="0"/>
        </w:sectPr>
      </w:pPr>
    </w:p>
    <w:bookmarkStart w:id="5" w:name="page6"/>
    <w:bookmarkEnd w:id="5"/>
    <w:p>
      <w:pPr>
        <w:jc w:val="both"/>
        <w:ind w:right="180" w:firstLine="648"/>
        <w:spacing w:after="0" w:line="312" w:lineRule="auto"/>
        <w:rPr>
          <w:sz w:val="20"/>
          <w:szCs w:val="20"/>
          <w:color w:val="auto"/>
        </w:rPr>
      </w:pPr>
      <w:r>
        <w:rPr>
          <w:rFonts w:ascii="Arial" w:cs="Arial" w:eastAsia="Arial" w:hAnsi="Arial"/>
          <w:sz w:val="16"/>
          <w:szCs w:val="16"/>
          <w:color w:val="auto"/>
        </w:rPr>
        <w:t>Inventories, which are recorded at the lower of cost or market, include materials, labor, and other direct and indirect costs and are valued using the first-in, first-out method. The Company capitalizes inventories produced in preparation for commercial launches when it becomes probable that the related product candidates will receive regulatory approval and that the related costs will be recoverable through the commercial sale of the product.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average useful lives:</w:t>
      </w:r>
    </w:p>
    <w:p>
      <w:pPr>
        <w:spacing w:after="0" w:line="180"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 years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Software</w:t>
            </w:r>
          </w:p>
        </w:tc>
        <w:tc>
          <w:tcPr>
            <w:tcW w:w="3760" w:type="dxa"/>
            <w:vAlign w:val="bottom"/>
          </w:tcPr>
          <w:p>
            <w:pPr>
              <w:ind w:left="660"/>
              <w:spacing w:after="0"/>
              <w:rPr>
                <w:sz w:val="20"/>
                <w:szCs w:val="20"/>
                <w:color w:val="auto"/>
              </w:rPr>
            </w:pPr>
            <w:r>
              <w:rPr>
                <w:rFonts w:ascii="Arial" w:cs="Arial" w:eastAsia="Arial" w:hAnsi="Arial"/>
                <w:sz w:val="18"/>
                <w:szCs w:val="18"/>
                <w:color w:val="auto"/>
              </w:rPr>
              <w:t>3 years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5 - 10 years</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760" w:type="dxa"/>
            <w:vAlign w:val="bottom"/>
          </w:tcPr>
          <w:p>
            <w:pPr>
              <w:ind w:left="660"/>
              <w:spacing w:after="0"/>
              <w:rPr>
                <w:sz w:val="20"/>
                <w:szCs w:val="20"/>
                <w:color w:val="auto"/>
              </w:rPr>
            </w:pPr>
            <w:r>
              <w:rPr>
                <w:rFonts w:ascii="Arial" w:cs="Arial" w:eastAsia="Arial" w:hAnsi="Arial"/>
                <w:sz w:val="18"/>
                <w:szCs w:val="18"/>
                <w:color w:val="auto"/>
              </w:rPr>
              <w:t>Shorter of lease term or useful life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Intangible assets consist of patent defense costs, which are deferred legal fees that have been incurred in connection with legal proceedings related to the defense of patents for Oxtellar XR and Trokendi XR. Patent defense costs will be charged to expense in the event of an unsuccessful outcome of the ongoing litigation. Patents are carried at cost less accumulated amortization, which is calculated on a straight 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The carrying value of the patents is assessed for impairment annually during the fourth quarter of each year, or more frequently if impairment indicators exist. There were no indicators of impairment identified at March 31, 2018 or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to determine whether the asset’s value is recoverable. Evaluating for impairment requires judgment, including the estimation of future cash flows, future growth rates and profitability, and the expected life over which cash flows will occur. Changes in the Company’s business strategy or adverse changes in market conditions could impact impairment analyses and require the recognition of an impairment charge equal to the excess of the carrying value of the long-lived asset over its estimated fair value. There were no indicators of impairment identified for the Company’s long-lived assets at March 31, 2018 or December 31, 2017.</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financing costs consist of financing costs incurred by the Company in connection with the closing of the Company’s $402.5 million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0.625% Convertible Senior Notes due 2023 (the 2023 Notes) (see Note 8). The Company amortizes deferred financing costs over the term of the related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using the effective interest method. When extinguishing debt, the related deferred financing costs are written off.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its behalf. In recording service fees, the Company estimates the time period over which the related services will be performed and compares the level of effort expended through the end of each period to the cumulative expenses recorded and payments made for such services. As appropriate, it accrues additional service fees or defers any non-refundable advance payments until the related services are performed. If the actual timing of the performance of services or the level of effort varies from the estimate, the Company will adjust its accrued expenses or deferred advance payments accordingly. If the Company later determines that it no longer expects the services associated with a nonrefundable advance payment to be rendered, the advance payment will be charged to expense in the period in which such determination is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May 2014, the Financial Accounting Standards Board (FASB) issued a comprehensive new standard,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which amended revenue recognition principles. The Company adopted the new standard on January 1, 2018. While results for reporting periods beginning after January 1, 2018 are presented under the new guidance, prior period amounts are not adjusted and continue to be reported under the accounting standards in effect for the prior period. The accounting policy for revenue recognition for periods prior to January 1, 2018 is described in Note 2 of the Notes to Consolidated Financial Statements included in the Company’s Annual Report on Form 10-K for the year ended December 31, 2017.</w:t>
      </w:r>
    </w:p>
    <w:p>
      <w:pPr>
        <w:spacing w:after="0" w:line="185"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4"/>
          </w:tcPr>
          <w:p>
            <w:pPr>
              <w:jc w:val="right"/>
              <w:ind w:right="530"/>
              <w:spacing w:after="0" w:line="142" w:lineRule="exact"/>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70,555</w:t>
            </w:r>
          </w:p>
        </w:tc>
        <w:tc>
          <w:tcPr>
            <w:tcW w:w="10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42,009</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18,565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14,360</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Net Product Sales</w:t>
            </w: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89,120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56,369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Licensing Revenue</w:t>
            </w:r>
          </w:p>
        </w:tc>
        <w:tc>
          <w:tcPr>
            <w:tcW w:w="8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80"/>
          </w:cols>
          <w:pgMar w:left="240" w:top="125" w:right="27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Revenue from Product Sales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Revenue from product sales is recognized when control of the Company’s products is transferred to the customer, which consists of wholesalers and pharmaceutical distributors. Product sales are recorded net of various forms of variable consideration, including estimated rebates, chargebacks, allowances, discounts, patient co-pay assistance and other deductions as well as estimated product returns (collectively, “sales deductions”). Variability in the transaction price for its products pursuant to its contracts with customers primarily arises from these amounts. Significant judgment is required in estimating sales deductions, considering historical experience, current contract prices under applicable programs, unbilled claims, processing time lags and inventory levels in the distribution channel. If actual results in the future vary from its estimates, the Company adjusts these estimates, which would affect net product sales and earnings in the period such variances become known.</w:t>
      </w:r>
    </w:p>
    <w:p>
      <w:pPr>
        <w:spacing w:after="0" w:line="178"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Company’s products are distributed through wholesalers and pharmaceutical distributors. Each of these wholesalers and distributors takes control of the product, including title and ownership to the product, upon physical receipt of the product and then distributes the Company’s products to pharmacies.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estimated sales deductions are provided for the following:</w:t>
      </w:r>
    </w:p>
    <w:p>
      <w:pPr>
        <w:spacing w:after="0" w:line="225" w:lineRule="exact"/>
        <w:rPr>
          <w:sz w:val="20"/>
          <w:szCs w:val="20"/>
          <w:color w:val="auto"/>
        </w:rPr>
      </w:pPr>
    </w:p>
    <w:p>
      <w:pPr>
        <w:ind w:left="660" w:right="120" w:hanging="328"/>
        <w:spacing w:after="0" w:line="25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Rebates: Rebates include mandated discounts under the Medicaid Drug Rebate Program, the Medicare coverage gap program, as well as negotiated discounts with commercial healthcare providers. Rebates are amounts owed after the final dispensing of product to a benefit plan participant has occurred and are based upon contractual agreements or legal requirements with the public sector (e.g., Medicaid) and with private sector benefit providers (e.g., commercial managed care providers). The allowance for rebates is based on statutory and contractual discount rates and expected claimed rebates based on a plan provider’s utilization.</w:t>
      </w:r>
    </w:p>
    <w:p>
      <w:pPr>
        <w:spacing w:after="0" w:line="18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 xml:space="preserve">Rebates are generally invoiced and paid quarterly in arrears so that the accrual balance consists of an estimate of the amount expected to be incurred for the current quarter’s activity, plus an accrual balance for known or estimated prior quarters’ unpaid rebates. If actual rebates vary from estimates, the Company may need to adjust the balances of such rebates to reflect its actual expenditures with respect to these programs, which would affect net product sales and earnings in the period of adjustment. Allowances for estimated rebates are recorded as current liabilities in </w:t>
      </w:r>
      <w:r>
        <w:rPr>
          <w:rFonts w:ascii="Arial" w:cs="Arial" w:eastAsia="Arial" w:hAnsi="Arial"/>
          <w:sz w:val="18"/>
          <w:szCs w:val="18"/>
          <w:i w:val="1"/>
          <w:iCs w:val="1"/>
          <w:color w:val="auto"/>
        </w:rPr>
        <w:t>Accrued Sales</w:t>
      </w:r>
      <w:r>
        <w:rPr>
          <w:rFonts w:ascii="Arial" w:cs="Arial" w:eastAsia="Arial" w:hAnsi="Arial"/>
          <w:sz w:val="18"/>
          <w:szCs w:val="18"/>
          <w:color w:val="auto"/>
        </w:rPr>
        <w:t xml:space="preserve"> </w:t>
      </w:r>
      <w:r>
        <w:rPr>
          <w:rFonts w:ascii="Arial" w:cs="Arial" w:eastAsia="Arial" w:hAnsi="Arial"/>
          <w:sz w:val="18"/>
          <w:szCs w:val="18"/>
          <w:i w:val="1"/>
          <w:iCs w:val="1"/>
          <w:color w:val="auto"/>
        </w:rPr>
        <w:t>Deductions</w:t>
      </w:r>
      <w:r>
        <w:rPr>
          <w:rFonts w:ascii="Arial" w:cs="Arial" w:eastAsia="Arial" w:hAnsi="Arial"/>
          <w:sz w:val="18"/>
          <w:szCs w:val="18"/>
          <w:color w:val="auto"/>
        </w:rPr>
        <w:t>.</w:t>
      </w:r>
    </w:p>
    <w:p>
      <w:pPr>
        <w:spacing w:after="0" w:line="188" w:lineRule="exact"/>
        <w:rPr>
          <w:sz w:val="20"/>
          <w:szCs w:val="20"/>
          <w:color w:val="auto"/>
        </w:rPr>
      </w:pPr>
    </w:p>
    <w:p>
      <w:pPr>
        <w:jc w:val="both"/>
        <w:ind w:left="660" w:right="160" w:hanging="328"/>
        <w:spacing w:after="0" w:line="279"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Co-pay assistance: Patients who pay in cash or have commercial healthcare insurance and meet certain eligibility requirements may receive co-pay assistance from the Company. The intent of this program is to reduce the patient’s out of pocket costs when filling a prescription. Liabilities for co-pay assistance are based on actual program participation as well as estimates of program activity using data provided by third-party administrators. Allowances for estimated co-pay are recorded as current liabilities in </w:t>
      </w:r>
      <w:r>
        <w:rPr>
          <w:rFonts w:ascii="Arial" w:cs="Arial" w:eastAsia="Arial" w:hAnsi="Arial"/>
          <w:sz w:val="17"/>
          <w:szCs w:val="17"/>
          <w:i w:val="1"/>
          <w:iCs w:val="1"/>
          <w:color w:val="auto"/>
        </w:rPr>
        <w:t>Accrued Sales Deductions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60" w:right="120" w:hanging="328"/>
        <w:spacing w:after="0" w:line="276" w:lineRule="auto"/>
        <w:tabs>
          <w:tab w:leader="none" w:pos="62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Distributor/wholesaler deductions and discounts: U.S. specialty distributors and wholesalers are offered various forms of consideration including allowances, service fees and prompt payment discounts as consideration for distributing our products. Distributor allowances and service fees arise from contractual agreements with distributors and are generally a percentage of the price at which the Company sells product to distributors and wholesalers. Wholesale customers are offered a prompt pay discount for payment within a specified period. Allowances for estimated discounts are recorded as a deduction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which is recorded under current assets.</w:t>
      </w:r>
    </w:p>
    <w:p>
      <w:pPr>
        <w:spacing w:after="0" w:line="172" w:lineRule="exact"/>
        <w:rPr>
          <w:rFonts w:ascii="Arial" w:cs="Arial" w:eastAsia="Arial" w:hAnsi="Arial"/>
          <w:sz w:val="17"/>
          <w:szCs w:val="17"/>
          <w:color w:val="auto"/>
        </w:rPr>
      </w:pPr>
    </w:p>
    <w:p>
      <w:pPr>
        <w:ind w:left="660" w:right="80" w:hanging="328"/>
        <w:spacing w:after="0" w:line="291" w:lineRule="auto"/>
        <w:tabs>
          <w:tab w:leader="none" w:pos="62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Returns: Sales of the Company’s products are not subject to a general right of return; however, the Company will accept the return of product that is damaged or defective when shipped directly from our warehouse. The Company will also accept expired product six months prior to and up to</w:t>
      </w:r>
    </w:p>
    <w:p>
      <w:pPr>
        <w:ind w:left="660" w:right="2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12 months subsequent to its expiry date. Product that has been used to fill patient prescriptions is no longer subject to any right of return. Returned product is expired and cannot be re-sold, therefore a right of return asset is not recorded. Allowances for estimated returns are recorded as current liabilities in </w:t>
      </w:r>
      <w:r>
        <w:rPr>
          <w:rFonts w:ascii="Arial" w:cs="Arial" w:eastAsia="Arial" w:hAnsi="Arial"/>
          <w:sz w:val="18"/>
          <w:szCs w:val="18"/>
          <w:i w:val="1"/>
          <w:iCs w:val="1"/>
          <w:color w:val="auto"/>
        </w:rPr>
        <w:t>Accrued Sales Deductions</w:t>
      </w:r>
      <w:r>
        <w:rPr>
          <w:rFonts w:ascii="Arial" w:cs="Arial" w:eastAsia="Arial" w:hAnsi="Arial"/>
          <w:sz w:val="18"/>
          <w:szCs w:val="18"/>
          <w:color w:val="auto"/>
        </w:rPr>
        <w:t>.</w:t>
      </w:r>
    </w:p>
    <w:p>
      <w:pPr>
        <w:spacing w:after="0" w:line="190" w:lineRule="exact"/>
        <w:rPr>
          <w:rFonts w:ascii="Arial" w:cs="Arial" w:eastAsia="Arial" w:hAnsi="Arial"/>
          <w:sz w:val="16"/>
          <w:szCs w:val="16"/>
          <w:color w:val="auto"/>
        </w:rPr>
      </w:pPr>
    </w:p>
    <w:p>
      <w:pPr>
        <w:ind w:left="660" w:right="20" w:hanging="328"/>
        <w:spacing w:after="0" w:line="255"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Chargebacks: Chargebacks are discounts that occur when contracted customers purchase directly from an intermediary distributor or wholesaler. Contracted customers, which currently consist primarily of Public Health Service institutions and federal government entities purchasing via the Federal Supply Schedule, generally purchase the Company’s products at a discounted price. The distributor or wholesaler, in turn, charges back the difference between the price initially paid by the distributor or wholesaler and the discounted price paid to the distributor or wholesaler by the customer. The allowance for distributor/wholesaler chargebacks is based on sales to contracted customers. Allowances for estimated chargebacks are recorded as current liabilities in </w:t>
      </w:r>
      <w:r>
        <w:rPr>
          <w:rFonts w:ascii="Arial" w:cs="Arial" w:eastAsia="Arial" w:hAnsi="Arial"/>
          <w:sz w:val="18"/>
          <w:szCs w:val="18"/>
          <w:i w:val="1"/>
          <w:iCs w:val="1"/>
          <w:color w:val="auto"/>
        </w:rPr>
        <w:t>Accrued Sales Deductions</w:t>
      </w:r>
      <w:r>
        <w:rPr>
          <w:rFonts w:ascii="Arial" w:cs="Arial" w:eastAsia="Arial" w:hAnsi="Arial"/>
          <w:sz w:val="18"/>
          <w:szCs w:val="18"/>
          <w:color w:val="auto"/>
        </w:rPr>
        <w:t>.</w:t>
      </w:r>
    </w:p>
    <w:p>
      <w:pPr>
        <w:spacing w:after="0" w:line="193"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Customer orders are generally fulfilled within a few days of receipt resulting in minimal order backlog. Open purchase orders for products from customers are expected to be fulfilled within the next twelve months and there are no minimum product purchase requirements.</w:t>
      </w:r>
    </w:p>
    <w:p>
      <w:pPr>
        <w:spacing w:after="0" w:line="14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does not capitalize costs to obtain or fulfill a contract. Compensation costs offered to certain employees are expensed as incurred and recorded in the selling, general and administrative expense line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License and Collaboration Agreements</w:t>
      </w:r>
    </w:p>
    <w:p>
      <w:pPr>
        <w:spacing w:after="0" w:line="225" w:lineRule="exact"/>
        <w:rPr>
          <w:sz w:val="20"/>
          <w:szCs w:val="20"/>
          <w:color w:val="auto"/>
        </w:rPr>
      </w:pPr>
    </w:p>
    <w:p>
      <w:pPr>
        <w:ind w:right="500" w:firstLine="648"/>
        <w:spacing w:after="0" w:line="275" w:lineRule="auto"/>
        <w:rPr>
          <w:sz w:val="20"/>
          <w:szCs w:val="20"/>
          <w:color w:val="auto"/>
        </w:rPr>
      </w:pPr>
      <w:r>
        <w:rPr>
          <w:rFonts w:ascii="Arial" w:cs="Arial" w:eastAsia="Arial" w:hAnsi="Arial"/>
          <w:sz w:val="18"/>
          <w:szCs w:val="18"/>
          <w:color w:val="auto"/>
        </w:rPr>
        <w:t xml:space="preserve">The Company has </w:t>
      </w:r>
      <w:r>
        <w:rPr>
          <w:rFonts w:ascii="Arial" w:cs="Arial" w:eastAsia="Arial" w:hAnsi="Arial"/>
          <w:sz w:val="17"/>
          <w:szCs w:val="17"/>
          <w:color w:val="auto"/>
        </w:rPr>
        <w:t>entered into collaboration agreements to commercialize both Oxtellar XR and Trokendi XR outside of the United States which</w:t>
      </w:r>
      <w:r>
        <w:rPr>
          <w:rFonts w:ascii="Arial" w:cs="Arial" w:eastAsia="Arial" w:hAnsi="Arial"/>
          <w:sz w:val="18"/>
          <w:szCs w:val="18"/>
          <w:color w:val="auto"/>
        </w:rPr>
        <w:t xml:space="preserve"> </w:t>
      </w:r>
      <w:r>
        <w:rPr>
          <w:rFonts w:ascii="Arial" w:cs="Arial" w:eastAsia="Arial" w:hAnsi="Arial"/>
          <w:sz w:val="17"/>
          <w:szCs w:val="17"/>
          <w:color w:val="auto"/>
        </w:rPr>
        <w:t>involve the right to use its intellectual property as a functional license. These agreements generally include an up-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00" w:gutter="0" w:footer="0" w:header="0"/>
        </w:sectPr>
      </w:pPr>
    </w:p>
    <w:bookmarkStart w:id="7" w:name="page8"/>
    <w:bookmarkEnd w:id="7"/>
    <w:p>
      <w:pPr>
        <w:spacing w:after="0" w:line="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front license fee and ongoing milestone payments upon the achievement of specific events. These agreements may also require minimum royalty payments based on sales of products developed from the applicable intellectual property.</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Up-front license fees are recognized once the license has been delivered to the customer. Milestones are a form of variable consideration that are recognized when either the underlying events have been achieved or the sales-based targets have been met.</w:t>
      </w:r>
    </w:p>
    <w:p>
      <w:pPr>
        <w:spacing w:after="0" w:line="170"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Milestones can be either event-based or based on underlying target levels of the sale of licensed products by the collaborative partner (sales-based milestone). Both types of milestone payments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limited availability of third party information; and expected duration of time until achievement of event. These factors will be evaluated based on the specific facts and circumstances. If it is probable that a significant revenue reversal would not occur, the value of the associated milestone is included in the transaction price.</w:t>
      </w:r>
    </w:p>
    <w:p>
      <w:pPr>
        <w:spacing w:after="0" w:line="16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Event-based milestones are recognized in the period that the related event, such as regulatory approval, occurs. Sales-based milestones are recognized as revenue when the sales target is achieved. Milestone payments that are not within the control of the Company, such as approvals from regulatory authorities or where attainment of the specified event is dependent on the development activities of a third-party, are not considered probable of being achieved until those approvals are received or the specified event occurs. Revenue is recognized from the satisfaction of performance obligations in the amount billable to the customer.</w:t>
      </w:r>
    </w:p>
    <w:p>
      <w:pPr>
        <w:spacing w:after="0" w:line="188"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There was no milestone revenue during the three months ended March 31, 2018 or 2017. Revenue associated with future milestones will be recognized when the related event occurs or sales-based target is achieved. There are no guaranteed minimum amounts owed to the Company related to license and collaboration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7"/>
          <w:szCs w:val="17"/>
          <w:color w:val="auto"/>
        </w:rPr>
        <w:t>recognizes non-cash royalty revenue for royalty amounts earned pursuant to a royalty agreement with United Therapeutics that involves</w:t>
      </w:r>
      <w:r>
        <w:rPr>
          <w:rFonts w:ascii="Arial" w:cs="Arial" w:eastAsia="Arial" w:hAnsi="Arial"/>
          <w:sz w:val="18"/>
          <w:szCs w:val="18"/>
          <w:color w:val="auto"/>
        </w:rPr>
        <w:t xml:space="preserve"> </w:t>
      </w:r>
      <w:r>
        <w:rPr>
          <w:rFonts w:ascii="Arial" w:cs="Arial" w:eastAsia="Arial" w:hAnsi="Arial"/>
          <w:sz w:val="17"/>
          <w:szCs w:val="17"/>
          <w:color w:val="auto"/>
        </w:rPr>
        <w:t>the right to use its intellectual property as a functional license. In 2014, the Company sold certain of these royalty rights to Healthcare Royalty Partners III, L.P. (HC Royalty) (see Note 14). Accordingly, the Company records non-cash royalty revenue based on estimated sales by United Therapeutics that result in payments made from United Therapeutics to HC Royalty in connection with these agreements.</w:t>
      </w:r>
    </w:p>
    <w:p>
      <w:pPr>
        <w:spacing w:after="0" w:line="18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Royalty revenue also includes royalty amounts received from collaboration partners, including from Shire Pharmaceuticals based on net product sales of Mydayis. Royalty revenue is only recognized when the underlying sale occurs. The Shire arrangement also involves the right to use the Company’s intellectual property as a functional license and royalty revenue is recognized based on estimated net product sales by Shire in the current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royalty revenue agreements.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March 31, 2018, revenue recognized from performance obligations related to prior periods (for example, due to changes in transaction price) was not material in the aggregate for Net Product Sales, License Revenue and Royalty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Accounts receivable are reported on the consolidated balance sheets at outstanding amounts due from customers, less an allowance for doubtful accounts and discounts. The Company extends credit without requiring collateral. 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All arrangements are payable no later than one year after the transfer of the product. The Company does not assess whether a contract has a significant financing component if the expectation at contract inception is such that the period between the transfer of the promised good to the customer and receipt of payment will be one year or less. There are no significant financing components.</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 recorded no allowance for bad debt as of March 31, 2018 or March 31, 2017 and there were no impairment losses on accounts receivable for the three months ending March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recorded an allowance of approximately $9.4 million and $8.9 million for expected sales discounts to wholesalers and distributors as of March 31, 2018 and December 31,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contract assets or liabilities recorded as of January 1, 2018 or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cost of product sales consists primarily of materials, third-party manufacturing costs, freight and distribution costs, allocation of labor, quality control and assurance, and other manufacturing overhead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employee-related expenses, including: salaries and benefits; share-based compensation expense; expenses incurred under agreements with CROs; fees paid to clinical investigators who are participating in our clinical trials; fees paid to consultants and other vendors that conduct the Company’s clinical trials; the cost of acquiring and manufacturing clinical trial materials; the cost of manufacturing materials used in process validation, but only to the extent that those materials are manufactured prior to receiving regulatory approval and are not expected to be sold commercially; facilities costs that do not have an alternative future use;</w:t>
      </w:r>
    </w:p>
    <w:p>
      <w:pPr>
        <w:sectPr>
          <w:pgSz w:w="11900" w:h="16874" w:orient="portrait"/>
          <w:cols w:equalWidth="0" w:num="1">
            <w:col w:w="11420"/>
          </w:cols>
          <w:pgMar w:left="240" w:top="125" w:right="239" w:bottom="0" w:gutter="0" w:footer="0" w:header="0"/>
        </w:sectPr>
      </w:pPr>
    </w:p>
    <w:bookmarkStart w:id="8" w:name="page9"/>
    <w:bookmarkEnd w:id="8"/>
    <w:p>
      <w:pPr>
        <w:ind w:right="640"/>
        <w:spacing w:after="0" w:line="277" w:lineRule="auto"/>
        <w:rPr>
          <w:sz w:val="20"/>
          <w:szCs w:val="20"/>
          <w:color w:val="auto"/>
        </w:rPr>
      </w:pPr>
      <w:r>
        <w:rPr>
          <w:rFonts w:ascii="Arial" w:cs="Arial" w:eastAsia="Arial" w:hAnsi="Arial"/>
          <w:sz w:val="18"/>
          <w:szCs w:val="18"/>
          <w:color w:val="auto"/>
        </w:rPr>
        <w:t>related depreciation and other allocated expenses; license fees for, and milestone payments related to in-licensed products and technologies; and costs associated with animal testing activities and regulatory approvals.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costs of the Company’s advertising efforts are expensed as incurred. The Company incurred approximately $7.9 million and $6.7 million in advertising costs for the three months ended March 31, 2018 and 2017, respectively. These expenses are recorded in the selling, general and administrative expense line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Employee share-based compensation is measured based on the estimated fair value as of the grant date. The grant date fair value is calculated using the Black-Scholes option-pricing model, which requires the use of subjective assumptions, including stock volatility, expected term, risk-free rate, and the fair value of the underlying common stock. The Company recognizes expense using the straight-line method.</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 using the Black-Scholes option pricing model. The fair value of awards to non-employees is re-measured at each reporting period. As a result, stock compensation expense for non-employee awards with vesting is affected by subsequent changes in the fair value of the Company’s common stock, with those changes recorded in the relevant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 The Company’s policy is to recognize any interest and penalties related to income taxes as income tax expense in the relevant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2018</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has subsequently issued a number of amendments to ASU 2014-09, which provides a comprehensive model to be used in the accounting for revenue arising from contracts with customers and supersedes current revenue recognition guidance, including industry-specific guidance.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January 1, 2018, the Company adopted the new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using the modified retrospective method applied to those contracts which had not been completed as of January 1, 2018. The Company recognized the cumulative effect of initially applying the new revenue standard as an adjustment to the opening balance of retained earnings.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recorded a decrease to the accumulated deficit of $2.3 million as of January 1, 2018 due to the cumulative impact of adopting the New Revenue Standard. The decrease resulted from the acceleration of both up-front licensing fees from license and collaboration agreements and the acceleration of royalties from sales of licensed product. Under the New Revenue Standard, up-front licensing fees will be recognized when the license is delivered to the customer and royalties from the sale of licensed product will be recognized as the underlying sales of product occur by the licensee. There were no changes in the timing of revenue recognition related to net product sales.</w:t>
      </w:r>
    </w:p>
    <w:p>
      <w:pPr>
        <w:spacing w:after="0" w:line="18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comparative information has not been restated and continues to be reported under the accounting standards in effect for those periods, in thousands of dollars:</w:t>
      </w:r>
    </w:p>
    <w:p>
      <w:pPr>
        <w:spacing w:after="0" w:line="36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December 31, 2017</w:t>
            </w:r>
          </w:p>
        </w:tc>
        <w:tc>
          <w:tcPr>
            <w:tcW w:w="2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January 1, 2018</w:t>
            </w:r>
          </w:p>
        </w:tc>
      </w:tr>
      <w:tr>
        <w:trPr>
          <w:trHeight w:val="17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(unaudited)</w:t>
            </w:r>
          </w:p>
        </w:tc>
      </w:tr>
      <w:tr>
        <w:trPr>
          <w:trHeight w:val="210"/>
        </w:trPr>
        <w:tc>
          <w:tcPr>
            <w:tcW w:w="4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67,206</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Deferred licensing revenue</w:t>
            </w: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licensing revenue, net of current portion</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Deferred income taxes (asset)</w:t>
            </w:r>
          </w:p>
        </w:tc>
        <w:tc>
          <w:tcPr>
            <w:tcW w:w="1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20,843</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20,109</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26,823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24,501</w:t>
            </w: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March 31, 2018, revenue recognized from performance obligations related to prior periods (for example, due to changes in transaction price) was not material in the aggregate for Net Product Sales, License Revenue and Royalty Revenue.</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Adoption of the New Revenue Standard had no material impact on the Company’s consolidated balance sheets or statements of earnings and had no impact on cash from or used in total operating, investing or financing activities on the Company’s consolidated statements of cash flows.</w:t>
      </w:r>
    </w:p>
    <w:p>
      <w:pPr>
        <w:sectPr>
          <w:pgSz w:w="11900" w:h="16838" w:orient="portrait"/>
          <w:cols w:equalWidth="0" w:num="1">
            <w:col w:w="11420"/>
          </w:cols>
          <w:pgMar w:left="240" w:top="125" w:right="239" w:bottom="143" w:gutter="0" w:footer="0" w:header="0"/>
        </w:sectPr>
      </w:pPr>
    </w:p>
    <w:bookmarkStart w:id="9" w:name="page10"/>
    <w:bookmarkEnd w:id="9"/>
    <w:p>
      <w:pPr>
        <w:ind w:right="120" w:firstLine="648"/>
        <w:spacing w:after="0" w:line="297" w:lineRule="auto"/>
        <w:rPr>
          <w:sz w:val="20"/>
          <w:szCs w:val="20"/>
          <w:color w:val="auto"/>
        </w:rPr>
      </w:pPr>
      <w:r>
        <w:rPr>
          <w:rFonts w:ascii="Arial" w:cs="Arial" w:eastAsia="Arial" w:hAnsi="Arial"/>
          <w:sz w:val="16"/>
          <w:szCs w:val="16"/>
          <w:color w:val="auto"/>
        </w:rPr>
        <w:t>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ASU 2017-09 is effective for all annual periods, and interim periods within those annual periods, beginning after December 15, 2017, with early adoption permitted. The adoption of this guidance did not have a material impact on the Company’s consolidated financial statements.</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The standard eliminates diversity in the practice of how certain cash receipts and cash payments are presented and classified in the statement of cash flows under Topic 230, </w:t>
      </w:r>
      <w:r>
        <w:rPr>
          <w:rFonts w:ascii="Arial" w:cs="Arial" w:eastAsia="Arial" w:hAnsi="Arial"/>
          <w:sz w:val="17"/>
          <w:szCs w:val="17"/>
          <w:i w:val="1"/>
          <w:iCs w:val="1"/>
          <w:color w:val="auto"/>
        </w:rPr>
        <w:t>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of Cash Flows</w:t>
      </w:r>
      <w:r>
        <w:rPr>
          <w:rFonts w:ascii="Arial" w:cs="Arial" w:eastAsia="Arial" w:hAnsi="Arial"/>
          <w:sz w:val="17"/>
          <w:szCs w:val="17"/>
          <w:color w:val="auto"/>
        </w:rPr>
        <w:t>, and other Topics. ASU 2016-15 is effective for annual reporting periods, and interim periods therein, beginning after December 15,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standard requires a lessee to recognize assets and liabilities on the balance sheet for leases with lease terms greater than 12 months. ASU 2016-02 is effective for fiscal years, and interim periods within those years, beginning after December 15, 2018, and early adoption is permitted. The Company expects the ASU to have a material impact on its consolidated balance sheet due to the recognition of assets and liabilities principally for certain leases currently accounted for as operating leases. The Company does not expect it to have a material impact on its cash flows or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August 2017, the FASB issued ASU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Activities.” </w:t>
      </w:r>
      <w:r>
        <w:rPr>
          <w:rFonts w:ascii="Arial" w:cs="Arial" w:eastAsia="Arial" w:hAnsi="Arial"/>
          <w:sz w:val="17"/>
          <w:szCs w:val="17"/>
          <w:color w:val="auto"/>
        </w:rPr>
        <w:t>ASU 2017-12 provides new guidance about income statement classification and eliminates the requirement to separately measure and report</w:t>
      </w:r>
      <w:r>
        <w:rPr>
          <w:rFonts w:ascii="Arial" w:cs="Arial" w:eastAsia="Arial" w:hAnsi="Arial"/>
          <w:sz w:val="17"/>
          <w:szCs w:val="17"/>
          <w:i w:val="1"/>
          <w:iCs w:val="1"/>
          <w:color w:val="auto"/>
        </w:rPr>
        <w:t xml:space="preserve"> </w:t>
      </w:r>
      <w:r>
        <w:rPr>
          <w:rFonts w:ascii="Arial" w:cs="Arial" w:eastAsia="Arial" w:hAnsi="Arial"/>
          <w:sz w:val="17"/>
          <w:szCs w:val="17"/>
          <w:color w:val="auto"/>
        </w:rPr>
        <w:t>hedge ineffectiveness. The entire change in fair value for qualifying hedge instruments included in the effectiveness measurement will be recorded in other comprehensive income (OCI) and amounts deferred in OCI will be reclassified to earnings in the same income statement line item in which the earnings effect of the hedged item is reported. This standard will be effective for the first annual period beginning after December 15, 2018, including interim periods within those periods. Early adoption is permitted. The Company is currently assessing the impact that this standard will have on its consolidated financial statements, but does not expect it to have a material impact.</w:t>
      </w:r>
    </w:p>
    <w:p>
      <w:pPr>
        <w:spacing w:after="0" w:line="178"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Company has evaluated all other ASUs issued through the date the consolidated financial statements were issued in this Quarterly Report on Form 10-Q and believes that no other ASUs will have a material impact on the Company’s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 Such transactions to sell an asset or transfer a liability are assumed to occur in the principal or most advantageous market for the asset or liability. Accordingly, fair value is determined based on a hypothetical transaction at the measurement date, considered from the perspective of a market participant rather than from a reporting entity’s perspective.</w:t>
      </w:r>
    </w:p>
    <w:p>
      <w:pPr>
        <w:spacing w:after="0" w:line="18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reports assets and liabilities that are measured at fair value using a three 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1" w:lineRule="exact"/>
        <w:rPr>
          <w:sz w:val="20"/>
          <w:szCs w:val="20"/>
          <w:color w:val="auto"/>
        </w:rPr>
      </w:pPr>
    </w:p>
    <w:p>
      <w:pPr>
        <w:ind w:left="980" w:right="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at the measurement date.</w:t>
      </w:r>
    </w:p>
    <w:p>
      <w:pPr>
        <w:spacing w:after="0" w:line="170" w:lineRule="exact"/>
        <w:rPr>
          <w:rFonts w:ascii="Arial" w:cs="Arial" w:eastAsia="Arial" w:hAnsi="Arial"/>
          <w:sz w:val="18"/>
          <w:szCs w:val="18"/>
          <w:color w:val="auto"/>
        </w:rPr>
      </w:pPr>
    </w:p>
    <w:p>
      <w:pPr>
        <w:ind w:left="980" w:right="200" w:hanging="324"/>
        <w:spacing w:after="0" w:line="312"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(interest rates, yield curves, etc.) and inputs that are derived principally from or corroborated by observable market data by correlation or other means (market corroborated inputs).</w:t>
      </w:r>
    </w:p>
    <w:p>
      <w:pPr>
        <w:spacing w:after="0" w:line="146" w:lineRule="exact"/>
        <w:rPr>
          <w:rFonts w:ascii="Arial" w:cs="Arial" w:eastAsia="Arial" w:hAnsi="Arial"/>
          <w:sz w:val="16"/>
          <w:szCs w:val="16"/>
          <w:color w:val="auto"/>
        </w:rPr>
      </w:pPr>
    </w:p>
    <w:p>
      <w:pPr>
        <w:ind w:left="980" w:right="2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tables show the fair value of the Company’s financial assets and liabilities that are required to be measured at fair value,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Fair Value Measurements at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left="740"/>
              <w:spacing w:after="0" w:line="149" w:lineRule="exact"/>
              <w:rPr>
                <w:sz w:val="20"/>
                <w:szCs w:val="20"/>
                <w:color w:val="auto"/>
              </w:rPr>
            </w:pPr>
            <w:r>
              <w:rPr>
                <w:rFonts w:ascii="Arial" w:cs="Arial" w:eastAsia="Arial" w:hAnsi="Arial"/>
                <w:sz w:val="14"/>
                <w:szCs w:val="14"/>
                <w:b w:val="1"/>
                <w:bCs w:val="1"/>
                <w:color w:val="auto"/>
                <w:w w:val="94"/>
              </w:rPr>
              <w:t>March 31, 2018</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760"/>
              <w:spacing w:after="0"/>
              <w:rPr>
                <w:sz w:val="20"/>
                <w:szCs w:val="20"/>
                <w:color w:val="auto"/>
              </w:rPr>
            </w:pPr>
            <w:r>
              <w:rPr>
                <w:rFonts w:ascii="Arial" w:cs="Arial" w:eastAsia="Arial" w:hAnsi="Arial"/>
                <w:sz w:val="14"/>
                <w:szCs w:val="14"/>
                <w:b w:val="1"/>
                <w:bCs w:val="1"/>
                <w:color w:val="auto"/>
                <w:w w:val="94"/>
              </w:rPr>
              <w:t>(unaudited)</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 at</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444,140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444,140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43,713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Long term marketable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171,223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Government debt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3,148</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Fair Value Measurements at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Value at</w:t>
            </w:r>
          </w:p>
        </w:tc>
        <w:tc>
          <w:tcPr>
            <w:tcW w:w="1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100,304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100,304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Long term marketable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132,029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Government debt securities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restricted marketable securities is included within other non-current assets in the consolidated balance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Level 1 assets include cash held with banks, certificates of deposit, and money market funds.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Level 2 assets include the SERP (Supplemental Executive Retirement Plan) assets, commercial paper and investment grade corporate and government debt securities and other fixed income securities. Level 2 securities are valued using third-party pricing sources that apply applicable inputs and other relevant data in their models to estimate fair value.</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carrying value, face value and estimated fair value of the 2023 Notes were approximately $318.2 million, $402.5 million and $428.7 million, respectively, as of March 31, 2018. The fair value was estimated based on actual trade information as well as quoted prices provided by bond traders, which would be characterized within Level 2 of the fair value hierarchy.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marketable securities held by the Company were as follows, in thousands of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Available for 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223,554</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220,649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20" w:type="dxa"/>
            <w:vAlign w:val="bottom"/>
            <w:gridSpan w:val="4"/>
          </w:tcPr>
          <w:p>
            <w:pPr>
              <w:ind w:left="660"/>
              <w:spacing w:after="0"/>
              <w:rPr>
                <w:sz w:val="20"/>
                <w:szCs w:val="20"/>
                <w:color w:val="auto"/>
              </w:rPr>
            </w:pPr>
            <w:r>
              <w:rPr>
                <w:rFonts w:ascii="Arial" w:cs="Arial" w:eastAsia="Arial" w:hAnsi="Arial"/>
                <w:sz w:val="18"/>
                <w:szCs w:val="18"/>
                <w:color w:val="auto"/>
              </w:rPr>
              <w:t>At December 31, 2017: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Available for 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Corporate and government debt securities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174,235</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173,374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 for sale marketable securities held by the Company were as follows, in thousands of dollars:</w:t>
      </w:r>
    </w:p>
    <w:p>
      <w:pPr>
        <w:sectPr>
          <w:pgSz w:w="11900" w:h="16900" w:orient="portrait"/>
          <w:cols w:equalWidth="0" w:num="1">
            <w:col w:w="11460"/>
          </w:cols>
          <w:pgMar w:left="240" w:top="503"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-121920</wp:posOffset>
            </wp:positionV>
            <wp:extent cx="38334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33495" cy="137160"/>
                    </a:xfrm>
                    <a:prstGeom prst="rect">
                      <a:avLst/>
                    </a:prstGeom>
                    <a:noFill/>
                  </pic:spPr>
                </pic:pic>
              </a:graphicData>
            </a:graphic>
          </wp:anchor>
        </w:drawing>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 year to 2 years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 year to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-130810</wp:posOffset>
            </wp:positionV>
            <wp:extent cx="38334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33495"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3 years to 4 years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Greater Than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-108585</wp:posOffset>
            </wp:positionV>
            <wp:extent cx="38334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33495" cy="137160"/>
                    </a:xfrm>
                    <a:prstGeom prst="rect">
                      <a:avLst/>
                    </a:prstGeom>
                    <a:noFill/>
                  </pic:spPr>
                </pic:pic>
              </a:graphicData>
            </a:graphic>
          </wp:anchor>
        </w:drawing>
      </w:r>
    </w:p>
    <w:p>
      <w:pPr>
        <w:spacing w:after="0" w:line="2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right="3255"/>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right="3255"/>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857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jc w:val="center"/>
        <w:ind w:right="3255"/>
        <w:spacing w:after="0" w:line="235" w:lineRule="auto"/>
        <w:rPr>
          <w:sz w:val="20"/>
          <w:szCs w:val="20"/>
          <w:color w:val="auto"/>
        </w:rPr>
      </w:pPr>
      <w:r>
        <w:rPr>
          <w:rFonts w:ascii="Arial" w:cs="Arial" w:eastAsia="Arial" w:hAnsi="Arial"/>
          <w:sz w:val="14"/>
          <w:szCs w:val="14"/>
          <w:b w:val="1"/>
          <w:bCs w:val="1"/>
          <w:color w:val="auto"/>
        </w:rPr>
        <w:t>(unaudited)</w:t>
      </w:r>
    </w:p>
    <w:p>
      <w:pPr>
        <w:ind w:left="865" w:hanging="865"/>
        <w:spacing w:after="0"/>
        <w:tabs>
          <w:tab w:leader="none" w:pos="865" w:val="left"/>
        </w:tabs>
        <w:numPr>
          <w:ilvl w:val="0"/>
          <w:numId w:val="7"/>
        </w:numPr>
        <w:rPr>
          <w:rFonts w:ascii="Arial" w:cs="Arial" w:eastAsia="Arial" w:hAnsi="Arial"/>
          <w:sz w:val="15"/>
          <w:szCs w:val="15"/>
          <w:color w:val="auto"/>
        </w:rPr>
      </w:pPr>
      <w:r>
        <w:rPr>
          <w:rFonts w:ascii="Arial" w:cs="Arial" w:eastAsia="Arial" w:hAnsi="Arial"/>
          <w:sz w:val="15"/>
          <w:szCs w:val="15"/>
          <w:color w:val="auto"/>
        </w:rPr>
        <w:t>45,585</w:t>
      </w:r>
    </w:p>
    <w:p>
      <w:pPr>
        <w:spacing w:after="0" w:line="41" w:lineRule="exact"/>
        <w:rPr>
          <w:rFonts w:ascii="Arial" w:cs="Arial" w:eastAsia="Arial" w:hAnsi="Arial"/>
          <w:sz w:val="15"/>
          <w:szCs w:val="15"/>
          <w:color w:val="auto"/>
        </w:rPr>
      </w:pPr>
    </w:p>
    <w:p>
      <w:pPr>
        <w:ind w:left="865"/>
        <w:spacing w:after="0"/>
        <w:rPr>
          <w:rFonts w:ascii="Arial" w:cs="Arial" w:eastAsia="Arial" w:hAnsi="Arial"/>
          <w:sz w:val="15"/>
          <w:szCs w:val="15"/>
          <w:color w:val="auto"/>
        </w:rPr>
      </w:pPr>
      <w:r>
        <w:rPr>
          <w:rFonts w:ascii="Arial" w:cs="Arial" w:eastAsia="Arial" w:hAnsi="Arial"/>
          <w:sz w:val="15"/>
          <w:szCs w:val="15"/>
          <w:color w:val="auto"/>
        </w:rPr>
        <w:t>49,737</w:t>
      </w:r>
    </w:p>
    <w:p>
      <w:pPr>
        <w:spacing w:after="0" w:line="43" w:lineRule="exact"/>
        <w:rPr>
          <w:rFonts w:ascii="Arial" w:cs="Arial" w:eastAsia="Arial" w:hAnsi="Arial"/>
          <w:sz w:val="15"/>
          <w:szCs w:val="15"/>
          <w:color w:val="auto"/>
        </w:rPr>
      </w:pPr>
    </w:p>
    <w:p>
      <w:pPr>
        <w:ind w:left="865"/>
        <w:spacing w:after="0"/>
        <w:rPr>
          <w:rFonts w:ascii="Arial" w:cs="Arial" w:eastAsia="Arial" w:hAnsi="Arial"/>
          <w:sz w:val="15"/>
          <w:szCs w:val="15"/>
          <w:color w:val="auto"/>
        </w:rPr>
      </w:pPr>
      <w:r>
        <w:rPr>
          <w:rFonts w:ascii="Arial" w:cs="Arial" w:eastAsia="Arial" w:hAnsi="Arial"/>
          <w:sz w:val="15"/>
          <w:szCs w:val="15"/>
          <w:color w:val="auto"/>
        </w:rPr>
        <w:t>56,661</w:t>
      </w:r>
    </w:p>
    <w:p>
      <w:pPr>
        <w:spacing w:after="0" w:line="43" w:lineRule="exact"/>
        <w:rPr>
          <w:rFonts w:ascii="Arial" w:cs="Arial" w:eastAsia="Arial" w:hAnsi="Arial"/>
          <w:sz w:val="15"/>
          <w:szCs w:val="15"/>
          <w:color w:val="auto"/>
        </w:rPr>
      </w:pPr>
    </w:p>
    <w:p>
      <w:pPr>
        <w:ind w:left="865"/>
        <w:spacing w:after="0"/>
        <w:rPr>
          <w:rFonts w:ascii="Arial" w:cs="Arial" w:eastAsia="Arial" w:hAnsi="Arial"/>
          <w:sz w:val="15"/>
          <w:szCs w:val="15"/>
          <w:color w:val="auto"/>
        </w:rPr>
      </w:pPr>
      <w:r>
        <w:rPr>
          <w:rFonts w:ascii="Arial" w:cs="Arial" w:eastAsia="Arial" w:hAnsi="Arial"/>
          <w:sz w:val="15"/>
          <w:szCs w:val="15"/>
          <w:color w:val="auto"/>
        </w:rPr>
        <w:t>68,666</w:t>
      </w:r>
    </w:p>
    <w:p>
      <w:pPr>
        <w:spacing w:after="0" w:line="43" w:lineRule="exact"/>
        <w:rPr>
          <w:rFonts w:ascii="Arial" w:cs="Arial" w:eastAsia="Arial" w:hAnsi="Arial"/>
          <w:sz w:val="15"/>
          <w:szCs w:val="15"/>
          <w:color w:val="auto"/>
        </w:rPr>
      </w:pPr>
    </w:p>
    <w:p>
      <w:pPr>
        <w:ind w:left="1165"/>
        <w:spacing w:after="0"/>
        <w:rPr>
          <w:rFonts w:ascii="Arial" w:cs="Arial" w:eastAsia="Arial" w:hAnsi="Arial"/>
          <w:sz w:val="15"/>
          <w:szCs w:val="15"/>
          <w:color w:val="auto"/>
        </w:rPr>
      </w:pPr>
      <w:r>
        <w:rPr>
          <w:rFonts w:ascii="Arial" w:cs="Arial" w:eastAsia="Arial" w:hAnsi="Arial"/>
          <w:sz w:val="18"/>
          <w:szCs w:val="18"/>
          <w:color w:val="auto"/>
        </w:rPr>
        <w:t>—</w:t>
      </w:r>
    </w:p>
    <w:p>
      <w:pPr>
        <w:spacing w:after="0" w:line="9" w:lineRule="exact"/>
        <w:rPr>
          <w:sz w:val="20"/>
          <w:szCs w:val="20"/>
          <w:color w:val="auto"/>
        </w:rPr>
      </w:pPr>
    </w:p>
    <w:p>
      <w:pPr>
        <w:ind w:left="765" w:hanging="765"/>
        <w:spacing w:after="0"/>
        <w:tabs>
          <w:tab w:leader="none" w:pos="765" w:val="left"/>
        </w:tabs>
        <w:numPr>
          <w:ilvl w:val="0"/>
          <w:numId w:val="8"/>
        </w:numPr>
        <w:rPr>
          <w:rFonts w:ascii="Arial" w:cs="Arial" w:eastAsia="Arial" w:hAnsi="Arial"/>
          <w:sz w:val="16"/>
          <w:szCs w:val="16"/>
          <w:color w:val="auto"/>
        </w:rPr>
      </w:pPr>
      <w:r>
        <w:rPr>
          <w:rFonts w:ascii="Arial" w:cs="Arial" w:eastAsia="Arial" w:hAnsi="Arial"/>
          <w:sz w:val="16"/>
          <w:szCs w:val="16"/>
          <w:color w:val="auto"/>
        </w:rPr>
        <w:t>220,649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57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57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57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22" w:lineRule="exact"/>
        <w:rPr>
          <w:sz w:val="20"/>
          <w:szCs w:val="20"/>
          <w:color w:val="auto"/>
        </w:rPr>
      </w:pPr>
    </w:p>
    <w:p>
      <w:pPr>
        <w:sectPr>
          <w:pgSz w:w="11900" w:h="16900" w:orient="portrait"/>
          <w:cols w:equalWidth="0" w:num="2">
            <w:col w:w="6135" w:space="720"/>
            <w:col w:w="4605"/>
          </w:cols>
          <w:pgMar w:left="240" w:top="503" w:right="199" w:bottom="0" w:gutter="0" w:footer="0" w:header="0"/>
          <w:type w:val="continuous"/>
        </w:sectPr>
      </w:pPr>
    </w:p>
    <w:p>
      <w:pPr>
        <w:spacing w:after="0" w:line="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not experienced any other-than-temporary losses on its marketable securities and restricted marketable securities. The cost of securities sold is calculated using the specific identification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in thousands of dollars:</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1"/>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8,873</w:t>
            </w:r>
          </w:p>
        </w:tc>
      </w:tr>
      <w:tr>
        <w:trPr>
          <w:trHeight w:val="151"/>
        </w:trPr>
        <w:tc>
          <w:tcPr>
            <w:tcW w:w="4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1460"/>
          </w:cols>
          <w:pgMar w:left="240" w:top="503" w:right="19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3"/>
          </w:tcPr>
          <w:p>
            <w:pPr>
              <w:ind w:left="660"/>
              <w:spacing w:after="0"/>
              <w:rPr>
                <w:sz w:val="20"/>
                <w:szCs w:val="20"/>
                <w:color w:val="auto"/>
              </w:rPr>
            </w:pPr>
            <w:r>
              <w:rPr>
                <w:rFonts w:ascii="Arial" w:cs="Arial" w:eastAsia="Arial" w:hAnsi="Arial"/>
                <w:sz w:val="18"/>
                <w:szCs w:val="18"/>
                <w:color w:val="auto"/>
                <w:w w:val="93"/>
              </w:rPr>
              <w:t>Property and equipment consist of the following, in thousands of dollars: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24"/>
                <w:szCs w:val="24"/>
                <w:color w:val="auto"/>
              </w:rPr>
            </w:pPr>
          </w:p>
        </w:tc>
        <w:tc>
          <w:tcPr>
            <w:tcW w:w="1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left="199"/>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13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 and furniture</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2,778</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1,230</w:t>
            </w:r>
          </w:p>
        </w:tc>
        <w:tc>
          <w:tcPr>
            <w:tcW w:w="180" w:type="dxa"/>
            <w:vAlign w:val="bottom"/>
          </w:tcPr>
          <w:p>
            <w:pPr>
              <w:spacing w:after="0"/>
              <w:rPr>
                <w:sz w:val="18"/>
                <w:szCs w:val="18"/>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14,769</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1"/>
              </w:rPr>
              <w:t>(9,766)</w:t>
            </w:r>
          </w:p>
        </w:tc>
        <w:tc>
          <w:tcPr>
            <w:tcW w:w="1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5,003</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$420,000 and $302,000 for the three months ended March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Intangible assets consist of patent defense costs, which are deferred legal fees incurred in conjunction with defending patents for Oxtellar XR and Trokendi XR.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gross carrying amount and related accumulated amortization of the intangible assets, in thousands of dollars: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0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Life</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4.75 - 9 years</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44,311</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(8,166)</w:t>
            </w:r>
          </w:p>
        </w:tc>
      </w:tr>
      <w:tr>
        <w:trPr>
          <w:trHeight w:val="210"/>
        </w:trPr>
        <w:tc>
          <w:tcPr>
            <w:tcW w:w="50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In March 2017, the Company entered into two settlements with various companies related to Trokendi XR patent litigation. The remaining unamortized aggregate capitalized patent defense cost for Trokendi XR have subsequently been amortized over the remaining useful life of the patents at issue, or January 1, 2023, which is the date the Company is obligated under the settlements to grant a non-exclusive license to the patents at issue.</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Amortization expense on intangible assets was approximately $1.3 million and $439,000 for the three months ended March 31, 2018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indicators of impairment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are comprised of the following, in thousands of dollars: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5"/>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and clinical supply costs</w:t>
            </w:r>
          </w:p>
        </w:tc>
        <w:tc>
          <w:tcPr>
            <w:tcW w:w="1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compensation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10,279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costs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4,611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r>
      <w:tr>
        <w:trPr>
          <w:trHeight w:val="210"/>
        </w:trPr>
        <w:tc>
          <w:tcPr>
            <w:tcW w:w="50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14, 2018, the Company entered into a Purchase Agreement (the Purchase Agreement) with Jefferies LLC, J.P. Morgan Securities LLC and Cowen and Company, LLC, as the initial purchasers (collectively, the Initial Purchasers), in connection with the offering and sale of $350 million aggregate principal amount of 2023 Notes. The Company also granted the Initial Purchasers an over-allotment option to purchase, within a 30-day period, up to an additional $52.5 million principal amount of additional 2023 Notes on the same terms and conditions, which the Initial Purchasers exercised in full on March 15, 2018.</w:t>
      </w:r>
    </w:p>
    <w:p>
      <w:pPr>
        <w:spacing w:after="0" w:line="188" w:lineRule="exact"/>
        <w:rPr>
          <w:sz w:val="20"/>
          <w:szCs w:val="20"/>
          <w:color w:val="auto"/>
        </w:rPr>
      </w:pPr>
    </w:p>
    <w:p>
      <w:pPr>
        <w:ind w:right="60" w:firstLine="405"/>
        <w:spacing w:after="0" w:line="307" w:lineRule="auto"/>
        <w:rPr>
          <w:sz w:val="20"/>
          <w:szCs w:val="20"/>
          <w:color w:val="auto"/>
        </w:rPr>
      </w:pPr>
      <w:r>
        <w:rPr>
          <w:rFonts w:ascii="Arial" w:cs="Arial" w:eastAsia="Arial" w:hAnsi="Arial"/>
          <w:sz w:val="16"/>
          <w:szCs w:val="16"/>
          <w:color w:val="auto"/>
        </w:rPr>
        <w:t xml:space="preserve">On March 19, 2018, the sale of the 2023 Notes was settled and the 2023 Notes were issued pursuant to an Indenture, dated as of March 19, 2018 (the Indenture), between the Company and Wilmington Trust, National Association, as trustee. The Indenture includes customary terms and covenants, including certain events of default after which the 2023 Notes may be due and payable immediately. </w:t>
      </w:r>
      <w:r>
        <w:rPr>
          <w:rFonts w:ascii="Arial" w:cs="Arial" w:eastAsia="Arial" w:hAnsi="Arial"/>
          <w:sz w:val="15"/>
          <w:szCs w:val="15"/>
          <w:color w:val="auto"/>
        </w:rPr>
        <w:t>The 2023 Notes do not contain any financial or operating covenants</w:t>
      </w:r>
      <w:r>
        <w:rPr>
          <w:rFonts w:ascii="Arial" w:cs="Arial" w:eastAsia="Arial" w:hAnsi="Arial"/>
          <w:sz w:val="16"/>
          <w:szCs w:val="16"/>
          <w:color w:val="auto"/>
        </w:rPr>
        <w:t xml:space="preserve"> </w:t>
      </w:r>
      <w:r>
        <w:rPr>
          <w:rFonts w:ascii="Arial" w:cs="Arial" w:eastAsia="Arial" w:hAnsi="Arial"/>
          <w:sz w:val="15"/>
          <w:szCs w:val="15"/>
          <w:color w:val="auto"/>
        </w:rPr>
        <w:t>or any restrictions on the payment of dividends, the issuance of other indebtedness or the issuance or repurchase of securities by the Company.</w:t>
      </w:r>
    </w:p>
    <w:p>
      <w:pPr>
        <w:sectPr>
          <w:pgSz w:w="11900" w:h="16838" w:orient="portrait"/>
          <w:cols w:equalWidth="0" w:num="1">
            <w:col w:w="11400"/>
          </w:cols>
          <w:pgMar w:left="240" w:top="140" w:right="25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will pay interest on the 2023 Notes at an annual rate of 0.625%, payable semi-annually in arrears on April 1 and October 1 of each year, beginning on October 1, 2018. The 2023 Notes will mature on April 1, 2023, unless earlier converted or repurchased by the Company.</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Noteholders may convert their 2023 Notes at their option only in the following circumstances: (1) during any calendar quarter commencing after the calendar quarter ending on June 30, 2018, if the last reported sale price per share of the Company’s common stock for each of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w:t>
      </w:r>
    </w:p>
    <w:p>
      <w:pPr>
        <w:spacing w:after="0" w:line="16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not redeem the 2023 Notes at its option before maturity.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event of conversion, holders would forgo all future interest payments, any unpaid accrued interest and the possibility of further stock price appreciation. Upon the receipt of conversion requests, the settlement of the 2023 Notes will be paid pursuant to the terms of the Indenture. In the event that all of the 2023 Notes are converted, the Company would be required to repay the $402.5 million in principal value and any conversion premium in any combination of cash and shares of its common stock (at the Company’s option).</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2023 Notes are the Company’s senior, unsecured obligations and will be equal in right of payment with the Company’s future senior, unsecured indebtedness, senior in right of payment to the Company’s future indebtedness that is expressly subordinated to the 2023 Notes and effectively subordinated to the Company’s future secured indebtedness, to the extent of the value of the collateral securing that indebtedness. The 2023 Notes will be structurally subordinated to all future indebtedness and other liabilities, including trade payables.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Hedge and Warrant Transactions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the pricing of the 2023 Notes on March 14, 2018, and in connection with the exercise of the over-allotment option by the Initial Purchasers on March 15, 2018, the Company entered into separate privately negotiated convertible note hedge transactions (collectively, the Convertible Note Hedge Transactions) with each of the call spread counterparties. The Convertible Note Hedge Transactions cover, subject to customary anti-dilution adjustments substantially similar to those applicable to the 2023 Notes, the number of shares of the Company’s common stock underlying the 2023 Notes, as described above. The Company issued 402,500 convertible note hedge options, including options purchased on the exercise of the overallotment option. In the event that shares or cash are deliverable to holders of the 2023 Notes upon conversion at limits defined in the Indenture, counterparties to the convertible note hedges will be required to deliver up to approximately 6.8 million shares of the Company’s common stock or pay cash to the Company in a similar amount as the value that the Company delivers to the holders of the 2023 Notes based on a conversion price of $59.33 per share. The total cost of the convertible note hedge transactions was $92.9 million.</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Concurrently with entering into the Convertible Note Hedge Transactions on each such date, the Company also entered into separate privately negotiated warrant transactions (collectively, the Warrant Transactions) with each of the call spread counterparties whereby the Company sold to the call spread counterparties warrants to purchase, subject to customary anti-dilution adjustments, up to the same number of shares of the Company’s common stock.</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Convertible Note Hedge Transactions and the Warrant Transactions are separate contracts entered into by the Company with the Call Spread Counterparties are not part of the terms of the 2023 Notes and will not affect the noteholders’ rights under the 2023 Notes. Holders of the 2023 Notes will not have any rights with respect to the Convertible Note Hedge Transactions 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Warrant Transactions. The Company issued a total of 6,783,939 warrants. The warrants entitle the holder to one share per warrant at the strike price through 2023. The strike price of the Warrant Transactions will initially be $80.9063 per share of the Company’s common stock (subject to adjustment). </w:t>
      </w:r>
      <w:r>
        <w:rPr>
          <w:rFonts w:ascii="Arial" w:cs="Arial" w:eastAsia="Arial" w:hAnsi="Arial"/>
          <w:sz w:val="15"/>
          <w:szCs w:val="15"/>
          <w:color w:val="auto"/>
        </w:rPr>
        <w:t>The Company</w:t>
      </w:r>
    </w:p>
    <w:p>
      <w:pPr>
        <w:spacing w:after="0"/>
        <w:rPr>
          <w:sz w:val="20"/>
          <w:szCs w:val="20"/>
          <w:color w:val="auto"/>
        </w:rPr>
      </w:pPr>
      <w:r>
        <w:rPr>
          <w:rFonts w:ascii="Arial" w:cs="Arial" w:eastAsia="Arial" w:hAnsi="Arial"/>
          <w:sz w:val="18"/>
          <w:szCs w:val="18"/>
          <w:color w:val="auto"/>
        </w:rPr>
        <w:t>received proceeds of approximately $65.7 million from the sale of these warrants.</w:t>
      </w:r>
    </w:p>
    <w:p>
      <w:pPr>
        <w:spacing w:after="0" w:line="21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Convertible Note Hedge Transactions are expected to reduce generally the potential dilution with respect to the Company’s common stock upon conversion of the 2023 Notes and/or offset any potential cash payments the Company is required to make in excess of the principal amount of converted 2023 Notes, as the case may be, upon any conversion of the 2023 Notes.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As these transactions meet certain accounting criteria under ASC 815-40-25, the convertible note hedges and warrants are recorded in stockholders’ equity and are not accounted for as derivatives. The net cost incurred in connection with the convertible note hedges and warrant transactions was recorded as a reduction to additional paid-in capital in the consolidated balance sheet as of March 31, 2018.</w:t>
      </w:r>
    </w:p>
    <w:p>
      <w:pPr>
        <w:sectPr>
          <w:pgSz w:w="11900" w:h="16838" w:orient="portrait"/>
          <w:cols w:equalWidth="0" w:num="1">
            <w:col w:w="11400"/>
          </w:cols>
          <w:pgMar w:left="240" w:top="341" w:right="259" w:bottom="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In accordance with accounting guidance on embedded conversion features, the Company valued and bifurcated the conversion option associated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the 2023 Notes from the respective host debt instrument, which is referred to as debt discount, and initially recorded the conversion option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$76.4 million in additional paid-in capital on the consolidated balance sheet. The resulting debt discount on the 2023 Notes is being amortized to interest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 at an effective interest rate of 5.41% over the contractual term of the 2023 Note.</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incurred approximately $10.4 million of debt financing costs. Approximately $2.0 million of this amount is allocated to the additional paid-in capital and the remaining $8.4 million is recorded as deferred costs and is being amortized to interest expense over the contractual term of the 2023 Note.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consisted of the following, in thousands of dollars, unaudited: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the 2023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(76,434)</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(8,453)</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r>
      <w:tr>
        <w:trPr>
          <w:trHeight w:val="210"/>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2018 carrying value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2023 Notes were converted in the three months ended March 31, 2018.</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Summary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summary table provides details related to the activity in certain captions within Stockholders’ Equity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in thousands of dollars: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4"/>
                <w:szCs w:val="14"/>
                <w:color w:val="auto"/>
              </w:rPr>
            </w:pPr>
          </w:p>
        </w:tc>
        <w:tc>
          <w:tcPr>
            <w:tcW w:w="16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Retained Earnings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(Accumulated Deficit)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294,999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Cumulative-effect of adoption of ASC 606</w:t>
            </w:r>
          </w:p>
        </w:tc>
        <w:tc>
          <w:tcPr>
            <w:tcW w:w="1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294,999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2,635</w:t>
            </w:r>
          </w:p>
        </w:tc>
        <w:tc>
          <w:tcPr>
            <w:tcW w:w="12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ind w:left="160"/>
              <w:spacing w:after="0" w:line="201" w:lineRule="exact"/>
              <w:rPr>
                <w:sz w:val="20"/>
                <w:szCs w:val="20"/>
                <w:color w:val="auto"/>
              </w:rPr>
            </w:pPr>
            <w:r>
              <w:rPr>
                <w:rFonts w:ascii="Arial" w:cs="Arial" w:eastAsia="Arial" w:hAnsi="Arial"/>
                <w:sz w:val="18"/>
                <w:szCs w:val="18"/>
                <w:color w:val="auto"/>
                <w:w w:val="99"/>
              </w:rPr>
              <w:t>Equity component of convertible notes issurance, net</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of tax</w:t>
            </w:r>
          </w:p>
        </w:tc>
        <w:tc>
          <w:tcPr>
            <w:tcW w:w="118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56,215</w:t>
            </w:r>
          </w:p>
        </w:tc>
        <w:tc>
          <w:tcPr>
            <w:tcW w:w="12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convertible note hedges, net of tax</w:t>
            </w: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(70,137)</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Issuance of warrants</w:t>
            </w:r>
          </w:p>
        </w:tc>
        <w:tc>
          <w:tcPr>
            <w:tcW w:w="1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65,688</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Balance, March 31, 2018</w:t>
            </w:r>
          </w:p>
        </w:tc>
        <w:tc>
          <w:tcPr>
            <w:tcW w:w="118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352,257</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has adopted the Supernus Pharmaceuticals, Inc. 2012 Equity Incentive Plan, as amended (the 2012 Plan), which is stockholder approved, and provides for the grant of stock options and certain other awards, including stock appreciation rights (SAR),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and provides for the issuance of up to 8,000,000 shares of the Company’s common stock. Option awards are granted with an exercise price equal to the estimated fair value of the Company’s common stock at the grant date. Option awards granted to employees, consultants and advisors generally vest in four annual installments, starting on the first anniversary of the date of the grant and have ten-year contractual terms. Option awards granted to the directors generally vest over a one year term and have ten year contractual terms.</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Share-based compensation recognized related to the grant of employee and non-employee stock options, SAR, Employee Stock Purchase Plan (ESPP) awards and non-vested stock was as follows,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right"/>
              <w:ind w:right="596"/>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2,217</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1,510</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0" w:type="dxa"/>
            <w:vAlign w:val="bottom"/>
            <w:vMerge w:val="restart"/>
          </w:tcPr>
          <w:p>
            <w:pPr>
              <w:jc w:val="right"/>
              <w:ind w:right="630"/>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and SAR activity:</w:t>
      </w:r>
    </w:p>
    <w:p>
      <w:pPr>
        <w:sectPr>
          <w:pgSz w:w="11900" w:h="16838" w:orient="portrait"/>
          <w:cols w:equalWidth="0" w:num="1">
            <w:col w:w="11460"/>
          </w:cols>
          <w:pgMar w:left="240" w:top="125" w:right="199" w:bottom="0" w:gutter="0" w:footer="0" w:header="0"/>
        </w:sectPr>
      </w:pPr>
    </w:p>
    <w:bookmarkStart w:id="14" w:name="page15"/>
    <w:bookmarkEnd w:id="14"/>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December 31, 2017</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4,280,670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Granted (unaudited)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699,452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39.40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 (unaudited)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Forfeited (unaudited)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19.30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Outstanding, March 31, 2018 (unaudited)</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18.62</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of December 31, 2017:</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Vested and expected to vest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4,280,670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14.50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Exercisable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1,952,769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2018:</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Vested and expected to vest (unaudited)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4,647,271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18.62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Exercisable (unaudited)</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2,433,560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Basic earnings per common share is determined by dividing earnings attributable to common stockholders by the weighted-average number of common shares outstanding during the period, without consideration of common stock equivalents. Diluted earnings per share is computed by dividing the earnings attributable to common stockholders by the weighted-average number of common share equivalents outstanding for the period. The treasury stock method is used to determine the dilutive effect of the Company’s stock option grants, SAR, warrants, potential ESPP awards, and the 2023 Notes.</w:t>
      </w:r>
    </w:p>
    <w:p>
      <w:pPr>
        <w:spacing w:after="0" w:line="154"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following common stock equivalents were excluded in the calculation of diluted earnings per share because their inclusion would be anti-dilutive as applied to the earnings from continuing operations applicable to common stockholders for the three months ended March 31,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00" w:type="dxa"/>
            <w:vAlign w:val="bottom"/>
            <w:gridSpan w:val="3"/>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10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0" w:type="dxa"/>
            <w:vAlign w:val="bottom"/>
            <w:tcBorders>
              <w:top w:val="single" w:sz="8" w:color="auto"/>
              <w:bottom w:val="single" w:sz="8" w:color="auto"/>
            </w:tcBorders>
          </w:tcPr>
          <w:p>
            <w:pPr>
              <w:jc w:val="right"/>
              <w:ind w:right="1108"/>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41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1,752,793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Convertible notes</w:t>
            </w:r>
          </w:p>
        </w:tc>
        <w:tc>
          <w:tcPr>
            <w:tcW w:w="4120" w:type="dxa"/>
            <w:vAlign w:val="bottom"/>
            <w:gridSpan w:val="2"/>
          </w:tcPr>
          <w:p>
            <w:pPr>
              <w:jc w:val="right"/>
              <w:ind w:right="588"/>
              <w:spacing w:after="0"/>
              <w:rPr>
                <w:sz w:val="20"/>
                <w:szCs w:val="20"/>
                <w:color w:val="auto"/>
              </w:rPr>
            </w:pPr>
            <w:r>
              <w:rPr>
                <w:rFonts w:ascii="Arial" w:cs="Arial" w:eastAsia="Arial" w:hAnsi="Arial"/>
                <w:sz w:val="18"/>
                <w:szCs w:val="18"/>
                <w:color w:val="auto"/>
              </w:rPr>
              <w:t>22,634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hedges</w:t>
            </w:r>
          </w:p>
        </w:tc>
        <w:tc>
          <w:tcPr>
            <w:tcW w:w="41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Stock options, stock appreciation rights, and ESPP awards</w:t>
            </w:r>
          </w:p>
        </w:tc>
        <w:tc>
          <w:tcPr>
            <w:tcW w:w="4120" w:type="dxa"/>
            <w:vAlign w:val="bottom"/>
            <w:gridSpan w:val="2"/>
          </w:tcPr>
          <w:p>
            <w:pPr>
              <w:jc w:val="right"/>
              <w:ind w:right="588"/>
              <w:spacing w:after="0"/>
              <w:rPr>
                <w:sz w:val="20"/>
                <w:szCs w:val="20"/>
                <w:color w:val="auto"/>
              </w:rPr>
            </w:pPr>
            <w:r>
              <w:rPr>
                <w:rFonts w:ascii="Arial" w:cs="Arial" w:eastAsia="Arial" w:hAnsi="Arial"/>
                <w:sz w:val="18"/>
                <w:szCs w:val="18"/>
                <w:color w:val="auto"/>
              </w:rPr>
              <w:t>208,661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223,273</w:t>
            </w:r>
          </w:p>
        </w:tc>
        <w:tc>
          <w:tcPr>
            <w:tcW w:w="100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tcPr>
          <w:p>
            <w:pPr>
              <w:jc w:val="right"/>
              <w:ind w:right="1470"/>
              <w:spacing w:after="0"/>
              <w:rPr>
                <w:sz w:val="20"/>
                <w:szCs w:val="20"/>
                <w:color w:val="auto"/>
              </w:rPr>
            </w:pPr>
            <w:r>
              <w:rPr>
                <w:rFonts w:ascii="Arial" w:cs="Arial" w:eastAsia="Arial" w:hAnsi="Arial"/>
                <w:sz w:val="18"/>
                <w:szCs w:val="18"/>
                <w:color w:val="auto"/>
              </w:rPr>
              <w:t>21</w:t>
            </w: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three months ended March 31, 2018 and 2017, in thousands of dollars, except share and per share amounts: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Net earnings used for calculation of basic EPS</w:t>
            </w:r>
          </w:p>
        </w:tc>
        <w:tc>
          <w:tcPr>
            <w:tcW w:w="1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26,352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Interest expense on convertible debt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fair value of derivative liabilities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outstanding debt, as if converted</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adjustments</w:t>
            </w:r>
          </w:p>
        </w:tc>
        <w:tc>
          <w:tcPr>
            <w:tcW w:w="1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 used for calculation of diluted EPS</w:t>
            </w: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51,536,474</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50,158,634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Effect of dilutive potential common shares: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Shares underlying Convertible Senior Notes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Shares issuable to settle interest make-whole derivatives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stock appreciation rights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2,251,872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potential dilutive common shares</w:t>
            </w:r>
          </w:p>
        </w:tc>
        <w:tc>
          <w:tcPr>
            <w:tcW w:w="1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2,251,872</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2,605,808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53,788,346</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52,764,442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earings per share, basic</w:t>
            </w:r>
          </w:p>
        </w:tc>
        <w:tc>
          <w:tcPr>
            <w:tcW w:w="1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0.51</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earnings per share, diluted</w:t>
            </w:r>
          </w:p>
        </w:tc>
        <w:tc>
          <w:tcPr>
            <w:tcW w:w="1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0.49</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provides a comparative summary of our income tax expense and effective tax rate for the three months ended March 31, 2018 and 2017, in thousands of dollars:</w:t>
      </w:r>
    </w:p>
    <w:p>
      <w:pPr>
        <w:sectPr>
          <w:pgSz w:w="11900" w:h="16865" w:orient="portrait"/>
          <w:cols w:equalWidth="0" w:num="1">
            <w:col w:w="11460"/>
          </w:cols>
          <w:pgMar w:left="240" w:top="104" w:right="199" w:bottom="0" w:gutter="0" w:footer="0" w:header="0"/>
        </w:sectPr>
      </w:pP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13970</wp:posOffset>
            </wp:positionV>
            <wp:extent cx="1886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9" w:lineRule="exact"/>
        <w:rPr>
          <w:sz w:val="20"/>
          <w:szCs w:val="20"/>
          <w:color w:val="auto"/>
        </w:rPr>
      </w:pPr>
    </w:p>
    <w:p>
      <w:pPr>
        <w:ind w:left="5720"/>
        <w:spacing w:after="0"/>
        <w:tabs>
          <w:tab w:leader="none" w:pos="732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3810</wp:posOffset>
            </wp:positionV>
            <wp:extent cx="1886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65" w:orient="portrait"/>
          <w:cols w:equalWidth="0" w:num="1">
            <w:col w:w="11460"/>
          </w:cols>
          <w:pgMar w:left="240" w:top="104" w:right="199" w:bottom="0" w:gutter="0" w:footer="0" w:header="0"/>
          <w:type w:val="continuous"/>
        </w:sectPr>
      </w:pPr>
    </w:p>
    <w:bookmarkStart w:id="15" w:name="page16"/>
    <w:bookmarkEnd w:id="15"/>
    <w:tbl>
      <w:tblPr>
        <w:tblLayout w:type="fixed"/>
        <w:tblInd w:w="228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4"/>
                <w:szCs w:val="14"/>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4,830</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5,926</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Effective tax rate</w:t>
            </w:r>
          </w:p>
        </w:tc>
        <w:tc>
          <w:tcPr>
            <w:tcW w:w="1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income tax expense for the three months ended March 31, 2018 is driven by the U.S. federal and state income tax regulations. The decrease in the income tax expense and the decrease in effective tax rate for the three months ended March 31, 2018 as compared to the same period in the prior year is primarily attributable to the reduction of the U.S Corporation income tax rate, from 35% to 21%, as a result of Tax Cuts and Jobs Act passed on December 22, 2017.</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addition, during the first quarter of 2018, the Company recorded an income tax benefit of approximately $2.0 million, as a result of the Company recognizing excess tax benefits related to the employee exercise of stock options. This benefit caused the effective tax rate to be significantly less than the Company’s historical or statutory annual effective tax 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Company has concurrent leases for its current headquarters office and lab space that extend through April 2020. The Company may elect to extend the term of the leases for an additional five-year term. The leases provide for a tenant improvement allowance of approximately $2.1 million in aggregate. During the three months ended March 31, 2018, none of the allowance was utilized. During the three months ended March 31, 2017, $50,000 of the allowance was utilized and is included in fixed assets and deferred rent. As of March 31, 2018, $0.4 million is available for tenant improvements.</w:t>
      </w:r>
    </w:p>
    <w:p>
      <w:pPr>
        <w:spacing w:after="0" w:line="15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Company has entered into a new lease agreement, effective February 27, 2018, with Rockside-700 LLC, for its new headquarters. The term of the new lease commences upon the Company’s substantial completion of the initial buildout of the premises, but in no event later than July 10, 2019, and shall continue until April 30, 2033, unless earlier terminated in accordance with the terms of the new lease (the Lease Term). Under the new lease, the Company has the option to extend the Lease Term for two additional five-year periods. The new lease provides for a tenant improvement allowance of approximately $8.9 million in aggregate. The Company has the right to terminate the lease if, by September 30, 2018, the landlord fails to obtain certain site approval pre-requisites per the lease agreement. As of March 31, 2018, none of the tenant improvement allowance has been received and the full amount of the allowance is available for tenant improvements.</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Rent expense for the leased facilities and leased vehicles was approximately $0.9 million and $0.7 million for the three months ended March 31, 2018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operating leases as of March 31, 2018 are as follows, in thousands of dollars, unaudited:</w:t>
      </w:r>
    </w:p>
    <w:p>
      <w:pPr>
        <w:spacing w:after="0" w:line="240" w:lineRule="exact"/>
        <w:rPr>
          <w:sz w:val="20"/>
          <w:szCs w:val="20"/>
          <w:color w:val="auto"/>
        </w:rPr>
      </w:pPr>
    </w:p>
    <w:tbl>
      <w:tblPr>
        <w:tblLayout w:type="fixed"/>
        <w:tblInd w:w="2600" w:type="dxa"/>
        <w:tblCellMar>
          <w:top w:w="0" w:type="dxa"/>
          <w:left w:w="0" w:type="dxa"/>
          <w:bottom w:w="0" w:type="dxa"/>
          <w:right w:w="0" w:type="dxa"/>
        </w:tblCellMar>
      </w:tblPr>
      <w:tr>
        <w:trPr>
          <w:trHeight w:val="17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tcPr>
          <w:p>
            <w:pPr>
              <w:spacing w:after="0"/>
              <w:rPr>
                <w:sz w:val="14"/>
                <w:szCs w:val="14"/>
                <w:color w:val="auto"/>
              </w:rPr>
            </w:pPr>
          </w:p>
        </w:tc>
      </w:tr>
      <w:tr>
        <w:trPr>
          <w:trHeight w:val="210"/>
        </w:trPr>
        <w:tc>
          <w:tcPr>
            <w:tcW w:w="36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2018 (remaining)</w:t>
            </w:r>
          </w:p>
        </w:tc>
        <w:tc>
          <w:tcPr>
            <w:tcW w:w="7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r>
      <w:tr>
        <w:trPr>
          <w:trHeight w:val="216"/>
        </w:trPr>
        <w:tc>
          <w:tcPr>
            <w:tcW w:w="3640" w:type="dxa"/>
            <w:vAlign w:val="bottom"/>
          </w:tcPr>
          <w:p>
            <w:pPr>
              <w:ind w:left="72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16"/>
        </w:trPr>
        <w:tc>
          <w:tcPr>
            <w:tcW w:w="3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16"/>
        </w:trPr>
        <w:tc>
          <w:tcPr>
            <w:tcW w:w="4420" w:type="dxa"/>
            <w:vAlign w:val="bottom"/>
            <w:gridSpan w:val="3"/>
          </w:tcPr>
          <w:p>
            <w:pPr>
              <w:ind w:left="720"/>
              <w:spacing w:after="0"/>
              <w:rPr>
                <w:sz w:val="20"/>
                <w:szCs w:val="20"/>
                <w:color w:val="auto"/>
              </w:rPr>
            </w:pPr>
            <w:r>
              <w:rPr>
                <w:rFonts w:ascii="Arial" w:cs="Arial" w:eastAsia="Arial" w:hAnsi="Arial"/>
                <w:sz w:val="18"/>
                <w:szCs w:val="18"/>
                <w:color w:val="auto"/>
              </w:rPr>
              <w:t>Thereafter</w:t>
            </w:r>
          </w:p>
        </w:tc>
        <w:tc>
          <w:tcPr>
            <w:tcW w:w="8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r>
      <w:tr>
        <w:trPr>
          <w:trHeight w:val="20"/>
        </w:trPr>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has obtained exclusive licenses from third parties for proprietary rights to support the product candidates in the Company’s psychiatry portfolio. Under license agreements with Afecta Pharmaceuticals, Inc. (Afecta), the Company has exclusive worldwide rights to selected product candidates, including an exclusive license to SPN-810. The Company may pay up to $300,000 upon the achievement of certain milestones, none of which was owed as of March 31, 2018. The Company is obligated to pay royalties to Afecta as a low single digit percentage of worldwide net product sales.</w:t>
      </w:r>
    </w:p>
    <w:p>
      <w:pPr>
        <w:spacing w:after="0" w:line="15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has also entered into a purchase and sale agreement with Rune HealthCare Limited (Rune), where the Company obtained the exclusive worldwide rights to a product concept from Rune. There are no future milestone payments due to Rune under this agreement. If the Company receives approval to market and sell any products based on the Rune product concept for SPN-809, the Company is obligated to pay royalties to Rune as a low single digit percentage of worldwide net product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agreement with United Therapeutics Corporation related to the commercialization of Orenitram (treprostinil) Extended-Release Tablets. The Company will retain full ownership of the royalty rights if and when a certain cumulative payment threshold is reached per the terms of the agreement. The Company has recorded a non-recourse liability related to this transaction and has begun to amortize this amount to recognize non-cash royalty revenue. Revenue recognition is based on estimated net product sales by United Therapeutics that result in payments made from United Therapeutics to HC Royalty in connection with these agreements. The Company also recognized non-cash interest expense related to this liability that accrues at an effective interest rate, which is determined based on projections of HC Royalty’s rate of return.</w:t>
      </w:r>
    </w:p>
    <w:p>
      <w:pPr>
        <w:spacing w:after="0" w:line="16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recognized non-cash royalty revenue of $1.3 million for the three months ended March 31, 2018 as compared to $1.1 million for the three months ended March 31, 2017. The Company recognized non-cash interest expense of $0.7 million for the three months ended March 31, 2018 as compared to $1.0 million for the three months ended March 31,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420"/>
          </w:cols>
          <w:pgMar w:left="240" w:top="118" w:right="239" w:bottom="0" w:gutter="0" w:footer="0" w:header="0"/>
        </w:sectPr>
      </w:pPr>
    </w:p>
    <w:bookmarkStart w:id="16" w:name="page17"/>
    <w:bookmarkEnd w:id="16"/>
    <w:p>
      <w:pPr>
        <w:ind w:right="32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2017 and the related Management’s Discussion and Analysis of Financial Condition and Results of Operations, both of which are contained in our Annual Report on Form 10-K filed with the Securities and Exchange Commission on March 1, 2018.</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specialty pharmaceutical company focused on developing and commercializing products for the treatment of central nervous system (CNS)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Oxtellar XR and Trokendi XR are the first once-daily extended release oxcarbazepine and topiramate products, launched in 2013 for the treatment of epilepsy in the U.S. market. During 2017, we launched Trokendi XR for the additional indication of prophylaxis of migraine headache in adults and adolescents. These products differ from immediate release products by offering once-daily dosing and unique pharmacokinetic profiles which we believe can have positive clinical effects for many patients. We believe a once-daily dosing regimen improves adherence, making it more probable that patients maintain sufficient levels of medication in their bloodstream to protect against seizures and migraines. In addition, we believe that the unique smooth and steady pharmacokinetic profiles of our once-daily formulations reduce the peak to trough blood level fluctuations that are typically associated with immediate release products and which may result in increased adverse events (AEs), more side effects and decreased efficacy.</w:t>
      </w:r>
    </w:p>
    <w:p>
      <w:pPr>
        <w:spacing w:after="0" w:line="16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addition, we are developing multiple product candidates in psychiatry to address significant unmet medical needs and market opportunities. We are developing SPN-810 (molindone hydrochloride) initially to treat impulsive aggression (IA) in children and adolescents who have attention deficit hyperactivity disorder (ADHD). We plan to subsequently develop SPN-810 for the treatment of IA in other CNS diseases, such as autism, post traumatic stress disorder (PTSD), bipolar disorder, schizophrenia, and some forms of dementia. There are currently no approved products in the U.S. indicated for the treatment of IA. We are developing SPN-812 (viloxazine hydrochloride) as a novel, non-stimulant candidate to treat patients who have ADHD.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Product</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Indication</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Oxtellar XR</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Epilepsy</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In the market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Trokendi XR</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Epilepsy</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the market</w:t>
            </w:r>
          </w:p>
        </w:tc>
      </w:tr>
      <w:tr>
        <w:trPr>
          <w:trHeight w:val="216"/>
        </w:trPr>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Migraine*</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In the market</w:t>
            </w:r>
          </w:p>
        </w:tc>
      </w:tr>
      <w:tr>
        <w:trPr>
          <w:trHeight w:val="216"/>
        </w:trPr>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SPN-810</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rPr>
              <w:t>IA**</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Phase III</w:t>
            </w:r>
          </w:p>
        </w:tc>
      </w:tr>
      <w:tr>
        <w:trPr>
          <w:trHeight w:val="216"/>
        </w:trPr>
        <w:tc>
          <w:tcPr>
            <w:tcW w:w="37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SPN-812</w:t>
            </w: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ADHD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Phase III</w:t>
            </w:r>
          </w:p>
        </w:tc>
      </w:tr>
      <w:tr>
        <w:trPr>
          <w:trHeight w:val="230"/>
        </w:trPr>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SPN-809</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Depression</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Phase II ready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225" w:lineRule="exact"/>
        <w:rPr>
          <w:sz w:val="20"/>
          <w:szCs w:val="20"/>
          <w:color w:val="auto"/>
        </w:rPr>
      </w:pPr>
    </w:p>
    <w:p>
      <w:pPr>
        <w:ind w:left="660" w:right="400" w:hanging="652"/>
        <w:spacing w:after="0" w:line="277" w:lineRule="auto"/>
        <w:tabs>
          <w:tab w:leader="none" w:pos="6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program is for IA in patients with ADHD, with plans to add other indications, such as IA in patients with autism, PTSD, bipolar disorder, schizophrenia, and some forms of dementia.</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are continuing to expand our intellectual property portfolio to provide additional protection for our technologies, products, and product candidates. We currently have eight U.S. patents issued covering Oxtellar XR and nine U.S. patents issued covering Trokendi XR, with the patents expiring no earlier than 2027 for each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Trokendi XR, the first once-daily extended release topiramate product indicated for patients with epilepsy in the U.S. market, is designed to improve patient adherence over the current immediate release products, which must be taken multiple times per day. In 2017, we launched Trokendi XR for prophylaxis of migraine headache in adults and adolescents.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Oxtellar XR</w:t>
      </w:r>
    </w:p>
    <w:p>
      <w:pPr>
        <w:sectPr>
          <w:pgSz w:w="11900" w:h="16838" w:orient="portrait"/>
          <w:cols w:equalWidth="0" w:num="1">
            <w:col w:w="11420"/>
          </w:cols>
          <w:pgMar w:left="240" w:top="125" w:right="239" w:bottom="0" w:gutter="0" w:footer="0" w:header="0"/>
          <w:type w:val="continuous"/>
        </w:sectPr>
      </w:pPr>
    </w:p>
    <w:bookmarkStart w:id="17" w:name="page18"/>
    <w:bookmarkEnd w:id="17"/>
    <w:p>
      <w:pPr>
        <w:spacing w:after="0" w:line="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Oxtellar XR is the only once-daily extended release oxcarbazepine product indicated for the treatment of patients with epilepsy in the U.S. as adjunctive therapy.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expect the number of prescriptions filled for Oxtellar XR and Trokendi XR to continue to increase through 2018 and in subsequent years. Data from IQVIA (formerly Intercontinental Marketing Services (IMS)) shows that 200,878 total prescriptions were filled for both of these drugs during the three months ended March 31, 2018, which is 49% higher than the 134,644 prescriptions reported for the same prior year period.</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Total prescriptions for Trokendi XR increased by 62,616 or 62% in first quarter of 2018 over the first quarter of 2017. Total prescriptions for Oxtellar XR increased by 3,618 or 11% in first quarter of 2018 over the first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in litigation versus TWi Pharmaceuticals, Inc. alleging infringement of some our Orange Book listed Oxtellar XR patents. In August 2017, we prevailed against TWi in the U.S. District Court for the District of New Jersey. TWi has appealed the decision to the U.S. Court of Appeals for the Federal Circuit. (See Part II, Item 1—Legal Proceedings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We are developing SPN-810 as a novel treatment for IA in children and adolescents who have ADHD. SPN-810 has been granted fast-track designation by the U.S. Food and Drug Administration (FDA). One of our Phase III clinical trials (P301) is being conducted under a Special Protocol Assessment (SPA) with the FDA, using a novel measurement scale developed by us. We initiated two Phase III clinical trials in 2015 (P301 and P302) in children, using the same trial design and the same novel measurement scale except that under the SPA, an interim analysis was conducted in the first trial when one-half of the patients (146 patients) reached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randomization. The purpose of the interim analysis was to assess the efficacy of the doses being tested and to allow for optimization of the trial design of both trials.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interim analysis was completed and both trials will continue through completion. The results of the interim analysis led to our discontinuing the 18 mg dose arm. Moving forward, all patients in each of the two trials are randomized to either the 36 mg dose arm or placebo until the predetermined total number of patients are enrolled in each of the two trials. We expect patient enrollment to continue through mid-2018, with data from the trials anticipated by the first quarter of 2019.</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Phase III trial for SPN-810 treating IA in adolescents who have ADHD is anticipated to start mid-2018. Patients completing the Phase III trials can continue treatment under our open label extension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SPN-812 is being developed as a novel non-stimulant treatment for ADHD. During 2016, we completed a Phase IIb dose ranging trial and announced positive topline results. Subsequent to the end of Phase II meeting with the FDA in June 2017, we initiated four Phase III clinical trials for SPN-812 in September of 2017. The program consists of four three-arm, placebo-controlled trials: two children trials and two adolescent trials. We expect patient enrollment to continue through mid-2018 and to have data from this Phase III program available by the first quarter of 2019. Patients completing the Phase III trials can continue treatment under our open label extension trial.</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2018 through FDA approval or until the program terminates.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significant accounting policies and bases of presentation for our consolidated financial statements are described in Note 2 “Summary of Significant Accounting Policies.” The preparation of our consolidated financial statements in accordance with U.S. generally accepted accounting principles (GAAP) requires us to make estimates and assumptions that affect the reported amounts of assets, liabilities, revenues, and expenses and to disclose contingent assets and liabilities. Actual results could differ from those estimates.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Revenue from product sales is recognized when control of our products is transferred to the customer, who are wholesalers and pharmaceutical distributors. Product sales are recorded net of various forms of variable consideration, including estimated rebates, chargebacks, allowances, discounts, patient co-pay assistance and other deductions as well as estimated product returns (collectively, “sales deductions”)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derive our estimated sales deductions from an analysis of historical levels of deductions specific to each product, as well as contractual terms with our customers. In addition, we also consider the impact of actual or anticipated changes in product price, sales trends and changes in managed care coverage and co-pay assistance programs. We adjust our estimates at the earlier of when the most likely amount of consideration we expect to receive changes or when the consideration becomes fixed. For a complete description of Trokendi XR and Oxtellar XR gross revenues and gross to net adjustments, see Part I, Item 1, Financial Statements, Note 2, Revenue from Product Sales.</w:t>
      </w:r>
    </w:p>
    <w:p>
      <w:pPr>
        <w:sectPr>
          <w:pgSz w:w="11900" w:h="16843" w:orient="portrait"/>
          <w:cols w:equalWidth="0" w:num="1">
            <w:col w:w="11420"/>
          </w:cols>
          <w:pgMar w:left="240" w:top="34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provision for income tax is calculated based on our assumptions as to our entitlement to various benefits under the applicable tax laws in the jurisdictions in which we operate. The entitlement to such benefits depends upon our compliance with the terms and conditions set out in those laws.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utilize the asset and liability method of accounting for income taxes. Deferred tax assets and liabilities are determined based on the difference between the financial statement carrying amounts and the tax basis of assets and liabilities using enacted tax rates in effect for the year in which the temporary differences are expected to reverse. Valuation allowances are provided if, based upon the weight of available evidence, it is more likely than not that some or all of the deferred tax assets will not be realized. In the determination of the appropriate valuation allowances, we have considered the most recent projections of future business results and prudent tax planning strategies that may allow us to realize the deferred tax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Accounting for uncertainty in income taxes requires that tax benefits recognized in the financial statements must be at least more likely than not of being sustained based on technical merits. The amount of benefits recorded for these positions is measured as the largest benefit more likely than not to be sustained. We evaluate these uncertain tax positions and adjust the related tax asset and liabilities in light of changing facts and circumstances. Significant judgment is required in making these determinations and assessments. To the extent future expectation changes, we would assess the recoverability of our deferred tax assets at that time and record adjustments to the income tax expense in that period.</w:t>
      </w:r>
    </w:p>
    <w:p>
      <w:pPr>
        <w:spacing w:after="0" w:line="17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December 22, 2017, the Tax Cuts and Jobs Act (Tax Act) was enacted in to law. The Tax Act, among other provisions, decreased the U.S. statutory corporate tax rate for years beginning after December 31, 2017 from 35% to 21% effective January 1, 2018. We have estimated the impact of the Tax Act by incorporating assumptions based upon our current interpretation and analysis of the law to date. The Company does not anticipate material adjustments to the provision amounts; however, final amounts could vary from these provisional amounts. The Act requires significant judgments in interpreting the provisions, analysis of information not previously relevant, and estimates and calculations not previously required. The U.S. Treasury Department, the Internal Revenue Service (IRS), and other standard-setting bodies could interpret or issue guidance on how provisions of the Tax Act will be applied or otherwise administered that may be different from our interpretation. As we complete our analysis of the Tax Act, collect and prepare necessary data, and interpret any additional guidance, we may make adjustments to provisional amounts that we have recorded that may impact our provision for income taxes in the period in which the adjustments are made.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Research and development expenditures are expensed as incurred. Research and development costs primarily consist of employee-related expenses, including salaries and benefits; share-based compensation expense; expenses incurred under agreements with clinical research organizations (CROs), fees paid to investigators who are participating in our clinical trials, consultants and other vendors that conduct the Company’s clinical trials; the cost of acquiring and manufacturing clinical trial materials; the cost of manufacturing materials used in process validation, to the extent that those materials are manufactured prior to receiving regulatory approval for those products and are not expected to be sold commercially; facilities costs that do not have an alternative future use; related depreciation and other allocated expenses; license fees for and milestone payments related to in-licensed products and technologies; and costs associated with animal testing activities and regulatory approvals.</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Clinical trials are inherently complex and often involve multiple service providers. Because billing for services often lags by a substantial amount of time, we often are required to estimate and accrue a significant portion of our clinical expenses. This process involves reviewing open contracts and communicating with our subject matter expert personnel and the appropriate service provider personnel to identify services that have been performed on our behalf but for which no invoice has been received. We accrue for the estimated but unbilled services performed and the associated cost incurred.</w:t>
      </w:r>
    </w:p>
    <w:p>
      <w:pPr>
        <w:spacing w:after="0" w:line="15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performance driven milestones. When accruing clinical expenses, we estimate the time period over which services will be performed during the life of the entire clinical program, the total cost of the program, and the level of effort to be expended in each intervening period. To the maximum extent possible, we work with each service provider to obtain an estimate for incurred but unbilled services as of the end of the calendar quarter, including estimates for payments to site investigators.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If the service provider underestimates or overestimates the cost associated with a trial or service at any given point in time, adjustments to research and development expenses may be necessary in future periods. Historically, our estimated accrued clinical expenses have closely approximated actual expense incurred.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March 31, 2017</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5060" w:type="dxa"/>
            <w:vAlign w:val="bottom"/>
          </w:tcPr>
          <w:p>
            <w:pPr>
              <w:spacing w:after="0"/>
              <w:rPr>
                <w:sz w:val="12"/>
                <w:szCs w:val="12"/>
                <w:color w:val="auto"/>
              </w:rPr>
            </w:pPr>
          </w:p>
        </w:tc>
        <w:tc>
          <w:tcPr>
            <w:tcW w:w="840" w:type="dxa"/>
            <w:vAlign w:val="bottom"/>
          </w:tcPr>
          <w:p>
            <w:pPr>
              <w:ind w:left="540"/>
              <w:spacing w:after="0" w:line="142" w:lineRule="exact"/>
              <w:rPr>
                <w:sz w:val="20"/>
                <w:szCs w:val="20"/>
                <w:color w:val="auto"/>
              </w:rPr>
            </w:pPr>
            <w:r>
              <w:rPr>
                <w:rFonts w:ascii="Arial" w:cs="Arial" w:eastAsia="Arial" w:hAnsi="Arial"/>
                <w:sz w:val="14"/>
                <w:szCs w:val="14"/>
                <w:b w:val="1"/>
                <w:bCs w:val="1"/>
                <w:color w:val="auto"/>
                <w:w w:val="89"/>
              </w:rPr>
              <w:t>2018</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(unaudited, in thousands)</w:t>
            </w: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840" w:type="dxa"/>
            <w:vAlign w:val="bottom"/>
          </w:tcPr>
          <w:p>
            <w:pPr>
              <w:jc w:val="right"/>
              <w:ind w:right="66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89,120</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56,369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32,751</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Licensing revenue</w:t>
            </w:r>
          </w:p>
        </w:tc>
        <w:tc>
          <w:tcPr>
            <w:tcW w:w="8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90,429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57,576</w:t>
            </w:r>
          </w:p>
        </w:tc>
        <w:tc>
          <w:tcPr>
            <w:tcW w:w="3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r>
    </w:tbl>
    <w:p>
      <w:pPr>
        <w:sectPr>
          <w:pgSz w:w="11900" w:h="16838" w:orient="portrait"/>
          <w:cols w:equalWidth="0" w:num="1">
            <w:col w:w="11420"/>
          </w:cols>
          <w:pgMar w:left="240" w:top="341" w:right="239" w:bottom="0" w:gutter="0" w:footer="0" w:header="0"/>
        </w:sectPr>
      </w:pPr>
    </w:p>
    <w:bookmarkStart w:id="19" w:name="page20"/>
    <w:bookmarkEnd w:id="19"/>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18,908</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9,601</w:t>
            </w:r>
          </w:p>
        </w:tc>
        <w:tc>
          <w:tcPr>
            <w:tcW w:w="6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9,307</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36,849</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28,238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8,611</w:t>
            </w: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59,035</w:t>
            </w:r>
          </w:p>
        </w:tc>
        <w:tc>
          <w:tcPr>
            <w:tcW w:w="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40,788</w:t>
            </w:r>
          </w:p>
        </w:tc>
        <w:tc>
          <w:tcPr>
            <w:tcW w:w="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31,394</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1,206</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531</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4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(90)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627</w:t>
            </w:r>
          </w:p>
        </w:tc>
      </w:tr>
      <w:tr>
        <w:trPr>
          <w:trHeight w:val="202"/>
        </w:trPr>
        <w:tc>
          <w:tcPr>
            <w:tcW w:w="5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Interest expense-nonrecourse liability related to sale of future</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4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4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expenses</w:t>
            </w: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16,223</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4,830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5,926</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Product Sales. </w:t>
      </w:r>
      <w:r>
        <w:rPr>
          <w:rFonts w:ascii="Arial" w:cs="Arial" w:eastAsia="Arial" w:hAnsi="Arial"/>
          <w:sz w:val="18"/>
          <w:szCs w:val="18"/>
          <w:color w:val="auto"/>
        </w:rPr>
        <w:t>The increase in net product sales from 2017 to 2018 is primarily driven by increased prescription volume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launch of the migraine indication for Trokendi XR in April 2017. Price increases in 2017 and 2018 also contributed to the increase in net product sales. Net product sales are based on gross revenue from shipments to wholesalers and distributors, less estimates for discounts, rebates, allowances, other sales deductions and returns.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lists our net product sales by product, in thousands.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4"/>
                <w:szCs w:val="14"/>
                <w:b w:val="1"/>
                <w:bCs w:val="1"/>
                <w:color w:val="auto"/>
                <w:w w:val="90"/>
              </w:rPr>
              <w:t>Net Product Sales</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Change in Net Product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Q1 2018</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w w:val="89"/>
              </w:rPr>
              <w:t>Q1 2017</w:t>
            </w:r>
          </w:p>
        </w:tc>
        <w:tc>
          <w:tcPr>
            <w:tcW w:w="260" w:type="dxa"/>
            <w:vAlign w:val="bottom"/>
          </w:tcPr>
          <w:p>
            <w:pPr>
              <w:spacing w:after="0"/>
              <w:rPr>
                <w:sz w:val="12"/>
                <w:szCs w:val="12"/>
                <w:color w:val="auto"/>
              </w:rPr>
            </w:pPr>
          </w:p>
        </w:tc>
        <w:tc>
          <w:tcPr>
            <w:tcW w:w="208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rPr>
              <w:t>Sales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4"/>
          </w:tcPr>
          <w:p>
            <w:pPr>
              <w:jc w:val="center"/>
              <w:ind w:left="579"/>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Trokendi XR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70,555</w:t>
            </w:r>
          </w:p>
        </w:tc>
        <w:tc>
          <w:tcPr>
            <w:tcW w:w="5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42,009</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Oxtellar XR</w:t>
            </w:r>
          </w:p>
        </w:tc>
        <w:tc>
          <w:tcPr>
            <w:tcW w:w="240" w:type="dxa"/>
            <w:vAlign w:val="bottom"/>
          </w:tcPr>
          <w:p>
            <w:pPr>
              <w:spacing w:after="0"/>
              <w:rPr>
                <w:sz w:val="18"/>
                <w:szCs w:val="18"/>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18,565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14,360</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89,120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Royalty Revenue. </w:t>
      </w:r>
      <w:r>
        <w:rPr>
          <w:rFonts w:ascii="Arial" w:cs="Arial" w:eastAsia="Arial" w:hAnsi="Arial"/>
          <w:sz w:val="16"/>
          <w:szCs w:val="16"/>
          <w:color w:val="auto"/>
        </w:rPr>
        <w:t>Non-cash royalty revenue for the three months ended March 31, 2018 and 2017 was $1.3 million and $1.1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Royalty revenue includes non-cash royalty from the Healthcare Royalty Partners III, L.P. (HC Royalty) agreement and royalty from collaboration partners.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primarily due to increased non-cash royalty revenue as a result of increased sales of Orenitram.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Licensing Revenue. </w:t>
      </w:r>
      <w:r>
        <w:rPr>
          <w:rFonts w:ascii="Arial" w:cs="Arial" w:eastAsia="Arial" w:hAnsi="Arial"/>
          <w:sz w:val="18"/>
          <w:szCs w:val="18"/>
          <w:color w:val="auto"/>
        </w:rPr>
        <w:t>There was no milestone revenue earned during the three months ended March 31, 2018. Total licensing revenue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was $58,000. The decrease from prior year is primarily due to the adoption of the new revenue recognition standard (ASC 606), which resulted in accelerated amortization of previously deferred up-front license revenue. The impact of the adoption was recorded as adjustment in the opening balance of the retained earnings.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Cost of Product Sales. </w:t>
      </w:r>
      <w:r>
        <w:rPr>
          <w:rFonts w:ascii="Arial" w:cs="Arial" w:eastAsia="Arial" w:hAnsi="Arial"/>
          <w:sz w:val="18"/>
          <w:szCs w:val="18"/>
          <w:color w:val="auto"/>
        </w:rPr>
        <w:t>Cost of product sales during the three months ended March 31, 2018 was $3.3 million, an increase of $0.4 million, or 12%,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$2.9 million for the three months ended March 31, 2017. The quarter over quarter increase is attributable primarily to increased net product unit volume, offset by manufacturing efficiencies.</w:t>
      </w:r>
    </w:p>
    <w:p>
      <w:pPr>
        <w:spacing w:after="0" w:line="18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(R&amp;D) expenses during the three months ended March 31, 2018 were $18.9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$9.6 million for the three months ended March 31, 2017, an increase of $9.3 million or 97%. This increase is primarily due to the initiation of the four Phase III clinical trials for SPN-812, ongoing patient recruitment for the Phase III trials for SPN-810, and their related open label extension trials.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shows the comparison of selling and marketing and general and administrative expenses for the three months ended March 31, 2018 and 2017:</w:t>
      </w:r>
    </w:p>
    <w:p>
      <w:pPr>
        <w:spacing w:after="0" w:line="36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2"/>
              </w:rPr>
              <w:t>Selling, General and Administrative Expense</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center"/>
              <w:ind w:right="346"/>
              <w:spacing w:after="0"/>
              <w:rPr>
                <w:sz w:val="20"/>
                <w:szCs w:val="20"/>
                <w:color w:val="auto"/>
              </w:rPr>
            </w:pPr>
            <w:r>
              <w:rPr>
                <w:rFonts w:ascii="Arial" w:cs="Arial" w:eastAsia="Arial" w:hAnsi="Arial"/>
                <w:sz w:val="14"/>
                <w:szCs w:val="14"/>
                <w:b w:val="1"/>
                <w:bCs w:val="1"/>
                <w:color w:val="auto"/>
                <w:w w:val="95"/>
              </w:rPr>
              <w:t>Three Months Ended March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126"/>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gridSpan w:val="3"/>
          </w:tcPr>
          <w:p>
            <w:pPr>
              <w:jc w:val="center"/>
              <w:ind w:right="346"/>
              <w:spacing w:after="0"/>
              <w:rPr>
                <w:sz w:val="20"/>
                <w:szCs w:val="20"/>
                <w:color w:val="auto"/>
              </w:rPr>
            </w:pPr>
            <w:r>
              <w:rPr>
                <w:rFonts w:ascii="Arial" w:cs="Arial" w:eastAsia="Arial" w:hAnsi="Arial"/>
                <w:sz w:val="14"/>
                <w:szCs w:val="14"/>
                <w:b w:val="1"/>
                <w:bCs w:val="1"/>
                <w:color w:val="auto"/>
                <w:w w:val="92"/>
              </w:rPr>
              <w:t>(unaudited, in thousands)</w:t>
            </w:r>
          </w:p>
        </w:tc>
        <w:tc>
          <w:tcPr>
            <w:tcW w:w="5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26,676</w:t>
            </w:r>
          </w:p>
        </w:tc>
        <w:tc>
          <w:tcPr>
            <w:tcW w:w="1200" w:type="dxa"/>
            <w:vAlign w:val="bottom"/>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21,648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10,173</w:t>
            </w:r>
          </w:p>
        </w:tc>
        <w:tc>
          <w:tcPr>
            <w:tcW w:w="1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6,590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4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b w:val="1"/>
          <w:bCs w:val="1"/>
          <w:i w:val="1"/>
          <w:iCs w:val="1"/>
          <w:color w:val="auto"/>
        </w:rPr>
        <w:t xml:space="preserve">Selling and Marketing. </w:t>
      </w:r>
      <w:r>
        <w:rPr>
          <w:rFonts w:ascii="Arial" w:cs="Arial" w:eastAsia="Arial" w:hAnsi="Arial"/>
          <w:sz w:val="17"/>
          <w:szCs w:val="17"/>
          <w:color w:val="auto"/>
        </w:rPr>
        <w:t>The increase in selling and marketing expenses of approximately $5.0 million for the three months ended March 31,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compared to 2017, is primarily the result of an increase in salesforce headcount and headcount related expenses, coupled with development, production, and execution of promotional and marketing programs to support the launch of the migraine indication for Trokendi XR in April 2017. Of this total, approximately $3.1 million is due to increased compensation, benefits and other employee-related expenses associated with increased headcount in our field sales force. In addition, approximately $1.0 million is due to increased expenses for marketing programs, speaker programs, and consulting services to support our commercial products, particularly the launch of the migraine indication for Trokendi XR in 2017.</w:t>
      </w:r>
    </w:p>
    <w:p>
      <w:pPr>
        <w:spacing w:after="0" w:line="17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(G&amp;A) increased by $3.6 million for the three months ended March 31, 2018,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2017. Of this total, approximately $1.3 million is due to increased compensation, benefits and other employee-related expenses associated with increased administrative headcount and approximately $0.9 million is due to an increase in patent amortization expense.</w:t>
      </w:r>
    </w:p>
    <w:p>
      <w:pPr>
        <w:sectPr>
          <w:pgSz w:w="11900" w:h="16880" w:orient="portrait"/>
          <w:cols w:equalWidth="0" w:num="1">
            <w:col w:w="11400"/>
          </w:cols>
          <w:pgMar w:left="240" w:top="125" w:right="259" w:bottom="0" w:gutter="0" w:footer="0" w:header="0"/>
        </w:sectPr>
      </w:pPr>
    </w:p>
    <w:bookmarkStart w:id="20" w:name="page21"/>
    <w:bookmarkEnd w:id="20"/>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For the three months ended March 31, 2018 and 2017, we recognized $1.2 million and $0.5 million, respectively, of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on our cash, cash equivalents and marketable securities. The increase is primarily attributable to an increase in cash, cash equivalents and marketable securities holdings quarter over quarter.</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$0.7 million for the three months ended March 31, 2018 as compared to $90,000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The increase of $0.6 million was primarily due to the interest on the 0.625% Convertible Senior Notes due 2023 (2023 Notes) entered into in 2018.</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Expense—Non-recourse Liability Related to Sale of Future Royalties. </w:t>
      </w:r>
      <w:r>
        <w:rPr>
          <w:rFonts w:ascii="Arial" w:cs="Arial" w:eastAsia="Arial" w:hAnsi="Arial"/>
          <w:sz w:val="18"/>
          <w:szCs w:val="18"/>
          <w:color w:val="auto"/>
        </w:rPr>
        <w:t>Non-cash interest expense related to our non-recourse royalty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was $0.7 million for the three months ended March 31, 2018 as compared to $1.0 million for the three months ended March 31, 2017. The decrease of $0.3 million for this non-cash expense was primarily due to reduction in the principal amount of the liability related to the sale of future royalties on Orenitram.</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Changes in Fair Value of Derivative Liability. </w:t>
      </w:r>
      <w:r>
        <w:rPr>
          <w:rFonts w:ascii="Arial" w:cs="Arial" w:eastAsia="Arial" w:hAnsi="Arial"/>
          <w:sz w:val="18"/>
          <w:szCs w:val="18"/>
          <w:color w:val="auto"/>
        </w:rPr>
        <w:t>The “make-whole fundamental change” provision (as defined in the Indenture governing the 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Senior Secured Notes due 2019 expired in May 2017. For the three months ended March 31, 2017, we recognized a non-cash gain of $54,000 related to a change in the estimated fair value of the interest make-whole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derivative liability of the 2019 Notes. For the three months ended March 31, 2018, there was no derivative liability recorded in connection with the 2023 Notes.</w:t>
      </w:r>
    </w:p>
    <w:p>
      <w:pPr>
        <w:spacing w:after="0" w:line="17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There were no 2023 Notes converted in the three month ended March 31, 2018.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2017, we recognized a non-cash loss on extinguishment of debt of $0.1 million related to the conversion of $1.0 million aggregate principal amount of the 2019 Notes.</w:t>
      </w:r>
    </w:p>
    <w:p>
      <w:pPr>
        <w:spacing w:after="0" w:line="18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For the three months ended March 31, 2018, we recorded $4.8 million of income tax expense. The decrease of $1.1 million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March 31, 2017 is primarily due to the reduction of the U.S Corporation income tax rate from, 35% to 21%, as a result of the Tax Cuts and Jobs Act passed on December 22, 2017 and the tax benefit from the exercise of employee stock options.</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Earnings. </w:t>
      </w:r>
      <w:r>
        <w:rPr>
          <w:rFonts w:ascii="Arial" w:cs="Arial" w:eastAsia="Arial" w:hAnsi="Arial"/>
          <w:sz w:val="18"/>
          <w:szCs w:val="18"/>
          <w:color w:val="auto"/>
        </w:rPr>
        <w:t>Net earnings for the three months ended March 31, 2018 were $26.4 million, compared to net earnings of $10.3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2017, an increase of $16.1 million. This increase was primarily due to the revenue generated from our two commercial products, Trokendi XR and Oxtellar XR, offset by an increase in R&amp;D and SG&amp;A spending.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believe our increasing levels of net product sales will be sufficient to finance our operations in 2018 and subsequent years, including the increased R&amp;D expenses for our clinical trials, increased expenses to support our commercial products, and the increased expenses in anticipation of launching our product candidates. We expect to incur significantly increased R&amp;D expenses for 2018 to support the development of SPN-810 and SPN-812, including their respective Phase III trials. We expect our selling, general and administrative expenses to continue to increase in the foreseeable future, as we continue to invest in the commercialization of Trokendi XR and Oxtellar XR, and in areas such as compliance, finance, management of our intellectual property portfolio, information technology systems, and personnel, in each case, commensurate with the growth of our business.</w:t>
      </w:r>
    </w:p>
    <w:p>
      <w:pPr>
        <w:spacing w:after="0" w:line="1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working capital at March 31, 2018 was $464.2 million, an increase of $358.7 million compared to our working capital of $105.5 million at December 31, 2017. This increase is primarily attributable to the net proceeds generated by the issuance of $402.5 million in convertible notes. In addition, our long term marketable securities at March 31, 2018 were $175.0 million, an increase of $41.4 million, as compared to $133.6 million at December 31, 2017.</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stockholders’ equity increased by $84.4 million during the three months ended March 31, 2018, primarily as a result of net earnings, option exercises, share-based compensation, issuance of the convertible notes and warrants, offset by purchase of convertible note hedges.</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March 14, 2018, we issued $402.5 million in aggregate principal amount of 0.625% Convertible Senior Notes due 2023 (2023 Notes) pursuant to an indenture, dated as of March 19, 2018 (the Indenture) between us and Wilmington Trust, National Association, as trustee. The Indenture includes customary terms and covenants, including certain events of default after which the 2023 Notes may be due and payable immediately. Interest on the notes, at an annual rate of 0.625%, is payable semi-annually in arrears on April 1 and October 1 of each year. As of March 31, 2018, outstanding aggregate principal amount of 2023 Notes was $402.5 million. We will settle conversions by paying or delivering, as applicable, cash, shares of our common stock or a combination of cash and shares of the Company’s common stock, at its election, based on applicable conversion rate. The initial conversion rate is 16.8545 shares per $1,000 principal amount of the 2023 Notes, which represents an initial conversion price of approximately $59.33 per share, and is subject to adjustments specified in the Indenture. We may not redeem the 2023 Notes at our option before maturity.</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also entered into separately negotiated convertible note hedge transactions (collectively, the Convertible Note Hedge Transactions). The Convertible Note Hedge Transactions cover, subject to customary anti-dilution adjustments substantially similar to those applicable to the 2023 Notes, the number of shares of our common stock underlying the 2023 Notes. Concurrently with entering into the Convertible Note Hedge Transactions on each such date, we also entered into separate privately negotiated warrant transactions (collectively, the Warrant Transactions) whereby we sold warrants to purchase, subject to customary anti-dilution adjustments, up to the same number of shares of our common stock. The Convertible Note Hedge Transactions and the Warrant Transactions are separate contracts entered into by the Company. The Convertible Note Hedge Transactions are expected to reduce generally the potential dilution with respect to the Company’s common stock upon conversion of the 2023 Notes and/or offset any potential cash payments we are required to make in excess of the principal amount of converted Notes, as the case may be, upon any conversion of the 2023 Notes. The Warrant Transactions are intended to partially offset the cost to the purchased Convertible Note Hedge Transactions; however, the Warrant Transactions could have a dilutive effect with respect to our common stock to the extent that the market price per share of our common stock, as measured under the terms of the Warrant Transactions, exceeds the strike price of the warrants.</w:t>
      </w:r>
    </w:p>
    <w:p>
      <w:pPr>
        <w:sectPr>
          <w:pgSz w:w="11900" w:h="16838" w:orient="portrait"/>
          <w:cols w:equalWidth="0" w:num="1">
            <w:col w:w="11420"/>
          </w:cols>
          <w:pgMar w:left="240" w:top="341" w:right="239" w:bottom="0" w:gutter="0" w:footer="0" w:header="0"/>
        </w:sectPr>
      </w:pPr>
    </w:p>
    <w:bookmarkStart w:id="21" w:name="page22"/>
    <w:bookmarkEnd w:id="21"/>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achieved positive cash flow and profitability from operations in the three months ended March 31, 2018 and 2017. While we expect continued profitability in 2018 as we continue to increase sales, we anticipate there may be significant variability from quarter to quarter in our level of profitability due to increasing spending to advance our clinical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27,133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(51,010)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(20,761)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367,713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367,109</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343,836</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350,635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changes in working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for the three months ended March 31, 2018 and March 31, 2017 are summarized below, in thousands: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(unaudited)</w:t>
            </w:r>
          </w:p>
        </w:tc>
        <w:tc>
          <w:tcPr>
            <w:tcW w:w="5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earnings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29,676</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16,667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used in working capital</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(2,543)</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(3,309)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27,133</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13,358</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increase in net cash provided by operating activities is primarily driven by increased revenue generated from product sales of Trokendi XR and Oxtellar XR. The increase in cash provided by changes in working capital is primarily driven by increased accrued sales deductions associated with our increased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436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Explanation of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receivable</w:t>
            </w:r>
          </w:p>
        </w:tc>
        <w:tc>
          <w:tcPr>
            <w:tcW w:w="98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Increased product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in inventory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(2,771)</w:t>
            </w: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(2,366)</w:t>
            </w:r>
          </w:p>
        </w:tc>
        <w:tc>
          <w:tcPr>
            <w:tcW w:w="4360" w:type="dxa"/>
            <w:vAlign w:val="bottom"/>
            <w:gridSpan w:val="2"/>
          </w:tcPr>
          <w:p>
            <w:pPr>
              <w:spacing w:after="0"/>
              <w:rPr>
                <w:sz w:val="20"/>
                <w:szCs w:val="20"/>
                <w:color w:val="auto"/>
              </w:rPr>
            </w:pPr>
            <w:r>
              <w:rPr>
                <w:rFonts w:ascii="Arial" w:cs="Arial" w:eastAsia="Arial" w:hAnsi="Arial"/>
                <w:sz w:val="18"/>
                <w:szCs w:val="18"/>
                <w:color w:val="auto"/>
              </w:rPr>
              <w:t>Increased product sales.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Increase in prepaid expenses, other current assets,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Progress of clinical trials and timing differences primarily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(1,619)</w:t>
            </w: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related to prepayment of insurance in first quarter of 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88"/>
              </w:rPr>
              <w:t>Increase (decrease) in accounts payable, accrued sales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w w:val="95"/>
              </w:rPr>
              <w:t>Timing of accruals, including compensation, clinical trials,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w w:val="96"/>
              </w:rPr>
              <w:t>deductions, accrued expenses, and income taxes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increased accrued sales deductions due to increased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payable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(1,823)</w:t>
            </w:r>
          </w:p>
        </w:tc>
        <w:tc>
          <w:tcPr>
            <w:tcW w:w="4360" w:type="dxa"/>
            <w:vAlign w:val="bottom"/>
            <w:gridSpan w:val="2"/>
          </w:tcPr>
          <w:p>
            <w:pPr>
              <w:spacing w:after="0"/>
              <w:rPr>
                <w:sz w:val="20"/>
                <w:szCs w:val="20"/>
                <w:color w:val="auto"/>
              </w:rPr>
            </w:pPr>
            <w:r>
              <w:rPr>
                <w:rFonts w:ascii="Arial" w:cs="Arial" w:eastAsia="Arial" w:hAnsi="Arial"/>
                <w:sz w:val="18"/>
                <w:szCs w:val="18"/>
                <w:color w:val="auto"/>
              </w:rPr>
              <w:t>product sales, and increased taxes payable.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(2,543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invest excess cash in accordance with our investment policy. Marketable securities consist of investments which mature in four years or less, including U.S. Treasury and various government agency debt securities, as well as investment grade securities in industrial and financial institutions. Fluctuations in investing activities between periods relate exclusively to the timing of marketable security purchases and the related maturities of these securities.</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Net cash used in investing activities for the three months ended March 31, 2018 of $51.0 million related to net purchase of marketable securities of $50.4 million, property and equipment purchases of $0.3 million and patent defense costs of $0.3 million. Net cash used in investing activities for the three</w:t>
      </w:r>
    </w:p>
    <w:p>
      <w:pPr>
        <w:sectPr>
          <w:pgSz w:w="11900" w:h="16854" w:orient="portrait"/>
          <w:cols w:equalWidth="0" w:num="1">
            <w:col w:w="11420"/>
          </w:cols>
          <w:pgMar w:left="240" w:top="125" w:right="239" w:bottom="0" w:gutter="0" w:footer="0" w:header="0"/>
        </w:sectPr>
      </w:pPr>
    </w:p>
    <w:bookmarkStart w:id="22" w:name="page23"/>
    <w:bookmarkEnd w:id="22"/>
    <w:p>
      <w:pPr>
        <w:jc w:val="both"/>
        <w:ind w:right="240"/>
        <w:spacing w:after="0" w:line="277" w:lineRule="auto"/>
        <w:rPr>
          <w:sz w:val="20"/>
          <w:szCs w:val="20"/>
          <w:color w:val="auto"/>
        </w:rPr>
      </w:pPr>
      <w:r>
        <w:rPr>
          <w:rFonts w:ascii="Arial" w:cs="Arial" w:eastAsia="Arial" w:hAnsi="Arial"/>
          <w:sz w:val="18"/>
          <w:szCs w:val="18"/>
          <w:color w:val="auto"/>
        </w:rPr>
        <w:t>months ended March 31, 2017 of $20.8 million related to net purchase of marketable securities of $17.1 million, property and equipment purchases of $0.3 million and patent defense costs of $3.4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Net cash provided by financing activities of $367.7 million and $0.6 million for the three months ended March 31, 2018 and 2017, respectively, is from proceeds from issuance of convertible notes and warrants, offset by payments made for the convertible note hedges, and from proceeds received from issuance of common stock due to stock option exercises and financing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commitments as of March 31, 2018 (except as noted below), in thousands,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Less than</w:t>
            </w: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1 - 3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3 - 5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Greater than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1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1 Year</w:t>
            </w:r>
          </w:p>
        </w:tc>
        <w:tc>
          <w:tcPr>
            <w:tcW w:w="22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5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3"/>
                <w:szCs w:val="23"/>
                <w:color w:val="auto"/>
                <w:vertAlign w:val="superscript"/>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18"/>
                <w:szCs w:val="18"/>
                <w:color w:val="auto"/>
              </w:rPr>
              <w:t xml:space="preserve">Interest on Convertible Notes </w:t>
            </w:r>
            <w:r>
              <w:rPr>
                <w:rFonts w:ascii="Arial" w:cs="Arial" w:eastAsia="Arial" w:hAnsi="Arial"/>
                <w:sz w:val="23"/>
                <w:szCs w:val="23"/>
                <w:color w:val="auto"/>
                <w:vertAlign w:val="superscript"/>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line="21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191,029</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22,115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to the 2023 Notes (see Note 8 in the Notes to the Consolidated Financial Statements in Part I.)</w:t>
      </w:r>
    </w:p>
    <w:p>
      <w:pPr>
        <w:spacing w:after="0" w:line="225" w:lineRule="exact"/>
        <w:rPr>
          <w:rFonts w:ascii="Arial" w:cs="Arial" w:eastAsia="Arial" w:hAnsi="Arial"/>
          <w:sz w:val="18"/>
          <w:szCs w:val="18"/>
          <w:color w:val="auto"/>
        </w:rPr>
      </w:pPr>
    </w:p>
    <w:p>
      <w:pPr>
        <w:ind w:left="660" w:right="340" w:hanging="652"/>
        <w:spacing w:after="0" w:line="264"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commitments for operating leases relate to our lease of office equipment, fleet vehicles and lease of current and new headquarters office and laboratory space as of March 31, 2018. We have the right to terminate the new headquarter lease if, by September 30, 2018, the landlord fails to obtain certain site approval pre-requisites per the lease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Relates primarily to agreements and purchase orders with contractors and vendors.</w:t>
      </w:r>
    </w:p>
    <w:p>
      <w:pPr>
        <w:spacing w:after="0" w:line="225" w:lineRule="exact"/>
        <w:rPr>
          <w:rFonts w:ascii="Arial" w:cs="Arial" w:eastAsia="Arial" w:hAnsi="Arial"/>
          <w:sz w:val="18"/>
          <w:szCs w:val="18"/>
          <w:color w:val="auto"/>
        </w:rPr>
      </w:pPr>
    </w:p>
    <w:p>
      <w:pPr>
        <w:ind w:left="660" w:right="20" w:hanging="652"/>
        <w:spacing w:after="0" w:line="259" w:lineRule="auto"/>
        <w:tabs>
          <w:tab w:leader="none" w:pos="6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table does not include (a) any milestone payments which may become payable to third parties under license agreements or contractual agreements regarding our clinical trials, as the timing and likelihood of such payments are not known, (b) any royalty payments to third parties as the amounts, timing and likelihood of such payments are not known and (c) contracts that are entered into in the ordinary course of business which are not material in the aggregate in any period presented above.</w:t>
      </w:r>
    </w:p>
    <w:p>
      <w:pPr>
        <w:spacing w:after="0" w:line="186" w:lineRule="exact"/>
        <w:rPr>
          <w:rFonts w:ascii="Arial" w:cs="Arial" w:eastAsia="Arial" w:hAnsi="Arial"/>
          <w:sz w:val="18"/>
          <w:szCs w:val="18"/>
          <w:color w:val="auto"/>
        </w:rPr>
      </w:pPr>
    </w:p>
    <w:p>
      <w:pPr>
        <w:ind w:left="660" w:right="60" w:hanging="652"/>
        <w:spacing w:after="0" w:line="286" w:lineRule="auto"/>
        <w:tabs>
          <w:tab w:leader="none" w:pos="6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of March 31, 2018, we had liabilities related to uncertain tax positions. Due to uncertainties in the timing of potential tax audits, the timing of the resolution of these positions is uncertain and we are unable to make a reasonably reliable estimate of the timing of payments in individual years beyond 12 months. As a result, liabilities related to uncertain tax positions are not included in the above table.</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above table, we are contractually obligated to pay to HC Royalty all royalty payments earned under a licensing agreement with United Therapeutics Corporation. Although we have recorded a liability of $25.8 million at March 31, 2018 related to this obligation, it is a non-recourse liability for which we have no obligation to make any cash payments to HC Royalty. Accordingly, this obligation will have no impact on our liquidity at any time. Therefore the non-recourse liability has not been included in the table above.</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have obtained exclusive licenses from third parties for proprietary rights to support the product candidates in our psychiatry portfolio. We have two license agreements with Afecta Pharmaceuticals, Inc. (Afecta) pursuant to which we obtained exclusive worldwide rights to selected product candidates, including an exclusive license to SPN-810. We may pay up to $300,000 upon the achievement of certain milestones. If a product candidate is successfully developed and commercialized, we will be obligated to pay royalties to Afecta at a low single digit percentage of worldwide net product sales.</w:t>
      </w:r>
    </w:p>
    <w:p>
      <w:pPr>
        <w:spacing w:after="0" w:line="154"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at a low single digit percentage of worldwide net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Consolidated Financial Statements in Part I, Item 1 of this Quarterly Report on Form 10-Q.</w:t>
      </w:r>
    </w:p>
    <w:p>
      <w:pPr>
        <w:sectPr>
          <w:pgSz w:w="11900" w:h="16838" w:orient="portrait"/>
          <w:cols w:equalWidth="0" w:num="1">
            <w:col w:w="11420"/>
          </w:cols>
          <w:pgMar w:left="240" w:top="125"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or liquidity risk. Our exposure to market risk is confined to our cash, cash equivalents, marketable securities and long term marketable securities. As of March 31, 2018, we had unrestricted cash, cash equivalents, marketable securities and long term marketable securities of $664.8 million. We do not engage in any hedging activities against changes in interest rates. Because of the short-term maturities of our cash, cash equivalents, marketable securities and long term marketable securities and because we generally hold these securities to maturity, we do not believe that an increase in market rates would have any significant impact on the realizable value of our investments. We do not have any currency or other derivative financial instruments other than the outstanding warrants to purchase common stock and the convertible note hedges.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may contract with CROs and investigational sites globally. Currently, we do not have ongoing trials outside the United States. We do not hedge our foreign currency exchange rate risk. Transactions denominated in currencies other than the U.S. dollar are recorded based on exchange rates at the time such transaction arises. As of December 31, 2017, substantially all of our total liabilities were denominated in the U.S. dollar. Inflation generally affects us by increasing our cost of labor and clinical trial costs. We do not believe that inflation and changing prices over the three months ended March 31, 2018 and March 31, 2017 had a significant impact on our consolidated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March 31, 2018, the end of the period covered by this report. Based on that evaluation, under the supervision and with the participation of our management, including our CEO and CFO, we concluded that our disclosure controls and procedures were effective as of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Our management, including our CEO and CFO, has evaluated any changes in our internal control over financial reporting that occurred during the three months ended March 31, 2018, and has concluded that there was no change that occurred during the three months ended March 31, 2018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From time to time and in the ordinary course of business, we are subject to various claims, charges and litigation. We may be required to file infringement claims against third parties for the infringement of our patents. We have filed such claims previously for infringement of the Orange Book patents listed for our products Oxtellar XR and Trokendi XR. Currently, we are in litigation versus TWi Pharmaceuticals, Inc. as summarized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15-369 (RMB)(JS) (D.N.J.)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Appeal No. 2017-2513 (Fed. Cir.)</w:t>
      </w:r>
    </w:p>
    <w:p>
      <w:pPr>
        <w:spacing w:after="0" w:line="21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received a Paragraph IV Notice Letter against United States Patent Nos. 7,722,898, 7,910,131, 8,617,600, and 8,821,930 from generic drug maker TWi Pharmaceuticals, Inc. on December 9, 2014. On January 16, 2015, we filed a lawsuit against TWi Pharmaceuticals, Inc. and TWi International LLC (d/b/a TWi Pharmaceuticals USA) (collectively TWi) alleging infringement of United States Patent Nos. 7,722,898, 7,910,131, 8,617,600, and 8,821,930. The Complaint—filed in the U.S. District Court for the District of New Jersey—alleged, inter alia, that TWi infringed our Oxtellar XR patents by submitting to the FDA an ANDA seeking to market a generic version of Oxtellar XR prior to the expiration of our patents. On February 13, 2015, TWi answered the Complaint and denied the substantive allegations of the Complaint. TWi also asserted Counterclaims seeking declaratory judgments of non-infringement and invalidity of United States Patent Nos. 7,722,898 and 7,910,131. On March 20, 2015, we filed our Reply, denying the substantive allegations of those Counterclaims. A four-day bench trial was held between April 3 and April 6, 2017. On August 15, 2017, the Court issued an opinion and order finding that:</w:t>
      </w:r>
    </w:p>
    <w:p>
      <w:pPr>
        <w:spacing w:after="0" w:line="1" w:lineRule="exact"/>
        <w:rPr>
          <w:sz w:val="20"/>
          <w:szCs w:val="20"/>
          <w:color w:val="auto"/>
        </w:rPr>
      </w:pPr>
    </w:p>
    <w:p>
      <w:pPr>
        <w:ind w:firstLine="8"/>
        <w:spacing w:after="0" w:line="252" w:lineRule="auto"/>
        <w:tabs>
          <w:tab w:leader="none" w:pos="2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TWi’s ANDA products infringe United States Patent Nos. 7,722,898, 7,910,131, and 8,821,930; and (ii) United States Patent Nos. 7,722,898, 7,910,131, and 8,821,930 are not invalid. The Court entered a final judgment on August 28, 2017: (i) enjoining the FDA from approving TWi’s ANDA before the expiration date of United States Patent Nos. 7,722,898, 7,910,131, and 8,821,930; and (ii) enjoining TWi from commercially manufacturing, using, offering to sell, or selling within the United States, or importing into the United States, TWi’s ANDA products until the expiration of United States Patent Nos. 7,722,898, 7,910,131, and 8,821,930. On August 31, 2017, TWi filed a Notice of Appeal to the United States Court of Appeals for the Federal Circuit. TWi’s appeal is pending.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Supernus Pharmaceuticals, Inc. v. TWi Pharmaceuticals, Inc., et al., C.A. No. 17-2164 (RMB)(JS) (D.N.J.)</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received a second Paragraph IV Notice Letter against United States Patent Nos. 7,722,898, 7,910,131, 8,617,600, 8,821,930, 9,119,791, 9,351,975,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9,370,525 from generic drug maker TWi Pharmaceuticals, Inc. on February 16, 2017. On March 31, 2017, we filed a lawsuit against TWi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and TWi International LLC alleging infringement of United States Patent Nos. 7,722,898, 7,910,131, 8,617,600, 8,821,930, 9,119,791,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9,351,975, and 9,370,525. TWi filed a motion to dismiss Supernus’s March 31, 2017 Complaint on May 10, 2017. On May 19, 2017, the Court</w:t>
      </w:r>
    </w:p>
    <w:p>
      <w:pPr>
        <w:sectPr>
          <w:pgSz w:w="11900" w:h="16838" w:orient="portrait"/>
          <w:cols w:equalWidth="0" w:num="1">
            <w:col w:w="11420"/>
          </w:cols>
          <w:pgMar w:left="240" w:top="337" w:right="239" w:bottom="0" w:gutter="0" w:footer="0" w:header="0"/>
        </w:sectPr>
      </w:pPr>
    </w:p>
    <w:bookmarkStart w:id="24" w:name="page25"/>
    <w:bookmarkEnd w:id="24"/>
    <w:p>
      <w:pPr>
        <w:ind w:right="140"/>
        <w:spacing w:after="0" w:line="308" w:lineRule="auto"/>
        <w:rPr>
          <w:sz w:val="20"/>
          <w:szCs w:val="20"/>
          <w:color w:val="auto"/>
        </w:rPr>
      </w:pPr>
      <w:r>
        <w:rPr>
          <w:rFonts w:ascii="Arial" w:cs="Arial" w:eastAsia="Arial" w:hAnsi="Arial"/>
          <w:sz w:val="17"/>
          <w:szCs w:val="17"/>
          <w:color w:val="auto"/>
        </w:rPr>
        <w:t>“administratively terminate[d] this matter pending this Court’s decision in the First TWi Action [concerning United States Patent Nos. 7,722,898, 7,910,131, 8,617,600, and 8,821,930].” As of the date of this filing, Civil Action No. 17-2164 (RMB)(JS) (D.N.J.) remains administratively terminated.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Investing in our common stock involves a high degree of risk. Before making an investment decision, you should carefully consider the risks described below with all of the other information we include in this Quarterly Report on Form 10-Q, including our condensed consolidated financial statement and related notes, and the additional information in the other reports we file with the Securities and Exchange Commission. These risks may result in material harm to our business and our financial condition and results of operations. In this event, the market price of our common stock may decline and you could lose part or all of your investment.</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risks described below reflect substantive changes from, or additions to, the risks described in our Annual Report on Form 10-K for the year ended December 31, 2017.</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incurred $402.5 million of additional indebtedness as a result of the sale of 0.625% Convertible Senior Notes due 2023 (the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1"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of the Notes;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including the notes, and our cash needs may increase in the future.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the Notes.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In addition, as of March 31, 2018, 4,647,271 shares of our common stock were reserved for future issuance upon the exercise of outstanding options, 2,657,980 shares were reserved for future issuance under our 2012 Equity Incentive Plan and 225,794 shares were reserved for future issuance under our 2012 Employee Stock Purchase Plan. The indenture for the Notes will not restrict our ability to issue additional equity securities in the future.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the notes may significantly decrease. In addition, our issuance of additional shares of common stock will dilute the ownership interests of our existing common stockholders, including noteholders who have received shares of our common stock upon conversion of their notes.</w:t>
      </w:r>
    </w:p>
    <w:p>
      <w:pPr>
        <w:spacing w:after="0" w:line="19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2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Noteholders may require us to repurchase their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25"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Certain provisions in the Notes and the indenture could make a third party attempt to acquire us more difficult or expensive. For example, if a takeover constitutes a fundamental change, then noteholders will have the right to require us to repurchase their Notes for cash. In addition, if a takeover constitutes a fundamental change, then we may be required to temporarily increase the conversion rate of the Notes. In either case, and in other cases, our obligations under the Notes and the indenture could increase the cost of acquiring us or otherwise discourage a third party from acquiring us or removing incumbent management, including in a transaction that noteholders or holders of our common shares may view as favorable.</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accounting method for the Notes could adversely affect our reported financial condition and results.</w:t>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line="13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The accounting method for reflecting the Notes on our balance sheet, accruing interest expense for the Notes and reflecting the underlying shares of our common stock in our reported diluted earnings per share may adversely affect our reported earnings and financial condition.</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that, under applicable accounting principles, the initial liability carrying amount of the Notes will be the fair value of a similar debt instrument that does not have a conversion feature, valued using our cost of capital for straight, unconvertible debt. We expect to reflect the difference between the net proceeds from this offering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net income. The lower reported income resulting from this accounting treatment could depress the trading price of our common stock and the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To apply the treasury stock method, we will need to consider on a quarterly basis our ability and intent to settle conversions by paying the conversion value in cash up to the principal amount being converted. Under the treasury method, if the conversion value of the Notes exceeds their principal amount for a reporting period, then we will calculate our diluted earnings per share assuming that all the Notes were converted and that we issued shares of our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If accounting standards change in the future or we determine that we are no longer able or intend to settle the conversion value in cash up to the principal amount being converted, and we, therefore, are not permitted to use the treasury stock method, then our diluted earnings per share may decline.</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transactions and the warrant transactions may affect the value of the notes and our common stock.</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pricing of the Notes, we entered into privately negotiated convertible note hedge transactions with the hedge counterparties. The convertible note hedge transactions cover, subject to customary anti-dilution adjustments, the number of shares of common stock that will initially underlie the Notes sold. We also entered into separate, privately negotiated warrant transactions with the hedge counterparties relating to the same number of shares of our common stock, subject to customary anti-dilution adjustments.</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 shares of our common stock concurrently. In addition, we expect that the hedge counterparties and/or their affiliates will modify their hedge positions with respect to the convertible note hedge transactions and the warrant transactions from time to time, and are likely to do so during any observation period (as defined in the indenture) for the Notes, by purchasing and/or selling shares of our common stock and/or other securities of ours, including the Notes in privately negotiated transactions and/or open-market transactions or by entering into and/or unwinding various over-the-counter derivative transactions with respect to our common stock.</w:t>
      </w:r>
    </w:p>
    <w:p>
      <w:pPr>
        <w:spacing w:after="0" w:line="17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effect, if any, of these activities on the market price of our common stock and the trading price of the Notes will depend on a variety of factors, including market conditions, and cannot be ascertained at this time. Any of these activities could, however, adversely affect the market price of our common stock and/or the trading price of the Notes and, consequently, adversely affect your ability to convert the notes and/or the value of the consideration that you receive upon conversion of the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hedge counterparties are financial institutions, and we will be subject to the risk that they might default under the convertible note hedge transactions. Our exposure to the credit risk of the hedge counterparties will not be secured by any collateral. Global economic conditions have from time to time resulted in the actual or perceived failure or financial difficulties of many financial institutions, including the bankruptcy filing by Lehman Brothers Holdings Inc. and its various affiliates.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any hedge counterparty.</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Conversion of the Notes or exercise of the warrants evidenced by the warrant transactions may dilute the ownership interest of existing stockholders, including noteholders who have previously converted their notes.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our election, we may settle Notes tendered for conversion entirely or partly in shares of our common stock. Furthermore, the warrants evidenced by the warrant transactions are expected to be settled on a net-share basis. As a result, the conversion of some or all of the Notes or the exercise of some or all of such warrants may dilute the ownership interests of existing stockholders.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sales in the public market of the common stock issuable upon such conversion of the Notes or such exercise of the warrants could adversely affect prevailing market prices of our common stock. In addition, the existence of the Notes may encourage short selling by market participants because the conversion of the</w:t>
      </w:r>
    </w:p>
    <w:p>
      <w:pPr>
        <w:sectPr>
          <w:pgSz w:w="11900" w:h="16975" w:orient="portrait"/>
          <w:cols w:equalWidth="0" w:num="1">
            <w:col w:w="11420"/>
          </w:cols>
          <w:pgMar w:left="240" w:top="341"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could depress the price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During the three months ended March 31, 2018, the Company granted options to employees to purchase an aggregate of 699,452 shares of common stock at an exercise price of $39.40 per share. Once vested, the options are exercisable for a period of ten years from the grant date. These issuances were exempt from registration in reliance on Section 4(a)(2) of the Securities Act as transactions not involving any public offering.</w:t>
      </w:r>
    </w:p>
    <w:p>
      <w:pPr>
        <w:spacing w:after="0" w:line="16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On March 19, 2018, the Company issued $402.5 million aggregate principal amount of 0.625% Convertible Senior Notes due 2023 (the “Notes”) to qualified institutional buyers. The Company issued the Notes under an Indenture, dated March 19, 2018, between the Company and Wilmington Trust, National Association, as trustee. The issuance of the Notes was exempt from registration in reliance on Rule 144 promulgated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r>
      <w:tr>
        <w:trPr>
          <w:trHeight w:val="230"/>
        </w:trPr>
        <w:tc>
          <w:tcPr>
            <w:tcW w:w="92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 Act of</w:t>
            </w:r>
          </w:p>
        </w:tc>
      </w:tr>
      <w:tr>
        <w:trPr>
          <w:trHeight w:val="230"/>
        </w:trPr>
        <w:tc>
          <w:tcPr>
            <w:tcW w:w="92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Taxonomy Extension Label/Linkbase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38</w:t>
            </w:r>
          </w:p>
        </w:tc>
      </w:tr>
      <w:tr>
        <w:trPr>
          <w:trHeight w:val="132"/>
        </w:trPr>
        <w:tc>
          <w:tcPr>
            <w:tcW w:w="920" w:type="dxa"/>
            <w:vAlign w:val="bottom"/>
            <w:tcBorders>
              <w:bottom w:val="single" w:sz="8" w:color="808080"/>
            </w:tcBorders>
          </w:tcPr>
          <w:p>
            <w:pPr>
              <w:spacing w:after="0"/>
              <w:rPr>
                <w:sz w:val="11"/>
                <w:szCs w:val="11"/>
                <w:color w:val="auto"/>
              </w:rPr>
            </w:pPr>
          </w:p>
        </w:tc>
        <w:tc>
          <w:tcPr>
            <w:tcW w:w="10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SUPERNUS PHARMACEUTICALS,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May 10, 2018</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Jack A. Khattar</w:t>
            </w:r>
          </w:p>
        </w:tc>
      </w:tr>
      <w:tr>
        <w:trPr>
          <w:trHeight w:val="182"/>
        </w:trPr>
        <w:tc>
          <w:tcPr>
            <w:tcW w:w="3760" w:type="dxa"/>
            <w:vAlign w:val="bottom"/>
          </w:tcPr>
          <w:p>
            <w:pPr>
              <w:spacing w:after="0"/>
              <w:rPr>
                <w:sz w:val="15"/>
                <w:szCs w:val="15"/>
                <w:color w:val="auto"/>
              </w:rPr>
            </w:pPr>
          </w:p>
        </w:tc>
        <w:tc>
          <w:tcPr>
            <w:tcW w:w="2440" w:type="dxa"/>
            <w:vAlign w:val="bottom"/>
          </w:tcPr>
          <w:p>
            <w:pPr>
              <w:ind w:left="2060"/>
              <w:spacing w:after="0" w:line="182" w:lineRule="exact"/>
              <w:rPr>
                <w:sz w:val="20"/>
                <w:szCs w:val="20"/>
                <w:color w:val="auto"/>
              </w:rPr>
            </w:pPr>
            <w:r>
              <w:rPr>
                <w:rFonts w:ascii="Arial" w:cs="Arial" w:eastAsia="Arial" w:hAnsi="Arial"/>
                <w:sz w:val="18"/>
                <w:szCs w:val="18"/>
                <w:color w:val="auto"/>
                <w:w w:val="97"/>
              </w:rPr>
              <w:t>Jack</w:t>
            </w:r>
          </w:p>
        </w:tc>
        <w:tc>
          <w:tcPr>
            <w:tcW w:w="52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 Khattar</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President, Secretary and Chief Executive Officer</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DATED: May 10, 2018</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Gregory S. Patrick</w:t>
            </w:r>
          </w:p>
        </w:tc>
      </w:tr>
      <w:tr>
        <w:trPr>
          <w:trHeight w:val="20"/>
        </w:trPr>
        <w:tc>
          <w:tcPr>
            <w:tcW w:w="3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r>
      <w:tr>
        <w:trPr>
          <w:trHeight w:val="182"/>
        </w:trPr>
        <w:tc>
          <w:tcPr>
            <w:tcW w:w="3760" w:type="dxa"/>
            <w:vAlign w:val="bottom"/>
          </w:tcPr>
          <w:p>
            <w:pPr>
              <w:spacing w:after="0"/>
              <w:rPr>
                <w:sz w:val="15"/>
                <w:szCs w:val="15"/>
                <w:color w:val="auto"/>
              </w:rPr>
            </w:pPr>
          </w:p>
        </w:tc>
        <w:tc>
          <w:tcPr>
            <w:tcW w:w="7660" w:type="dxa"/>
            <w:vAlign w:val="bottom"/>
            <w:gridSpan w:val="2"/>
          </w:tcPr>
          <w:p>
            <w:pPr>
              <w:ind w:left="2060"/>
              <w:spacing w:after="0" w:line="182" w:lineRule="exact"/>
              <w:rPr>
                <w:sz w:val="20"/>
                <w:szCs w:val="20"/>
                <w:color w:val="auto"/>
              </w:rPr>
            </w:pPr>
            <w:r>
              <w:rPr>
                <w:rFonts w:ascii="Arial" w:cs="Arial" w:eastAsia="Arial" w:hAnsi="Arial"/>
                <w:sz w:val="18"/>
                <w:szCs w:val="18"/>
                <w:color w:val="auto"/>
              </w:rPr>
              <w:t>Gregory S. Patrick</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ectPr>
          <w:pgSz w:w="11900" w:h="16838" w:orient="portrait"/>
          <w:cols w:equalWidth="0" w:num="1">
            <w:col w:w="11460"/>
          </w:cols>
          <w:pgMar w:left="240" w:top="125" w:right="199" w:bottom="123"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23"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gridSpan w:val="7"/>
          </w:tcPr>
          <w:p>
            <w:pPr>
              <w:ind w:left="31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400" w:type="dxa"/>
            <w:vAlign w:val="bottom"/>
            <w:gridSpan w:val="6"/>
          </w:tcPr>
          <w:p>
            <w:pPr>
              <w:ind w:left="9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4900" w:type="dxa"/>
            <w:vAlign w:val="bottom"/>
            <w:tcBorders>
              <w:top w:val="single" w:sz="8" w:color="auto"/>
              <w:bottom w:val="single" w:sz="8" w:color="0000EE"/>
            </w:tcBorders>
            <w:gridSpan w:val="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Chief Executive Officer pursuant to Rule 13a-14(a).</w:t>
              </w:r>
            </w:hyperlink>
          </w:p>
        </w:tc>
        <w:tc>
          <w:tcPr>
            <w:tcW w:w="5260" w:type="dxa"/>
            <w:vAlign w:val="bottom"/>
            <w:tcBorders>
              <w:top w:val="single" w:sz="8" w:color="auto"/>
            </w:tcBorders>
            <w:gridSpan w:val="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1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Certification of Chief Financial Officer pursuant to Rule 13a-14(a).</w:t>
              </w:r>
            </w:hyperlink>
          </w:p>
        </w:tc>
        <w:tc>
          <w:tcPr>
            <w:tcW w:w="4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160" w:type="dxa"/>
            <w:vAlign w:val="bottom"/>
            <w:gridSpan w:val="8"/>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Executive Officer pursuant to 18 U.S.C. Section 1350, as adopted pursuant to Section 906 of the Sarbanes-Oxley Act</w:t>
              </w:r>
            </w:hyperlink>
          </w:p>
        </w:tc>
        <w:tc>
          <w:tcPr>
            <w:tcW w:w="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of 2002.</w:t>
              </w:r>
            </w:hyperlink>
          </w:p>
        </w:tc>
        <w:tc>
          <w:tcPr>
            <w:tcW w:w="942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of Chief Financial Officer pursuant to 18 U.S.C. Section 1350, as adopted pursuant to Section 906 of the Sarbanes-Oxley Act</w:t>
              </w:r>
            </w:hyperlink>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of 2002.</w:t>
              </w:r>
            </w:hyperlink>
          </w:p>
        </w:tc>
        <w:tc>
          <w:tcPr>
            <w:tcW w:w="956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2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Label/Linkbase Document.</w:t>
            </w:r>
          </w:p>
        </w:tc>
        <w:tc>
          <w:tcPr>
            <w:tcW w:w="4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gridSpan w:val="3"/>
          </w:tcPr>
          <w:p>
            <w:pPr>
              <w:ind w:left="43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A. Khattar, certify that:</w:t>
      </w:r>
    </w:p>
    <w:p>
      <w:pPr>
        <w:spacing w:after="0" w:line="225"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60" w:firstLine="656"/>
        <w:spacing w:after="0" w:line="264" w:lineRule="auto"/>
        <w:tabs>
          <w:tab w:leader="none" w:pos="135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00" w:firstLine="8"/>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43"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5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S. Patrick, certify that:</w:t>
      </w:r>
    </w:p>
    <w:p>
      <w:pPr>
        <w:spacing w:after="0" w:line="225"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Supernus Pharmaceuticals,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60" w:firstLine="656"/>
        <w:spacing w:after="0" w:line="264" w:lineRule="auto"/>
        <w:tabs>
          <w:tab w:leader="none" w:pos="13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00" w:firstLine="8"/>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343"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Supernus Pharmaceuticals, Inc. (the “Company”) on Form 10-Q for the period ended March 31, 2018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81"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Supernus Pharmaceuticals, Inc. (the “Company”) on Form 10-Q for the period ended March 31, 2018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66"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1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2019-12-28T22:19:27Z</dcterms:created>
  <dcterms:modified xsi:type="dcterms:W3CDTF">2019-12-28T22:19:27Z</dcterms:modified>
</cp:coreProperties>
</file>