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86">
        <w:r>
          <w:rPr>
            <w:rFonts w:ascii="Times New Roman" w:cs="Times New Roman" w:eastAsia="Times New Roman" w:hAnsi="Times New Roman"/>
            <w:sz w:val="22"/>
            <w:szCs w:val="22"/>
            <w:u w:val="single" w:color="auto"/>
            <w:color w:val="0000EE"/>
          </w:rPr>
          <w:t>ITEM 8. FINANCIAL STATEMENTS AND SUPPLEMENTARY DATA.</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4"/>
          <w:szCs w:val="24"/>
          <w:color w:val="auto"/>
        </w:rPr>
      </w:pPr>
    </w:p>
    <w:p>
      <w:pPr>
        <w:spacing w:after="0" w:line="272" w:lineRule="exact"/>
        <w:rPr>
          <w:sz w:val="24"/>
          <w:szCs w:val="24"/>
          <w:color w:val="auto"/>
        </w:rPr>
      </w:pPr>
    </w:p>
    <w:p>
      <w:pPr>
        <w:ind w:left="960" w:right="760" w:hanging="655"/>
        <w:spacing w:after="0" w:line="262" w:lineRule="auto"/>
        <w:tabs>
          <w:tab w:leader="none" w:pos="9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2018</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001-35518</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6" w:lineRule="exact"/>
        <w:rPr>
          <w:sz w:val="24"/>
          <w:szCs w:val="24"/>
          <w:color w:val="auto"/>
        </w:rPr>
      </w:pPr>
    </w:p>
    <w:p>
      <w:pPr>
        <w:ind w:left="960" w:hanging="614"/>
        <w:spacing w:after="0" w:line="262" w:lineRule="auto"/>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TRANSMISSION REPORT PURSUANT TO SECTION 13 OR 15(d) OF THE SECURITIES EXCHANGE ACT OF 1934</w:t>
      </w:r>
    </w:p>
    <w:p>
      <w:pPr>
        <w:spacing w:after="0" w:line="192" w:lineRule="exact"/>
        <w:rPr>
          <w:sz w:val="24"/>
          <w:szCs w:val="24"/>
          <w:color w:val="auto"/>
        </w:rPr>
      </w:pPr>
    </w:p>
    <w:p>
      <w:pPr>
        <w:ind w:left="3180"/>
        <w:spacing w:after="0"/>
        <w:tabs>
          <w:tab w:leader="none" w:pos="68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260" w:type="dxa"/>
            <w:vAlign w:val="bottom"/>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20-2590184</w:t>
            </w:r>
          </w:p>
        </w:tc>
      </w:tr>
      <w:tr>
        <w:trPr>
          <w:trHeight w:val="149"/>
        </w:trPr>
        <w:tc>
          <w:tcPr>
            <w:tcW w:w="4840" w:type="dxa"/>
            <w:vAlign w:val="bottom"/>
            <w:gridSpan w:val="2"/>
          </w:tcPr>
          <w:p>
            <w:pPr>
              <w:jc w:val="center"/>
              <w:ind w:left="1692"/>
              <w:spacing w:after="0" w:line="149" w:lineRule="exact"/>
              <w:rPr>
                <w:sz w:val="20"/>
                <w:szCs w:val="20"/>
                <w:color w:val="auto"/>
              </w:rPr>
            </w:pPr>
            <w:r>
              <w:rPr>
                <w:rFonts w:ascii="Times New Roman" w:cs="Times New Roman" w:eastAsia="Times New Roman" w:hAnsi="Times New Roman"/>
                <w:sz w:val="14"/>
                <w:szCs w:val="14"/>
                <w:color w:val="auto"/>
                <w:w w:val="95"/>
              </w:rPr>
              <w:t>(State or other jurisdiction of</w:t>
            </w: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tcPr>
          <w:p>
            <w:pPr>
              <w:jc w:val="center"/>
              <w:ind w:left="292"/>
              <w:spacing w:after="0" w:line="149"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4"/>
        </w:trPr>
        <w:tc>
          <w:tcPr>
            <w:tcW w:w="4840" w:type="dxa"/>
            <w:vAlign w:val="bottom"/>
            <w:gridSpan w:val="2"/>
          </w:tcPr>
          <w:p>
            <w:pPr>
              <w:jc w:val="center"/>
              <w:ind w:left="1672"/>
              <w:spacing w:after="0"/>
              <w:rPr>
                <w:sz w:val="20"/>
                <w:szCs w:val="20"/>
                <w:color w:val="auto"/>
              </w:rPr>
            </w:pPr>
            <w:r>
              <w:rPr>
                <w:rFonts w:ascii="Times New Roman" w:cs="Times New Roman" w:eastAsia="Times New Roman" w:hAnsi="Times New Roman"/>
                <w:sz w:val="14"/>
                <w:szCs w:val="14"/>
                <w:color w:val="auto"/>
                <w:w w:val="95"/>
              </w:rPr>
              <w:t>incorporation or organization)</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jc w:val="center"/>
              <w:ind w:left="292"/>
              <w:spacing w:after="0"/>
              <w:rPr>
                <w:sz w:val="20"/>
                <w:szCs w:val="20"/>
                <w:color w:val="auto"/>
              </w:rPr>
            </w:pPr>
            <w:r>
              <w:rPr>
                <w:rFonts w:ascii="Times New Roman" w:cs="Times New Roman" w:eastAsia="Times New Roman" w:hAnsi="Times New Roman"/>
                <w:sz w:val="14"/>
                <w:szCs w:val="14"/>
                <w:color w:val="auto"/>
                <w:w w:val="95"/>
              </w:rPr>
              <w:t>Identification Number)</w:t>
            </w:r>
          </w:p>
        </w:tc>
      </w:tr>
      <w:tr>
        <w:trPr>
          <w:trHeight w:val="366"/>
        </w:trPr>
        <w:tc>
          <w:tcPr>
            <w:tcW w:w="4840" w:type="dxa"/>
            <w:vAlign w:val="bottom"/>
            <w:gridSpan w:val="2"/>
          </w:tcPr>
          <w:p>
            <w:pPr>
              <w:jc w:val="center"/>
              <w:ind w:left="1692"/>
              <w:spacing w:after="0"/>
              <w:rPr>
                <w:sz w:val="20"/>
                <w:szCs w:val="20"/>
                <w:color w:val="auto"/>
              </w:rPr>
            </w:pPr>
            <w:r>
              <w:rPr>
                <w:rFonts w:ascii="Times New Roman" w:cs="Times New Roman" w:eastAsia="Times New Roman" w:hAnsi="Times New Roman"/>
                <w:sz w:val="14"/>
                <w:szCs w:val="14"/>
                <w:b w:val="1"/>
                <w:bCs w:val="1"/>
                <w:color w:val="auto"/>
                <w:w w:val="96"/>
              </w:rPr>
              <w:t>1550 East Gude Drive, Rockville, MD</w:t>
            </w:r>
          </w:p>
        </w:tc>
        <w:tc>
          <w:tcPr>
            <w:tcW w:w="1400" w:type="dxa"/>
            <w:vAlign w:val="bottom"/>
            <w:gridSpan w:val="2"/>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5"/>
              </w:rPr>
              <w:t>(301) 838-2500</w:t>
            </w:r>
          </w:p>
        </w:tc>
        <w:tc>
          <w:tcPr>
            <w:tcW w:w="820" w:type="dxa"/>
            <w:vAlign w:val="bottom"/>
          </w:tcPr>
          <w:p>
            <w:pPr>
              <w:spacing w:after="0"/>
              <w:rPr>
                <w:sz w:val="24"/>
                <w:szCs w:val="24"/>
                <w:color w:val="auto"/>
              </w:rPr>
            </w:pPr>
          </w:p>
        </w:tc>
        <w:tc>
          <w:tcPr>
            <w:tcW w:w="18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20850</w:t>
            </w:r>
          </w:p>
        </w:tc>
      </w:tr>
      <w:tr>
        <w:trPr>
          <w:trHeight w:val="149"/>
        </w:trPr>
        <w:tc>
          <w:tcPr>
            <w:tcW w:w="2580" w:type="dxa"/>
            <w:vAlign w:val="bottom"/>
          </w:tcPr>
          <w:p>
            <w:pPr>
              <w:spacing w:after="0"/>
              <w:rPr>
                <w:sz w:val="12"/>
                <w:szCs w:val="12"/>
                <w:color w:val="auto"/>
              </w:rPr>
            </w:pPr>
          </w:p>
        </w:tc>
        <w:tc>
          <w:tcPr>
            <w:tcW w:w="2260" w:type="dxa"/>
            <w:vAlign w:val="bottom"/>
          </w:tcPr>
          <w:p>
            <w:pPr>
              <w:jc w:val="center"/>
              <w:ind w:right="752"/>
              <w:spacing w:after="0" w:line="149" w:lineRule="exact"/>
              <w:rPr>
                <w:sz w:val="20"/>
                <w:szCs w:val="20"/>
                <w:color w:val="auto"/>
              </w:rPr>
            </w:pPr>
            <w:r>
              <w:rPr>
                <w:rFonts w:ascii="Times New Roman" w:cs="Times New Roman" w:eastAsia="Times New Roman" w:hAnsi="Times New Roman"/>
                <w:sz w:val="14"/>
                <w:szCs w:val="14"/>
                <w:color w:val="auto"/>
                <w:w w:val="96"/>
              </w:rPr>
              <w:t>(Address of Principal</w:t>
            </w:r>
          </w:p>
        </w:tc>
        <w:tc>
          <w:tcPr>
            <w:tcW w:w="2220" w:type="dxa"/>
            <w:vAlign w:val="bottom"/>
            <w:gridSpan w:val="3"/>
          </w:tcPr>
          <w:p>
            <w:pPr>
              <w:jc w:val="center"/>
              <w:ind w:right="392"/>
              <w:spacing w:after="0" w:line="149" w:lineRule="exact"/>
              <w:rPr>
                <w:sz w:val="20"/>
                <w:szCs w:val="20"/>
                <w:color w:val="auto"/>
              </w:rPr>
            </w:pPr>
            <w:r>
              <w:rPr>
                <w:rFonts w:ascii="Times New Roman" w:cs="Times New Roman" w:eastAsia="Times New Roman" w:hAnsi="Times New Roman"/>
                <w:sz w:val="14"/>
                <w:szCs w:val="14"/>
                <w:color w:val="auto"/>
                <w:w w:val="96"/>
              </w:rPr>
              <w:t>(Registrant's telephone number,</w:t>
            </w:r>
          </w:p>
        </w:tc>
        <w:tc>
          <w:tcPr>
            <w:tcW w:w="1800" w:type="dxa"/>
            <w:vAlign w:val="bottom"/>
          </w:tcPr>
          <w:p>
            <w:pPr>
              <w:jc w:val="center"/>
              <w:ind w:left="292"/>
              <w:spacing w:after="0" w:line="149" w:lineRule="exact"/>
              <w:rPr>
                <w:sz w:val="20"/>
                <w:szCs w:val="20"/>
                <w:color w:val="auto"/>
              </w:rPr>
            </w:pPr>
            <w:r>
              <w:rPr>
                <w:rFonts w:ascii="Times New Roman" w:cs="Times New Roman" w:eastAsia="Times New Roman" w:hAnsi="Times New Roman"/>
                <w:sz w:val="14"/>
                <w:szCs w:val="14"/>
                <w:color w:val="auto"/>
                <w:w w:val="99"/>
              </w:rPr>
              <w:t>(zip code)</w:t>
            </w:r>
          </w:p>
        </w:tc>
      </w:tr>
      <w:tr>
        <w:trPr>
          <w:trHeight w:val="174"/>
        </w:trPr>
        <w:tc>
          <w:tcPr>
            <w:tcW w:w="2580" w:type="dxa"/>
            <w:vAlign w:val="bottom"/>
          </w:tcPr>
          <w:p>
            <w:pPr>
              <w:spacing w:after="0"/>
              <w:rPr>
                <w:sz w:val="15"/>
                <w:szCs w:val="15"/>
                <w:color w:val="auto"/>
              </w:rPr>
            </w:pPr>
          </w:p>
        </w:tc>
        <w:tc>
          <w:tcPr>
            <w:tcW w:w="2260" w:type="dxa"/>
            <w:vAlign w:val="bottom"/>
          </w:tcPr>
          <w:p>
            <w:pPr>
              <w:jc w:val="center"/>
              <w:ind w:right="772"/>
              <w:spacing w:after="0"/>
              <w:rPr>
                <w:sz w:val="20"/>
                <w:szCs w:val="20"/>
                <w:color w:val="auto"/>
              </w:rPr>
            </w:pPr>
            <w:r>
              <w:rPr>
                <w:rFonts w:ascii="Times New Roman" w:cs="Times New Roman" w:eastAsia="Times New Roman" w:hAnsi="Times New Roman"/>
                <w:sz w:val="14"/>
                <w:szCs w:val="14"/>
                <w:color w:val="auto"/>
                <w:w w:val="96"/>
              </w:rPr>
              <w:t>Executive Offices)</w:t>
            </w:r>
          </w:p>
        </w:tc>
        <w:tc>
          <w:tcPr>
            <w:tcW w:w="2220" w:type="dxa"/>
            <w:vAlign w:val="bottom"/>
            <w:gridSpan w:val="3"/>
          </w:tcPr>
          <w:p>
            <w:pPr>
              <w:jc w:val="center"/>
              <w:ind w:right="392"/>
              <w:spacing w:after="0"/>
              <w:rPr>
                <w:sz w:val="20"/>
                <w:szCs w:val="20"/>
                <w:color w:val="auto"/>
              </w:rPr>
            </w:pPr>
            <w:r>
              <w:rPr>
                <w:rFonts w:ascii="Times New Roman" w:cs="Times New Roman" w:eastAsia="Times New Roman" w:hAnsi="Times New Roman"/>
                <w:sz w:val="14"/>
                <w:szCs w:val="14"/>
                <w:color w:val="auto"/>
                <w:w w:val="97"/>
              </w:rPr>
              <w:t>including area code)</w:t>
            </w:r>
          </w:p>
        </w:tc>
        <w:tc>
          <w:tcPr>
            <w:tcW w:w="1800" w:type="dxa"/>
            <w:vAlign w:val="bottom"/>
          </w:tcPr>
          <w:p>
            <w:pPr>
              <w:spacing w:after="0"/>
              <w:rPr>
                <w:sz w:val="15"/>
                <w:szCs w:val="15"/>
                <w:color w:val="auto"/>
              </w:rPr>
            </w:pPr>
          </w:p>
        </w:tc>
      </w:tr>
      <w:tr>
        <w:trPr>
          <w:trHeight w:val="365"/>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5"/>
        </w:trPr>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w:t>
            </w:r>
          </w:p>
        </w:tc>
      </w:tr>
      <w:tr>
        <w:trPr>
          <w:trHeight w:val="149"/>
        </w:trPr>
        <w:tc>
          <w:tcPr>
            <w:tcW w:w="25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tcPr>
          <w:p>
            <w:pPr>
              <w:jc w:val="center"/>
              <w:ind w:right="7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WHICH</w:t>
            </w:r>
          </w:p>
        </w:tc>
      </w:tr>
      <w:tr>
        <w:trPr>
          <w:trHeight w:val="165"/>
        </w:trPr>
        <w:tc>
          <w:tcPr>
            <w:tcW w:w="2580" w:type="dxa"/>
            <w:vAlign w:val="bottom"/>
          </w:tcPr>
          <w:p>
            <w:pPr>
              <w:spacing w:after="0"/>
              <w:rPr>
                <w:sz w:val="14"/>
                <w:szCs w:val="14"/>
                <w:color w:val="auto"/>
              </w:rPr>
            </w:pPr>
          </w:p>
        </w:tc>
        <w:tc>
          <w:tcPr>
            <w:tcW w:w="226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36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w w:val="95"/>
              </w:rPr>
              <w:t>REGISTERED:</w:t>
            </w:r>
          </w:p>
        </w:tc>
      </w:tr>
      <w:tr>
        <w:trPr>
          <w:trHeight w:val="168"/>
        </w:trPr>
        <w:tc>
          <w:tcPr>
            <w:tcW w:w="2580" w:type="dxa"/>
            <w:vAlign w:val="bottom"/>
          </w:tcPr>
          <w:p>
            <w:pPr>
              <w:spacing w:after="0"/>
              <w:rPr>
                <w:sz w:val="14"/>
                <w:szCs w:val="14"/>
                <w:color w:val="auto"/>
              </w:rPr>
            </w:pPr>
          </w:p>
        </w:tc>
        <w:tc>
          <w:tcPr>
            <w:tcW w:w="2260" w:type="dxa"/>
            <w:vAlign w:val="bottom"/>
          </w:tcPr>
          <w:p>
            <w:pPr>
              <w:jc w:val="center"/>
              <w:ind w:left="272"/>
              <w:spacing w:after="0"/>
              <w:rPr>
                <w:sz w:val="20"/>
                <w:szCs w:val="20"/>
                <w:color w:val="auto"/>
              </w:rPr>
            </w:pPr>
            <w:r>
              <w:rPr>
                <w:rFonts w:ascii="Times New Roman" w:cs="Times New Roman" w:eastAsia="Times New Roman" w:hAnsi="Times New Roman"/>
                <w:sz w:val="14"/>
                <w:szCs w:val="14"/>
                <w:color w:val="auto"/>
                <w:w w:val="95"/>
              </w:rPr>
              <w:t>Common Stock, $0.001 Par Value</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The NASDAQ Stock Market LLC</w:t>
            </w:r>
          </w:p>
        </w:tc>
      </w:tr>
      <w:tr>
        <w:trPr>
          <w:trHeight w:val="352"/>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 xml:space="preserve">SECURITIES REGISTERED PURSUANT TO SECTION 12(g) OF THE ACT: </w:t>
            </w:r>
            <w:r>
              <w:rPr>
                <w:rFonts w:ascii="Times New Roman" w:cs="Times New Roman" w:eastAsia="Times New Roman" w:hAnsi="Times New Roman"/>
                <w:sz w:val="14"/>
                <w:szCs w:val="14"/>
                <w:b w:val="1"/>
                <w:bCs w:val="1"/>
                <w:color w:val="auto"/>
                <w:w w:val="97"/>
              </w:rPr>
              <w:t>NONE</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9"/>
        </w:trPr>
        <w:tc>
          <w:tcPr>
            <w:tcW w:w="7060" w:type="dxa"/>
            <w:vAlign w:val="bottom"/>
            <w:gridSpan w:val="5"/>
          </w:tcPr>
          <w:p>
            <w:pPr>
              <w:ind w:left="280"/>
              <w:spacing w:after="0" w:line="161" w:lineRule="exact"/>
              <w:rPr>
                <w:sz w:val="20"/>
                <w:szCs w:val="20"/>
                <w:color w:val="auto"/>
              </w:rPr>
            </w:pPr>
            <w:r>
              <w:rPr>
                <w:rFonts w:ascii="Times New Roman" w:cs="Times New Roman" w:eastAsia="Times New Roman" w:hAnsi="Times New Roman"/>
                <w:sz w:val="14"/>
                <w:szCs w:val="14"/>
                <w:color w:val="auto"/>
                <w:w w:val="96"/>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6"/>
              </w:rPr>
              <w:t>☒</w:t>
            </w:r>
          </w:p>
        </w:tc>
        <w:tc>
          <w:tcPr>
            <w:tcW w:w="1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 o</w:t>
            </w:r>
          </w:p>
        </w:tc>
      </w:tr>
      <w:tr>
        <w:trPr>
          <w:trHeight w:val="365"/>
        </w:trPr>
        <w:tc>
          <w:tcPr>
            <w:tcW w:w="706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w w:val="95"/>
              </w:rPr>
              <w:t>Indicate by check mark if the registrant is not required to file reports pursuant to Section 13 or Section 15(d) of the Act. Yes o</w:t>
            </w:r>
          </w:p>
        </w:tc>
        <w:tc>
          <w:tcPr>
            <w:tcW w:w="180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76" w:lineRule="exact"/>
        <w:rPr>
          <w:sz w:val="24"/>
          <w:szCs w:val="24"/>
          <w:color w:val="auto"/>
        </w:rPr>
      </w:pPr>
    </w:p>
    <w:p>
      <w:pPr>
        <w:ind w:right="100" w:firstLine="27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76" w:lineRule="exact"/>
        <w:rPr>
          <w:sz w:val="24"/>
          <w:szCs w:val="24"/>
          <w:color w:val="auto"/>
        </w:rPr>
      </w:pPr>
    </w:p>
    <w:p>
      <w:pPr>
        <w:ind w:right="60" w:firstLine="27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76" w:lineRule="exact"/>
        <w:rPr>
          <w:sz w:val="24"/>
          <w:szCs w:val="24"/>
          <w:color w:val="auto"/>
        </w:rPr>
      </w:pPr>
    </w:p>
    <w:p>
      <w:pPr>
        <w:ind w:right="380" w:firstLine="270"/>
        <w:spacing w:after="0" w:line="241"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0" w:lineRule="exact"/>
        <w:rPr>
          <w:sz w:val="24"/>
          <w:szCs w:val="24"/>
          <w:color w:val="auto"/>
        </w:rPr>
      </w:pPr>
    </w:p>
    <w:p>
      <w:pPr>
        <w:ind w:right="240" w:firstLine="27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79" w:right="239" w:bottom="0" w:gutter="0" w:footer="0" w:header="0"/>
        </w:sectPr>
      </w:pPr>
    </w:p>
    <w:p>
      <w:pPr>
        <w:spacing w:after="0" w:line="167" w:lineRule="exact"/>
        <w:rPr>
          <w:sz w:val="24"/>
          <w:szCs w:val="24"/>
          <w:color w:val="auto"/>
        </w:rPr>
      </w:pPr>
    </w:p>
    <w:p>
      <w:pPr>
        <w:ind w:left="4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 o</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 o</w:t>
      </w:r>
    </w:p>
    <w:p>
      <w:pPr>
        <w:spacing w:after="0" w:line="200" w:lineRule="exact"/>
        <w:rPr>
          <w:sz w:val="24"/>
          <w:szCs w:val="24"/>
          <w:color w:val="auto"/>
        </w:rPr>
      </w:pPr>
    </w:p>
    <w:p>
      <w:pPr>
        <w:sectPr>
          <w:pgSz w:w="11900" w:h="16838" w:orient="portrait"/>
          <w:cols w:equalWidth="0" w:num="4">
            <w:col w:w="2780" w:space="720"/>
            <w:col w:w="2020" w:space="720"/>
            <w:col w:w="2400" w:space="720"/>
            <w:col w:w="2060"/>
          </w:cols>
          <w:pgMar w:left="240" w:top="679" w:right="239" w:bottom="0" w:gutter="0" w:footer="0" w:header="0"/>
          <w:type w:val="continuous"/>
        </w:sectPr>
      </w:pPr>
    </w:p>
    <w:p>
      <w:pPr>
        <w:spacing w:after="0" w:line="13" w:lineRule="exact"/>
        <w:rPr>
          <w:sz w:val="24"/>
          <w:szCs w:val="24"/>
          <w:color w:val="auto"/>
        </w:rPr>
      </w:pPr>
    </w:p>
    <w:p>
      <w:pPr>
        <w:ind w:right="80" w:firstLine="270"/>
        <w:spacing w:after="0" w:line="24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7" w:lineRule="exact"/>
        <w:rPr>
          <w:sz w:val="24"/>
          <w:szCs w:val="24"/>
          <w:color w:val="auto"/>
        </w:rPr>
      </w:pPr>
    </w:p>
    <w:p>
      <w:pPr>
        <w:ind w:left="280"/>
        <w:spacing w:after="0" w:line="161" w:lineRule="exact"/>
        <w:tabs>
          <w:tab w:leader="none" w:pos="6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27" w:lineRule="exact"/>
        <w:rPr>
          <w:sz w:val="24"/>
          <w:szCs w:val="24"/>
          <w:color w:val="auto"/>
        </w:rPr>
      </w:pPr>
    </w:p>
    <w:p>
      <w:pPr>
        <w:ind w:right="600" w:firstLine="263"/>
        <w:spacing w:after="0" w:line="241" w:lineRule="auto"/>
        <w:rPr>
          <w:sz w:val="20"/>
          <w:szCs w:val="20"/>
          <w:color w:val="auto"/>
        </w:rPr>
      </w:pPr>
      <w:r>
        <w:rPr>
          <w:rFonts w:ascii="Times New Roman" w:cs="Times New Roman" w:eastAsia="Times New Roman" w:hAnsi="Times New Roman"/>
          <w:sz w:val="14"/>
          <w:szCs w:val="14"/>
          <w:color w:val="auto"/>
        </w:rPr>
        <w:t>As of June 30, 2018, the aggregate market value of the common stock held by non-affiliates of the registrant based on the closing price of the common stock on The NASDAQ Global Market was $3,020,270,520.</w:t>
      </w:r>
    </w:p>
    <w:p>
      <w:pPr>
        <w:spacing w:after="0" w:line="19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February 13, 2019 was 52,320,473.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420"/>
          </w:cols>
          <w:pgMar w:left="240" w:top="679" w:right="239" w:bottom="0" w:gutter="0" w:footer="0" w:header="0"/>
          <w:type w:val="continuous"/>
        </w:sectPr>
      </w:pPr>
    </w:p>
    <w:bookmarkStart w:id="1" w:name="page2"/>
    <w:bookmarkEnd w:id="1"/>
    <w:p>
      <w:pPr>
        <w:ind w:firstLine="270"/>
        <w:spacing w:after="0" w:line="241"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2019 Annual Meeting of Stockholders, which will be filed with the Securities and Exchange Commission not later than 120 days after the end of the registrant's 2018 fiscal year end,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478155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7" w:right="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gridSpan w:val="18"/>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7"/>
              </w:rPr>
              <w:t>SUPERNUS PHARMACEUTICALS, INC.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80" w:type="dxa"/>
            <w:vAlign w:val="bottom"/>
            <w:gridSpan w:val="16"/>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6"/>
              </w:rPr>
              <w:t>FORM 10-K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gridSpan w:val="1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6"/>
              </w:rPr>
              <w:t>For the Year Ended December 31, 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gridSpan w:val="1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vMerge w:val="restart"/>
          </w:tcPr>
          <w:p>
            <w:pPr>
              <w:jc w:val="center"/>
              <w:spacing w:after="0"/>
              <w:rPr>
                <w:rFonts w:ascii="Times New Roman" w:cs="Times New Roman" w:eastAsia="Times New Roman" w:hAnsi="Times New Roman"/>
                <w:sz w:val="18"/>
                <w:szCs w:val="18"/>
                <w:color w:val="0000EE"/>
                <w:w w:val="91"/>
              </w:rPr>
            </w:pPr>
            <w:hyperlink w:anchor="page5">
              <w:r>
                <w:rPr>
                  <w:rFonts w:ascii="Times New Roman" w:cs="Times New Roman" w:eastAsia="Times New Roman" w:hAnsi="Times New Roman"/>
                  <w:sz w:val="18"/>
                  <w:szCs w:val="18"/>
                  <w:color w:val="0000EE"/>
                  <w:w w:val="91"/>
                </w:rPr>
                <w:t>PART I</w:t>
              </w:r>
            </w:hyperlink>
          </w:p>
        </w:tc>
        <w:tc>
          <w:tcPr>
            <w:tcW w:w="3960" w:type="dxa"/>
            <w:vAlign w:val="bottom"/>
            <w:gridSpan w:val="10"/>
            <w:vMerge w:val="restart"/>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0000EE"/>
            </w:tcBorders>
            <w:vMerge w:val="continue"/>
          </w:tcPr>
          <w:p>
            <w:pPr>
              <w:spacing w:after="0"/>
              <w:rPr>
                <w:sz w:val="14"/>
                <w:szCs w:val="14"/>
                <w:color w:val="auto"/>
              </w:rPr>
            </w:pPr>
          </w:p>
        </w:tc>
        <w:tc>
          <w:tcPr>
            <w:tcW w:w="3960" w:type="dxa"/>
            <w:vAlign w:val="bottom"/>
            <w:gridSpan w:val="10"/>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Item 1A.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Risk Factors</w:t>
              </w:r>
            </w:hyperlink>
          </w:p>
        </w:tc>
        <w:tc>
          <w:tcPr>
            <w:tcW w:w="7020" w:type="dxa"/>
            <w:vAlign w:val="bottom"/>
            <w:gridSpan w:val="25"/>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1B.</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Unresolved Staff Comments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2.</w:t>
              </w:r>
            </w:hyperlink>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Properties</w:t>
              </w:r>
            </w:hyperlink>
          </w:p>
        </w:tc>
        <w:tc>
          <w:tcPr>
            <w:tcW w:w="5920" w:type="dxa"/>
            <w:vAlign w:val="bottom"/>
            <w:gridSpan w:val="18"/>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63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3.</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Legal Proceedings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4.</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Mine Safety Disclosures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2"/>
          </w:tcPr>
          <w:p>
            <w:pPr>
              <w:jc w:val="center"/>
              <w:ind w:right="3940"/>
              <w:spacing w:after="0"/>
              <w:rPr>
                <w:rFonts w:ascii="Times New Roman" w:cs="Times New Roman" w:eastAsia="Times New Roman" w:hAnsi="Times New Roman"/>
                <w:sz w:val="18"/>
                <w:szCs w:val="18"/>
                <w:color w:val="0000EE"/>
                <w:w w:val="92"/>
              </w:rPr>
            </w:pPr>
            <w:hyperlink w:anchor="page66">
              <w:r>
                <w:rPr>
                  <w:rFonts w:ascii="Times New Roman" w:cs="Times New Roman" w:eastAsia="Times New Roman" w:hAnsi="Times New Roman"/>
                  <w:sz w:val="18"/>
                  <w:szCs w:val="18"/>
                  <w:color w:val="0000EE"/>
                  <w:w w:val="92"/>
                </w:rPr>
                <w:t>PART II</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Item 5.</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Market For Registrant's Common Equity, Related Stockholder Matters and Issuer Purchase of Equity</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66">
              <w:r>
                <w:rPr>
                  <w:rFonts w:ascii="Times New Roman" w:cs="Times New Roman" w:eastAsia="Times New Roman" w:hAnsi="Times New Roman"/>
                  <w:sz w:val="18"/>
                  <w:szCs w:val="18"/>
                  <w:color w:val="0000EE"/>
                  <w:w w:val="95"/>
                </w:rPr>
                <w:t>Securities</w:t>
              </w:r>
            </w:hyperlink>
          </w:p>
        </w:tc>
        <w:tc>
          <w:tcPr>
            <w:tcW w:w="6220" w:type="dxa"/>
            <w:vAlign w:val="bottom"/>
            <w:tcBorders>
              <w:top w:val="single" w:sz="8" w:color="0000EE"/>
            </w:tcBorders>
            <w:gridSpan w:val="25"/>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6">
              <w:r>
                <w:rPr>
                  <w:rFonts w:ascii="Times New Roman" w:cs="Times New Roman" w:eastAsia="Times New Roman" w:hAnsi="Times New Roman"/>
                  <w:sz w:val="18"/>
                  <w:szCs w:val="18"/>
                  <w:color w:val="0000EE"/>
                  <w:w w:val="88"/>
                </w:rPr>
                <w:t>65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6.</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Selected Financial Data</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7.</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70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spacing w:after="0" w:line="196" w:lineRule="exact"/>
              <w:rPr>
                <w:rFonts w:ascii="Times New Roman" w:cs="Times New Roman" w:eastAsia="Times New Roman" w:hAnsi="Times New Roman"/>
                <w:sz w:val="18"/>
                <w:szCs w:val="18"/>
                <w:color w:val="0000EE"/>
                <w:w w:val="96"/>
              </w:rPr>
            </w:pPr>
            <w:hyperlink w:anchor="page84">
              <w:r>
                <w:rPr>
                  <w:rFonts w:ascii="Times New Roman" w:cs="Times New Roman" w:eastAsia="Times New Roman" w:hAnsi="Times New Roman"/>
                  <w:sz w:val="18"/>
                  <w:szCs w:val="18"/>
                  <w:color w:val="0000EE"/>
                  <w:w w:val="96"/>
                </w:rPr>
                <w:t>Item 7A.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30"/>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Quantitative and Qualitative Disclosures about Market Risk</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Item 8.</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Financial Statements and Supplementary Data</w:t>
              </w:r>
            </w:hyperlink>
          </w:p>
        </w:tc>
        <w:tc>
          <w:tcPr>
            <w:tcW w:w="3720" w:type="dxa"/>
            <w:vAlign w:val="bottom"/>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6">
              <w:r>
                <w:rPr>
                  <w:rFonts w:ascii="Times New Roman" w:cs="Times New Roman" w:eastAsia="Times New Roman" w:hAnsi="Times New Roman"/>
                  <w:sz w:val="18"/>
                  <w:szCs w:val="18"/>
                  <w:color w:val="0000EE"/>
                  <w:w w:val="88"/>
                </w:rPr>
                <w:t>85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Item 9.</w:t>
              </w:r>
            </w:hyperlink>
          </w:p>
        </w:tc>
        <w:tc>
          <w:tcPr>
            <w:tcW w:w="8040" w:type="dxa"/>
            <w:vAlign w:val="bottom"/>
            <w:gridSpan w:val="31"/>
          </w:tcPr>
          <w:p>
            <w:pPr>
              <w:ind w:left="120"/>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125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spacing w:after="0" w:line="196" w:lineRule="exact"/>
              <w:rPr>
                <w:rFonts w:ascii="Times New Roman" w:cs="Times New Roman" w:eastAsia="Times New Roman" w:hAnsi="Times New Roman"/>
                <w:sz w:val="18"/>
                <w:szCs w:val="18"/>
                <w:color w:val="0000EE"/>
                <w:w w:val="96"/>
              </w:rPr>
            </w:pPr>
            <w:hyperlink w:anchor="page126">
              <w:r>
                <w:rPr>
                  <w:rFonts w:ascii="Times New Roman" w:cs="Times New Roman" w:eastAsia="Times New Roman" w:hAnsi="Times New Roman"/>
                  <w:sz w:val="18"/>
                  <w:szCs w:val="18"/>
                  <w:color w:val="0000EE"/>
                  <w:w w:val="96"/>
                </w:rPr>
                <w:t>Item 9A.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10"/>
          </w:tcPr>
          <w:p>
            <w:pPr>
              <w:spacing w:after="0" w:line="196" w:lineRule="exact"/>
              <w:rPr>
                <w:rFonts w:ascii="Times New Roman" w:cs="Times New Roman" w:eastAsia="Times New Roman" w:hAnsi="Times New Roman"/>
                <w:sz w:val="18"/>
                <w:szCs w:val="18"/>
                <w:color w:val="0000EE"/>
                <w:w w:val="97"/>
              </w:rPr>
            </w:pPr>
            <w:hyperlink w:anchor="page126">
              <w:r>
                <w:rPr>
                  <w:rFonts w:ascii="Times New Roman" w:cs="Times New Roman" w:eastAsia="Times New Roman" w:hAnsi="Times New Roman"/>
                  <w:sz w:val="18"/>
                  <w:szCs w:val="18"/>
                  <w:color w:val="0000EE"/>
                  <w:w w:val="97"/>
                </w:rPr>
                <w:t>Controls and Procedures</w:t>
              </w:r>
            </w:hyperlink>
          </w:p>
        </w:tc>
        <w:tc>
          <w:tcPr>
            <w:tcW w:w="6180" w:type="dxa"/>
            <w:vAlign w:val="bottom"/>
            <w:gridSpan w:val="20"/>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125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spacing w:after="0" w:line="196" w:lineRule="exact"/>
              <w:rPr>
                <w:rFonts w:ascii="Times New Roman" w:cs="Times New Roman" w:eastAsia="Times New Roman" w:hAnsi="Times New Roman"/>
                <w:sz w:val="18"/>
                <w:szCs w:val="18"/>
                <w:color w:val="0000EE"/>
                <w:w w:val="98"/>
              </w:rPr>
            </w:pPr>
            <w:hyperlink w:anchor="page127">
              <w:r>
                <w:rPr>
                  <w:rFonts w:ascii="Times New Roman" w:cs="Times New Roman" w:eastAsia="Times New Roman" w:hAnsi="Times New Roman"/>
                  <w:sz w:val="18"/>
                  <w:szCs w:val="18"/>
                  <w:color w:val="0000EE"/>
                  <w:w w:val="98"/>
                </w:rPr>
                <w:t>Item 9B.</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10"/>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Other Information</w:t>
              </w:r>
            </w:hyperlink>
          </w:p>
        </w:tc>
        <w:tc>
          <w:tcPr>
            <w:tcW w:w="6180" w:type="dxa"/>
            <w:vAlign w:val="bottom"/>
            <w:gridSpan w:val="20"/>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126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6"/>
          </w:tcPr>
          <w:p>
            <w:pPr>
              <w:jc w:val="center"/>
              <w:spacing w:after="0"/>
              <w:rPr>
                <w:rFonts w:ascii="Times New Roman" w:cs="Times New Roman" w:eastAsia="Times New Roman" w:hAnsi="Times New Roman"/>
                <w:sz w:val="18"/>
                <w:szCs w:val="18"/>
                <w:color w:val="0000EE"/>
                <w:w w:val="93"/>
              </w:rPr>
            </w:pPr>
            <w:hyperlink w:anchor="page128">
              <w:r>
                <w:rPr>
                  <w:rFonts w:ascii="Times New Roman" w:cs="Times New Roman" w:eastAsia="Times New Roman" w:hAnsi="Times New Roman"/>
                  <w:sz w:val="18"/>
                  <w:szCs w:val="18"/>
                  <w:color w:val="0000EE"/>
                  <w:w w:val="93"/>
                </w:rPr>
                <w:t>PART III</w:t>
              </w:r>
            </w:hyperlink>
          </w:p>
        </w:tc>
        <w:tc>
          <w:tcPr>
            <w:tcW w:w="390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Times New Roman" w:cs="Times New Roman" w:eastAsia="Times New Roman" w:hAnsi="Times New Roman"/>
                <w:sz w:val="18"/>
                <w:szCs w:val="18"/>
                <w:color w:val="0000EE"/>
                <w:w w:val="89"/>
              </w:rPr>
            </w:pPr>
            <w:hyperlink w:anchor="page128">
              <w:r>
                <w:rPr>
                  <w:rFonts w:ascii="Times New Roman" w:cs="Times New Roman" w:eastAsia="Times New Roman" w:hAnsi="Times New Roman"/>
                  <w:sz w:val="18"/>
                  <w:szCs w:val="18"/>
                  <w:color w:val="0000EE"/>
                  <w:w w:val="89"/>
                </w:rPr>
                <w:t>Item 10.</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30"/>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Directors, Executive Officers and Corporate Governance</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127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Times New Roman" w:cs="Times New Roman" w:eastAsia="Times New Roman" w:hAnsi="Times New Roman"/>
                <w:sz w:val="18"/>
                <w:szCs w:val="18"/>
                <w:color w:val="0000EE"/>
                <w:w w:val="89"/>
              </w:rPr>
            </w:pPr>
            <w:hyperlink w:anchor="page128">
              <w:r>
                <w:rPr>
                  <w:rFonts w:ascii="Times New Roman" w:cs="Times New Roman" w:eastAsia="Times New Roman" w:hAnsi="Times New Roman"/>
                  <w:sz w:val="18"/>
                  <w:szCs w:val="18"/>
                  <w:color w:val="0000EE"/>
                  <w:w w:val="89"/>
                </w:rPr>
                <w:t>Item 11.</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22"/>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Executive Compensation</w:t>
              </w:r>
            </w:hyperlink>
          </w:p>
        </w:tc>
        <w:tc>
          <w:tcPr>
            <w:tcW w:w="3920" w:type="dxa"/>
            <w:vAlign w:val="bottom"/>
            <w:gridSpan w:val="8"/>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127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Times New Roman" w:cs="Times New Roman" w:eastAsia="Times New Roman" w:hAnsi="Times New Roman"/>
                <w:sz w:val="18"/>
                <w:szCs w:val="18"/>
                <w:color w:val="0000EE"/>
                <w:w w:val="89"/>
              </w:rPr>
            </w:pPr>
            <w:hyperlink w:anchor="page128">
              <w:r>
                <w:rPr>
                  <w:rFonts w:ascii="Times New Roman" w:cs="Times New Roman" w:eastAsia="Times New Roman" w:hAnsi="Times New Roman"/>
                  <w:sz w:val="18"/>
                  <w:szCs w:val="18"/>
                  <w:color w:val="0000EE"/>
                  <w:w w:val="89"/>
                </w:rPr>
                <w:t>Item 12.</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gridSpan w:val="28"/>
          </w:tcPr>
          <w:p>
            <w:pPr>
              <w:spacing w:after="0" w:line="196" w:lineRule="exact"/>
              <w:rPr>
                <w:rFonts w:ascii="Times New Roman" w:cs="Times New Roman" w:eastAsia="Times New Roman" w:hAnsi="Times New Roman"/>
                <w:sz w:val="18"/>
                <w:szCs w:val="18"/>
                <w:color w:val="0000EE"/>
                <w:w w:val="97"/>
              </w:rPr>
            </w:pPr>
            <w:hyperlink w:anchor="page128">
              <w:r>
                <w:rPr>
                  <w:rFonts w:ascii="Times New Roman" w:cs="Times New Roman" w:eastAsia="Times New Roman" w:hAnsi="Times New Roman"/>
                  <w:sz w:val="18"/>
                  <w:szCs w:val="18"/>
                  <w:color w:val="0000EE"/>
                  <w:w w:val="97"/>
                </w:rPr>
                <w:t>Security Ownership of Certain Owners and Management and Related Stockholder Matters</w:t>
              </w:r>
            </w:hyperlink>
          </w:p>
        </w:tc>
        <w:tc>
          <w:tcPr>
            <w:tcW w:w="1560" w:type="dxa"/>
            <w:vAlign w:val="bottom"/>
            <w:gridSpan w:val="2"/>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127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Times New Roman" w:cs="Times New Roman" w:eastAsia="Times New Roman" w:hAnsi="Times New Roman"/>
                <w:sz w:val="18"/>
                <w:szCs w:val="18"/>
                <w:color w:val="0000EE"/>
                <w:w w:val="89"/>
              </w:rPr>
            </w:pPr>
            <w:hyperlink w:anchor="page128">
              <w:r>
                <w:rPr>
                  <w:rFonts w:ascii="Times New Roman" w:cs="Times New Roman" w:eastAsia="Times New Roman" w:hAnsi="Times New Roman"/>
                  <w:sz w:val="18"/>
                  <w:szCs w:val="18"/>
                  <w:color w:val="0000EE"/>
                  <w:w w:val="89"/>
                </w:rPr>
                <w:t>Item 13.</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gridSpan w:val="28"/>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Certain Relationships and Related Transactions, and Director Independence</w:t>
              </w:r>
            </w:hyperlink>
          </w:p>
        </w:tc>
        <w:tc>
          <w:tcPr>
            <w:tcW w:w="1560" w:type="dxa"/>
            <w:vAlign w:val="bottom"/>
            <w:gridSpan w:val="2"/>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127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Times New Roman" w:cs="Times New Roman" w:eastAsia="Times New Roman" w:hAnsi="Times New Roman"/>
                <w:sz w:val="18"/>
                <w:szCs w:val="18"/>
                <w:color w:val="0000EE"/>
                <w:w w:val="89"/>
              </w:rPr>
            </w:pPr>
            <w:hyperlink w:anchor="page129">
              <w:r>
                <w:rPr>
                  <w:rFonts w:ascii="Times New Roman" w:cs="Times New Roman" w:eastAsia="Times New Roman" w:hAnsi="Times New Roman"/>
                  <w:sz w:val="18"/>
                  <w:szCs w:val="18"/>
                  <w:color w:val="0000EE"/>
                  <w:w w:val="89"/>
                </w:rPr>
                <w:t>Item 14.</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gridSpan w:val="25"/>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Principal Accounting Fees and Services</w:t>
              </w:r>
            </w:hyperlink>
          </w:p>
        </w:tc>
        <w:tc>
          <w:tcPr>
            <w:tcW w:w="2600" w:type="dxa"/>
            <w:vAlign w:val="bottom"/>
            <w:gridSpan w:val="5"/>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128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0000EE"/>
            </w:tcBorders>
            <w:gridSpan w:val="7"/>
          </w:tcPr>
          <w:p>
            <w:pPr>
              <w:jc w:val="center"/>
              <w:spacing w:after="0"/>
              <w:rPr>
                <w:rFonts w:ascii="Times New Roman" w:cs="Times New Roman" w:eastAsia="Times New Roman" w:hAnsi="Times New Roman"/>
                <w:sz w:val="18"/>
                <w:szCs w:val="18"/>
                <w:color w:val="0000EE"/>
                <w:w w:val="94"/>
              </w:rPr>
            </w:pPr>
            <w:hyperlink w:anchor="page130">
              <w:r>
                <w:rPr>
                  <w:rFonts w:ascii="Times New Roman" w:cs="Times New Roman" w:eastAsia="Times New Roman" w:hAnsi="Times New Roman"/>
                  <w:sz w:val="18"/>
                  <w:szCs w:val="18"/>
                  <w:color w:val="0000EE"/>
                  <w:w w:val="94"/>
                </w:rPr>
                <w:t>PART IV</w:t>
              </w:r>
            </w:hyperlink>
          </w:p>
        </w:tc>
        <w:tc>
          <w:tcPr>
            <w:tcW w:w="390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Times New Roman" w:cs="Times New Roman" w:eastAsia="Times New Roman" w:hAnsi="Times New Roman"/>
                <w:sz w:val="18"/>
                <w:szCs w:val="18"/>
                <w:color w:val="0000EE"/>
                <w:w w:val="89"/>
              </w:rPr>
            </w:pPr>
            <w:hyperlink w:anchor="page130">
              <w:r>
                <w:rPr>
                  <w:rFonts w:ascii="Times New Roman" w:cs="Times New Roman" w:eastAsia="Times New Roman" w:hAnsi="Times New Roman"/>
                  <w:sz w:val="18"/>
                  <w:szCs w:val="18"/>
                  <w:color w:val="0000EE"/>
                  <w:w w:val="89"/>
                </w:rPr>
                <w:t>Item 15.</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14"/>
          </w:tcPr>
          <w:p>
            <w:pPr>
              <w:spacing w:after="0" w:line="196" w:lineRule="exact"/>
              <w:rPr>
                <w:rFonts w:ascii="Times New Roman" w:cs="Times New Roman" w:eastAsia="Times New Roman" w:hAnsi="Times New Roman"/>
                <w:sz w:val="18"/>
                <w:szCs w:val="18"/>
                <w:color w:val="0000EE"/>
                <w:w w:val="97"/>
              </w:rPr>
            </w:pPr>
            <w:hyperlink w:anchor="page130">
              <w:r>
                <w:rPr>
                  <w:rFonts w:ascii="Times New Roman" w:cs="Times New Roman" w:eastAsia="Times New Roman" w:hAnsi="Times New Roman"/>
                  <w:sz w:val="18"/>
                  <w:szCs w:val="18"/>
                  <w:color w:val="0000EE"/>
                  <w:w w:val="97"/>
                </w:rPr>
                <w:t>Exhibits, Financial Statement Schedules</w:t>
              </w:r>
            </w:hyperlink>
          </w:p>
        </w:tc>
        <w:tc>
          <w:tcPr>
            <w:tcW w:w="5080" w:type="dxa"/>
            <w:vAlign w:val="bottom"/>
            <w:gridSpan w:val="16"/>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129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8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Times New Roman" w:cs="Times New Roman" w:eastAsia="Times New Roman" w:hAnsi="Times New Roman"/>
                <w:sz w:val="18"/>
                <w:szCs w:val="18"/>
                <w:color w:val="0000EE"/>
                <w:w w:val="89"/>
              </w:rPr>
            </w:pPr>
            <w:hyperlink w:anchor="page130">
              <w:r>
                <w:rPr>
                  <w:rFonts w:ascii="Times New Roman" w:cs="Times New Roman" w:eastAsia="Times New Roman" w:hAnsi="Times New Roman"/>
                  <w:sz w:val="18"/>
                  <w:szCs w:val="18"/>
                  <w:color w:val="0000EE"/>
                  <w:w w:val="89"/>
                </w:rPr>
                <w:t>Item 16.</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8"/>
          </w:tcPr>
          <w:p>
            <w:pPr>
              <w:spacing w:after="0" w:line="196" w:lineRule="exact"/>
              <w:rPr>
                <w:rFonts w:ascii="Times New Roman" w:cs="Times New Roman" w:eastAsia="Times New Roman" w:hAnsi="Times New Roman"/>
                <w:sz w:val="18"/>
                <w:szCs w:val="18"/>
                <w:color w:val="0000EE"/>
                <w:w w:val="96"/>
              </w:rPr>
            </w:pPr>
            <w:hyperlink w:anchor="page130">
              <w:r>
                <w:rPr>
                  <w:rFonts w:ascii="Times New Roman" w:cs="Times New Roman" w:eastAsia="Times New Roman" w:hAnsi="Times New Roman"/>
                  <w:sz w:val="18"/>
                  <w:szCs w:val="18"/>
                  <w:color w:val="0000EE"/>
                  <w:w w:val="96"/>
                </w:rPr>
                <w:t>Form 10-K Summary</w:t>
              </w:r>
            </w:hyperlink>
          </w:p>
        </w:tc>
        <w:tc>
          <w:tcPr>
            <w:tcW w:w="1320" w:type="dxa"/>
            <w:vAlign w:val="bottom"/>
            <w:gridSpan w:val="6"/>
          </w:tcPr>
          <w:p>
            <w:pPr>
              <w:spacing w:after="0"/>
              <w:rPr>
                <w:sz w:val="17"/>
                <w:szCs w:val="17"/>
                <w:color w:val="auto"/>
              </w:rPr>
            </w:pPr>
          </w:p>
        </w:tc>
        <w:tc>
          <w:tcPr>
            <w:tcW w:w="5080" w:type="dxa"/>
            <w:vAlign w:val="bottom"/>
            <w:gridSpan w:val="16"/>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129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SIGNATURES</w:t>
              </w:r>
            </w:hyperlink>
          </w:p>
        </w:tc>
        <w:tc>
          <w:tcPr>
            <w:tcW w:w="6400" w:type="dxa"/>
            <w:vAlign w:val="bottom"/>
            <w:gridSpan w:val="2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top w:val="single" w:sz="8" w:color="0000EE"/>
            </w:tcBorders>
            <w:gridSpan w:val="6"/>
          </w:tcPr>
          <w:p>
            <w:pPr>
              <w:spacing w:after="0"/>
              <w:rPr>
                <w:sz w:val="24"/>
                <w:szCs w:val="24"/>
                <w:color w:val="auto"/>
              </w:rPr>
            </w:pPr>
          </w:p>
        </w:tc>
        <w:tc>
          <w:tcPr>
            <w:tcW w:w="2880" w:type="dxa"/>
            <w:vAlign w:val="bottom"/>
            <w:gridSpan w:val="14"/>
          </w:tcPr>
          <w:p>
            <w:pPr>
              <w:jc w:val="center"/>
              <w:ind w:left="2272"/>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content requires otherwise, the words "Supernus," "we," "our" and "the Company" refer to Supernus Pharmaceuticals, Inc. and its subsidiary.</w:t>
      </w:r>
    </w:p>
    <w:p>
      <w:pPr>
        <w:spacing w:after="0" w:line="225"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We are the owners of various U.S. federal trademark registrations(®) and registration applications(™), including the following marks referred to in this Annual Report on Form 10-K pursuant to applicable U.S. intellectual property laws: "Supernus®," "Oxtellar XR®," "Trokendi XR®," "Microtrol®," "Solutrol®," and the registered Supernus Pharmaceuticals logo.</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All other trademarks or trade names referred to in this Annual Report are the property of their respective owners. Solely for convenience, the trademarks and trade names in this Annual Report on Form 10-K are referred to without the ® and </w:t>
      </w:r>
      <w:r>
        <w:rPr>
          <w:rFonts w:ascii="Times New Roman" w:cs="Times New Roman" w:eastAsia="Times New Roman" w:hAnsi="Times New Roman"/>
          <w:sz w:val="18"/>
          <w:szCs w:val="18"/>
          <w:i w:val="1"/>
          <w:iCs w:val="1"/>
          <w:color w:val="auto"/>
        </w:rPr>
        <w:t>TM</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 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Supernus Pharmaceuticals, Inc. (the Company) was incorporated in Delaware and commenced operations in 2005. The Company became publicly traded in 2012 and is listed on The Nasdaq Stock Exchange under the ticker symbol SUPN. Our principal executive offices are in Rockville, Maryland.</w:t>
      </w:r>
    </w:p>
    <w:p>
      <w:pPr>
        <w:spacing w:after="0" w:line="17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are a pharmaceutical company focused on developing and commercializing products for the treatment of central nervous system (CNS) diseases. Our extensive expertise in product development has been built over the past 25 years: initially as a privately-held stand-alone development organization, then as a United States (U.S.) subsidiary of Shire Plc and, upon our acquisition of substantially all of the assets of Shire Laboratories Inc. in late 2005, as Supernus Pharmaceuticals.</w:t>
      </w:r>
    </w:p>
    <w:p>
      <w:pPr>
        <w:spacing w:after="0" w:line="19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On October 4, 2018, we acquired Biscayne Neurotherapeutics, Inc. (Biscayne), a privately-held company developing a novel treatment for epilepsy. We obtained worldwide rights, excluding certain markets in Asia where rights have been out-licensed, to Biscayne's product candidate, SPN-817 (huperzine A). SPN-817 is in clinical development and has received an Orphan Drug designation for Dravet Syndrome from the U.S. Food and Drug Administration (FDA).</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market two products, Oxtellar XR and Trokendi XR in the U.S. Oxtellar XR and Trokendi XR are the first once-daily extended release oxcarbazepine and topiramate products indicated for the treatment of epilepsy in the U.S. market. In April 2017, we launched Trokendi XR for the prophylaxis of migraine headache in adults and adolescents. In December 2018, the FDA approved the Company's supplemental new drug application (sNDA) for Oxtellar XR to include monotherapy treatment of partial onset seizures of epilepsy in adults and in children 6 to 17 years of age. We market our products through our own sales force and seek strategic collaborations with other pharmaceutical companies to license and commercialize our products outside the United States.</w:t>
      </w:r>
    </w:p>
    <w:p>
      <w:pPr>
        <w:spacing w:after="0" w:line="193" w:lineRule="exact"/>
        <w:rPr>
          <w:sz w:val="20"/>
          <w:szCs w:val="20"/>
          <w:color w:val="auto"/>
        </w:rPr>
      </w:pPr>
    </w:p>
    <w:p>
      <w:pPr>
        <w:ind w:right="500"/>
        <w:spacing w:after="0" w:line="339" w:lineRule="auto"/>
        <w:rPr>
          <w:sz w:val="20"/>
          <w:szCs w:val="20"/>
          <w:color w:val="auto"/>
        </w:rPr>
      </w:pPr>
      <w:r>
        <w:rPr>
          <w:rFonts w:ascii="Times New Roman" w:cs="Times New Roman" w:eastAsia="Times New Roman" w:hAnsi="Times New Roman"/>
          <w:sz w:val="16"/>
          <w:szCs w:val="16"/>
          <w:color w:val="auto"/>
        </w:rPr>
        <w:t>Our net product revenues of $399.9 million in 2018 were driven by strong growth in prescriptions for Oxtellar XR and Trokendi XR. Total prescriptions as reported by IQVIA (formerly Intercontinental Marketing Services (IMS)) have shown a steady year over year increase as shown in the following graph.</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543040" cy="3344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IQVIA Monthly Prescriptions (as restated by IQVIA for 2017 and 2018)</w:t>
      </w:r>
    </w:p>
    <w:p>
      <w:pPr>
        <w:spacing w:after="0" w:line="22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As of year-end 2018, Trokendi XR represented approximately 5% of the large base of prescriptions for topiramate, and Oxtellar XR represented approximately 3% of the oxcarbazepine market. Total annual prescriptions for the topiramate market and the oxcarbazepine market are approximately 14.6 million and</w:t>
      </w:r>
    </w:p>
    <w:p>
      <w:pPr>
        <w:spacing w:after="0" w:line="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4.8 million, respectively. We expect to continue to grow our revenues for Oxtellar XR and Trokendi XR by continuing to drive penetration in these markets. We believe these products with their current indications in the neurology market, which include the recently approved monotherapy indication for Oxtellar XR, have the potential to achieve combined annual peak net sales in excess of $500 million.</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developing multiple proprietary product candidates in the CNS market to address significant unmet medical needs and market opportunities. We are developing SPN-812 (viloxazine hydrochloride) as a novel, non-stimulant candidate to treat patients who have attention deficit hyperactivity disorder (ADHD). In December 2018, we reported favorable results from three of the four pivotal Phase III trials for SPN-812 with data from the fourth trial expected late first quarter 2019. We anticipate filing a new drug application (NDA) with the FDA in the second half of 2019, and to launch SPN-812, pending U.S. Food and Drug Administration approval, in the second half of 2020.</w:t>
      </w:r>
    </w:p>
    <w:p>
      <w:pPr>
        <w:spacing w:after="0" w:line="19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addition, we are initially developing SPN-810 (molindone hydrochloride) to treat impulsive aggression (IA) in children and adolescents who have ADHD. We plan to subsequently develop SPN-810 for the treatment of IA in other CNS diseases, such as autism, post traumatic stress disorder (PTSD), bipolar disorder, schizophrenia, Alzheimer's and other forms of dementia. There are currently no approved products in the U.S. indicated for the treatment of IA.</w:t>
      </w:r>
    </w:p>
    <w:p>
      <w:pPr>
        <w:spacing w:after="0" w:line="186"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Furthermore, we are developing SPN-604 (extended release oxcarbazepine) for the treatment of bipolar disorder, which would be a new indication for oxcarbazepine. Following our acquisition of Biscayne, we are currently developing SPN-817 in severe pediatric epilepsy disorders.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Product Candidates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current portfolio of novel products and product candidates.</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Product</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Indication</w:t>
            </w:r>
          </w:p>
        </w:tc>
        <w:tc>
          <w:tcPr>
            <w:tcW w:w="96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Status</w:t>
            </w:r>
          </w:p>
        </w:tc>
      </w:tr>
      <w:tr>
        <w:trPr>
          <w:trHeight w:val="195"/>
        </w:trPr>
        <w:tc>
          <w:tcPr>
            <w:tcW w:w="20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Oxtellar XR</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Epilepsy</w:t>
            </w:r>
          </w:p>
        </w:tc>
        <w:tc>
          <w:tcPr>
            <w:tcW w:w="960" w:type="dxa"/>
            <w:vAlign w:val="bottom"/>
          </w:tcPr>
          <w:p>
            <w:pPr>
              <w:spacing w:after="0"/>
              <w:rPr>
                <w:sz w:val="16"/>
                <w:szCs w:val="16"/>
                <w:color w:val="auto"/>
              </w:rPr>
            </w:pPr>
          </w:p>
        </w:tc>
        <w:tc>
          <w:tcPr>
            <w:tcW w:w="2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In the market</w:t>
            </w: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Trokendi XR</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Epilepsy</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the market</w:t>
            </w: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Migraine*</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the market</w:t>
            </w: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SPN-812</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ADHD</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Phase III</w:t>
            </w: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SPN-810</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IA**</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Phase III</w:t>
            </w: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SPN-604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Bipolar</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Phase III***</w:t>
            </w: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SPN-809</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Depression</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Phase II ready</w:t>
            </w:r>
          </w:p>
        </w:tc>
      </w:tr>
      <w:tr>
        <w:trPr>
          <w:trHeight w:val="228"/>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SPN-817</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Epilepsy</w:t>
            </w:r>
          </w:p>
        </w:tc>
        <w:tc>
          <w:tcPr>
            <w:tcW w:w="9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Phase I</w:t>
            </w:r>
          </w:p>
        </w:tc>
      </w:tr>
      <w:tr>
        <w:trPr>
          <w:trHeight w:val="110"/>
        </w:trPr>
        <w:tc>
          <w:tcPr>
            <w:tcW w:w="20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60" w:type="dxa"/>
            <w:vAlign w:val="bottom"/>
          </w:tcPr>
          <w:p>
            <w:pPr>
              <w:spacing w:after="0"/>
              <w:rPr>
                <w:sz w:val="9"/>
                <w:szCs w:val="9"/>
                <w:color w:val="auto"/>
              </w:rPr>
            </w:pPr>
          </w:p>
        </w:tc>
      </w:tr>
    </w:tbl>
    <w:p>
      <w:pPr>
        <w:spacing w:after="0" w:line="215" w:lineRule="exact"/>
        <w:rPr>
          <w:sz w:val="20"/>
          <w:szCs w:val="20"/>
          <w:color w:val="auto"/>
        </w:rPr>
      </w:pPr>
    </w:p>
    <w:p>
      <w:pPr>
        <w:ind w:left="2260" w:hanging="540"/>
        <w:spacing w:after="0"/>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Prophylaxis of migraine headache in adults and adolescents.</w:t>
      </w:r>
    </w:p>
    <w:p>
      <w:pPr>
        <w:spacing w:after="0" w:line="252" w:lineRule="exact"/>
        <w:rPr>
          <w:sz w:val="20"/>
          <w:szCs w:val="20"/>
          <w:color w:val="auto"/>
        </w:rPr>
      </w:pPr>
    </w:p>
    <w:p>
      <w:pPr>
        <w:ind w:left="2260" w:right="240" w:hanging="540"/>
        <w:spacing w:after="0" w:line="275"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program is for IA in patients with ADHD, with plans to add other indications, such as IA in patients with autism, PTSD, bipolar disorder, Alzheimer's and other forms of dementia.</w:t>
      </w:r>
    </w:p>
    <w:p>
      <w:pPr>
        <w:spacing w:after="0" w:line="187" w:lineRule="exact"/>
        <w:rPr>
          <w:rFonts w:ascii="Times New Roman" w:cs="Times New Roman" w:eastAsia="Times New Roman" w:hAnsi="Times New Roman"/>
          <w:sz w:val="18"/>
          <w:szCs w:val="18"/>
          <w:color w:val="auto"/>
        </w:rPr>
      </w:pPr>
    </w:p>
    <w:p>
      <w:pPr>
        <w:ind w:left="2260" w:hanging="540"/>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clinical program to start in second half of 2019</w:t>
      </w:r>
    </w:p>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a successful track record of developing and launching novel products by applying proprietary technologies to known drugs to improve their side effect profile or to improve patient compliance. In addition, we have developed new indications for existing therapies. Our key proprietary technology platforms include: Microtrol, Solutrol and EnSoTrol. These technologies have been utilized to create ten marketed products, including Trokendi XR and Oxtellar XR, Adderall XR (developed for Shire), Intuniv (developed for Shire), Mydayis (developed for Shire), and Orenitram (developed for United Therapeutics Corporation), as well as our key product candidates SPN-812 and SPN-810.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build our intellectual property portfolio to provide protection for our technologies, products and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vision is to be a leading pharmaceutical company developing and commercializing new medicines for treatment of CNS diseases in neurology and psychiatry.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to achieve this vision are to:</w:t>
      </w:r>
    </w:p>
    <w:p>
      <w:pPr>
        <w:spacing w:after="0" w:line="224" w:lineRule="exact"/>
        <w:rPr>
          <w:sz w:val="20"/>
          <w:szCs w:val="20"/>
          <w:color w:val="auto"/>
        </w:rPr>
      </w:pPr>
    </w:p>
    <w:p>
      <w:pPr>
        <w:ind w:left="1080" w:right="60" w:hanging="532"/>
        <w:spacing w:after="0" w:line="27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growth and profitability. </w:t>
      </w:r>
      <w:r>
        <w:rPr>
          <w:rFonts w:ascii="Times New Roman" w:cs="Times New Roman" w:eastAsia="Times New Roman" w:hAnsi="Times New Roman"/>
          <w:sz w:val="18"/>
          <w:szCs w:val="18"/>
          <w:color w:val="auto"/>
        </w:rPr>
        <w:t>We will continue to drive the prescription growth of Trokendi XR and Oxtellar XR by continuing to dedicate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resources in the U.S.</w:t>
      </w:r>
    </w:p>
    <w:p>
      <w:pPr>
        <w:spacing w:after="0" w:line="197" w:lineRule="exact"/>
        <w:rPr>
          <w:rFonts w:ascii="Times New Roman" w:cs="Times New Roman" w:eastAsia="Times New Roman" w:hAnsi="Times New Roman"/>
          <w:sz w:val="18"/>
          <w:szCs w:val="18"/>
          <w:color w:val="auto"/>
        </w:rPr>
      </w:pPr>
    </w:p>
    <w:p>
      <w:pPr>
        <w:ind w:left="1080" w:right="40" w:hanging="532"/>
        <w:spacing w:after="0" w:line="264"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our pipeline toward commercialization. </w:t>
      </w:r>
      <w:r>
        <w:rPr>
          <w:rFonts w:ascii="Times New Roman" w:cs="Times New Roman" w:eastAsia="Times New Roman" w:hAnsi="Times New Roman"/>
          <w:sz w:val="18"/>
          <w:szCs w:val="18"/>
          <w:color w:val="auto"/>
        </w:rPr>
        <w:t>We are continuing with the Phase III clinical trials for SPN-812, a novel non-stimulant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ADHD, and with the Phase III clinical trials for SPN-810, a novel treatment for IA in patients who have ADHD. We expect to file an NDA with the FDA for the approval of SPN-812 in second half of 2019.</w:t>
      </w:r>
    </w:p>
    <w:p>
      <w:pPr>
        <w:spacing w:after="0" w:line="194" w:lineRule="exact"/>
        <w:rPr>
          <w:rFonts w:ascii="Times New Roman" w:cs="Times New Roman" w:eastAsia="Times New Roman" w:hAnsi="Times New Roman"/>
          <w:sz w:val="18"/>
          <w:szCs w:val="18"/>
          <w:color w:val="auto"/>
        </w:rPr>
      </w:pPr>
    </w:p>
    <w:p>
      <w:pPr>
        <w:ind w:left="1080" w:right="80" w:hanging="532"/>
        <w:spacing w:after="0" w:line="25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strategic business development opportunities. </w:t>
      </w:r>
      <w:r>
        <w:rPr>
          <w:rFonts w:ascii="Times New Roman" w:cs="Times New Roman" w:eastAsia="Times New Roman" w:hAnsi="Times New Roman"/>
          <w:sz w:val="18"/>
          <w:szCs w:val="18"/>
          <w:color w:val="auto"/>
        </w:rPr>
        <w:t>We are actively exploring a broad range of strategic opportunities that fit well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presence in CNS while also exploring other disease areas that are driven by specialty physicians such as orphan or rare diseases. These strategic options include: in-licensing products and/or entering into development collaborations leading to commercialization rights; opportunities that leverage and/or expand our sales force call points for our marketed products and product candidates; co-development partnerships outside the U.S. for our pipeline products; and growth opportunities through value-creating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transformative merger and acquisition transactions, including both commercial stage and development stage products.</w:t>
      </w:r>
    </w:p>
    <w:p>
      <w:pPr>
        <w:spacing w:after="0" w:line="237" w:lineRule="exact"/>
        <w:rPr>
          <w:sz w:val="20"/>
          <w:szCs w:val="20"/>
          <w:color w:val="auto"/>
        </w:rPr>
      </w:pPr>
    </w:p>
    <w:p>
      <w:pPr>
        <w:ind w:left="1080" w:right="180" w:hanging="532"/>
        <w:spacing w:after="0" w:line="27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grow our pipeline. </w:t>
      </w:r>
      <w:r>
        <w:rPr>
          <w:rFonts w:ascii="Times New Roman" w:cs="Times New Roman" w:eastAsia="Times New Roman" w:hAnsi="Times New Roman"/>
          <w:sz w:val="18"/>
          <w:szCs w:val="18"/>
          <w:color w:val="auto"/>
        </w:rPr>
        <w:t>We plan to continue to evaluate and develop additional CNS product candidates that we believe have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potential through our internal research and development efforts.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Neurology Portfolio</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neurology portfolio consists of Oxtellar XR, which is the first and only once-daily extended release oxcarbazepine product indicated for patients with epilepsy, and Trokendi XR, which is the first once-daily extended release topiramate product indicated for patients with epilepsy. We launched Trokendi XR for the prophylaxis of migraine headache in the U.S. market in April 2017. These products differ from immediate release formulations by offering once-daily dosing and unique pharmacokinetic profiles, which we believe can have very positive clinical effects for many patients. We believe a once-daily dosing regimen improves adherence, making it more probable that patients maintain sufficient levels of medication in their bloodstreams to protect against seizures and migraines. In addition, we believe that the unique smooth and steady pharmacokinetic profiles of our once-daily formulations reduce the peak to trough blood level fluctuations, which are typically associated with immediate release products and which may result in increased adverse events (AEs), more side effects and decreased efficacy.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Epilepsy Overview</w:t>
      </w:r>
    </w:p>
    <w:p>
      <w:pPr>
        <w:spacing w:after="0" w:line="22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Epilepsy is a complex neurological disorder characterized by spontaneous recurrence of unprovoked seizures, which are sudden surges of electrical activity in the brain that impair a person's mental and/or physical abilities.</w:t>
      </w:r>
    </w:p>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Compliance with drug treatment regimens is critically important to achieving effective control for patients with epilepsy. Non-compliance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1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extended release products, and in particular Trokendi XR and Oxtellar XR, may offer important advantages in the treatment of epilepsy. The release profiles of extended release products can produce more consistent and steadier plasma concentrations as compared to immediate release products, potentially resulting in fewer side effects, better tolerability, fewer emergency room visits, improved efficacy, and fewer breakthrough seizures. Improved tolerability may help patients improve adherence and correspondingly, help patients enjoy a better quality of life.</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when considering treatment regimens for patients with epilepsy, neurologists and epileptologists, take into consideration the mechanism of action (MOA) of the different anti-epileptics that are available. By combining several different MOAs, it is sometimes possible to get significantly better seizure control. We recently acquired SPN-817, an antiepileptic, which we believe has a MOA that is different from what is currently available and can represent a unique additional treatment alternative for physicians and patients.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Migraine Overview</w:t>
      </w:r>
    </w:p>
    <w:p>
      <w:pPr>
        <w:spacing w:after="0" w:line="22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Approximately 39 million individuals in the U.S. are affected by migraine. The World Health Organization categorizes migraine as one of the most disabling medical illnesses worldwide.</w:t>
      </w:r>
    </w:p>
    <w:p>
      <w:pPr>
        <w:spacing w:after="0" w:line="17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Migraine is a painful complex neurological disorder, consisting of recurring, painful attacks that can significantly disrupt time with loved ones, education and careers. Migraine headaches are often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characterized by throbbing pain, extreme sensitivity to light or sound and, potentially, nausea and vomiting.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in epilepsy, we believe extended release products, and in particular Trokendi XR, may offer important advantages for treatment of migraine. The release profiles of extended release products can produce more consistent and steadier plasma concentrations as compared to immediate release products, potentially resulting in fewer side effects, better tolerability, fewer emergency room visits and improved efficacy. Improved tolerability may help patients improve adherence, have fewer breakthrough migraines and, correspondingly, help patients enjoy a better quality of life.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Trokendi XR</w:t>
      </w:r>
    </w:p>
    <w:p>
      <w:pPr>
        <w:spacing w:after="0" w:line="22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Trokendi XR is a once-daily extended release topiramate product indicated for patients with epilepsy and for prevention of migraine headache in the U.S. market, and is designed to improve patient adherence over the current immediate release products which must be taken multiple times per day. Trokendi XR is indicated for initial monotherapy in patients 6 years of age and older with partial onset or primary generalized tonic-clonic (PGTC) seizures, as add-on therapy in patients 6 years of age and older with partial onset or PGTC seizures or with seizures associated with Lennox-Gastaut syndrome, and for prophylaxis of migraine headaches in adults and adolescents 12 years of age and older. Trokendi XR's pharmacokinetic profile results in lower peak plasma concentrations, higher trough plasma concentrations, and slower plasma uptake rates. This results in smoother and more consistent plasma concentrations than immediate release topiramate formulations. We believe that such a profile mitigates blood level fluctuations that are frequently associated with many side effects and reduces the likelihood of breakthrough seizures and migraine headaches that patients can suffer when taking immediate release products. Side effects associated with immediate release products may lead patients to skip doses, which could place them at higher risk for breakthrough seizures and migraine headaches.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Oxtellar XR</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Oxtellar XR is the only once-daily extended release oxcarbazepine product indicated in the U.S. for treatment of patients with epilepsy. Oxtellar XR is indicated as therapy of partial onset seizures in adults and in children 6 years to 17 years of age. With its novel pharmacokinetic profile showing lower peak plasma concentrations, a slower rate of plasma input, and smoother and more consistent blood levels compared to immediate release products, we believe Oxtellar XR improves the tolerability of oxcarbazepine and thereby reduces side effects. In addition, Oxtellar XR once-per-day dosing is designed to improve patient adherence compared to the current immediate release products that must be taken multiple times per day.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SPN-817 will utilize a novel synthetic form of huperzine A, whose MOA includes potent acetyl cholinesterase inhibition with pharmacological activities in CNS conditions such as epilepsy. SPN-817 will have new chemical entity status (NCE) in the U.S. market. We expect to have significant intellectual property (IP) protecting this product candidate through our own research and development efforts as well as through in-licensed IP. SPN-817 represents a novel MOA for an anticonvulsant. Development will initially focus on the drug's anticonvulsant activity that has been shown in preclinical models for partial seizures and Dravet Syndrome.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Development Program</w:t>
      </w:r>
    </w:p>
    <w:p>
      <w:pPr>
        <w:spacing w:after="0" w:line="227" w:lineRule="exact"/>
        <w:rPr>
          <w:sz w:val="20"/>
          <w:szCs w:val="20"/>
          <w:color w:val="auto"/>
        </w:rPr>
      </w:pPr>
    </w:p>
    <w:p>
      <w:pPr>
        <w:ind w:right="600"/>
        <w:spacing w:after="0" w:line="339" w:lineRule="auto"/>
        <w:rPr>
          <w:sz w:val="20"/>
          <w:szCs w:val="20"/>
          <w:color w:val="auto"/>
        </w:rPr>
      </w:pPr>
      <w:r>
        <w:rPr>
          <w:rFonts w:ascii="Times New Roman" w:cs="Times New Roman" w:eastAsia="Times New Roman" w:hAnsi="Times New Roman"/>
          <w:sz w:val="16"/>
          <w:szCs w:val="16"/>
          <w:color w:val="auto"/>
        </w:rPr>
        <w:t>We plan on studying SPN-817 initially in severe pediatric epilepsy disorders. A Phase I proof-of-concept trial is currently underway in adult patients with refractory complex partial seizures to study the safety and pharmacokinetic profile of a new extended release formulation of non-synthetic huperzine A.</w:t>
      </w:r>
    </w:p>
    <w:p>
      <w:pPr>
        <w:spacing w:after="0" w:line="12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We will focus on completing and optimizing the synthesis process of the drug and the development of a novel dosage form. Given the potency of huperzine A, a novel extended release oral dosage form is critical to the success of this program because initial studies with immediate release formulations of non-synthetic huperzine A have shown dose-limiting serious side effects.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We currently depend on third-party commercial manufacturing organizations (CMOs) for all manufacturing operations, including production of raw materials, dosage form product and product packaging. This encompasses product for commercial use, as well as product for preclinical research and clinical trials.</w:t>
      </w:r>
    </w:p>
    <w:p>
      <w:pPr>
        <w:spacing w:after="0" w:line="12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leading CMOs headquartered in North America, including Patheon Pharmaceuticals, Inc., Packaging Coordinators, Inc. and Catalent Pharma Solutions, for the manufacture and packaging of the final commercial products Oxtellar XR and Trokendi XR. These CMOs offer a comprehensive range of contract manufacturing and packaging services. Commercial products as well as our product candidates are sourced from single third-party suppliers.</w:t>
      </w:r>
    </w:p>
    <w:p>
      <w:pPr>
        <w:spacing w:after="0" w:line="19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any of our product candidates beyond Phase II clinical trials, nor do we have plans to develop our own manufacturing operations for Phase III clinical materials or commercial products in the foreseeable future. We currently employ internal resources to manage our manufacturing contractors.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We have a commercial organization in the U.S. to support current and future sales of Oxtellar XR and Trokendi XR. We believe our current sales force of over 200 sales representatives is effectively targeting healthcare providers, primarily neurologists, to support and grow our epilepsy and migraine franchise. Simultaneously promoting two neurology products allows us to leverage our commercial infrastructure.</w:t>
      </w:r>
    </w:p>
    <w:p>
      <w:pPr>
        <w:spacing w:after="0" w:line="18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Assuming we obtain FDA approval for the product candidates currently in our pipeline, we anticipate adding sales representatives to market our products to the relevant population of physicians, primarily psychiatrists.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Epilepsy Competition</w:t>
      </w:r>
    </w:p>
    <w:p>
      <w:pPr>
        <w:spacing w:after="0" w:line="2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Trokendi XR competes with all immediate release and extended release topiramate products, including Topamax, Qudexy XR and their related generic products. Oxtellar XR competes with all immediate release oxcarbazepine products, including Trileptal and its related generic products. Both Oxtellar XR and Trokendi XR compete with other anti-epileptic products, both branded and generic.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Migraine Competition</w:t>
      </w:r>
    </w:p>
    <w:p>
      <w:pPr>
        <w:spacing w:after="0" w:line="22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Trokendi XR competes with all immediate release and extended release topiramate products, including Topamax, Qudexy XR and their related generic products, as well as other products used for the prevention of migraine headaches, such as anti-CGRP (calcitonin gene related peptide), Botox, beta-blockers, valproic acid and amitriptyline.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Psychiatry Portfolio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psychiatry portfolio includes four product candidates for the treatment of psychiatric disorders:</w:t>
      </w:r>
    </w:p>
    <w:p>
      <w:pPr>
        <w:spacing w:after="0" w:line="239" w:lineRule="exact"/>
        <w:rPr>
          <w:sz w:val="20"/>
          <w:szCs w:val="20"/>
          <w:color w:val="auto"/>
        </w:rPr>
      </w:pPr>
    </w:p>
    <w:p>
      <w:pPr>
        <w:ind w:left="1080" w:right="6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SPN-812, the most advanced product candidate, is being developed for ADHD. Positive topline data from three successful Phase III clinical trials were reported in 2018, and data from a fourth Phase III trial is expected to be released in late first quarter of 2019.</w:t>
      </w:r>
    </w:p>
    <w:p>
      <w:pPr>
        <w:spacing w:after="0" w:line="200"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SPN-810 has fast track status and is expected to be the first product approved for treatment of IA. Phase III clinical trials are expected to be completed in 2019 in patients 6 years to 11 years old while a trial in adolescents continues into 2020.</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SPN-809 employs the same active ingredient in SPN-812 and is being developed for depression. SPN-809 is Phase II ready.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SPN-604 is being developed for the treatment of bipolar. Phase III clinical trials are planned to be initiated in the second half of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ADHD Overview</w:t>
      </w:r>
    </w:p>
    <w:p>
      <w:pPr>
        <w:spacing w:after="0" w:line="22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ADHD is a common CNS disorder characterized by developmentally inappropriate levels of inattention, hyperactivity and impulsivity. ADHD affects an estimated 6% to 9% of all school-age children and 3% to 5% of adults in the United States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An estimated 50% of children with ADHD continue to meet criteria</w:t>
      </w: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for ADHD into adolescence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Current non-stimulant treatments for ADHD account for about 8% of the total ADHD prescriptions in the U.S. during 2018. The ADHD market is projected to grow at 2% annually, from approximately 74 million prescriptions in 2018 to approximately 78 million prescriptions by 2020. For the year ended December 31, 2018, according to data from IQVIA, the U.S. market for ADHD prescription drugs was $9.1 billion.</w:t>
      </w:r>
    </w:p>
    <w:p>
      <w:pPr>
        <w:spacing w:after="0" w:line="20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Diagnosis of ADHD requires a comprehensive clinical evaluation based on identifying patients who exhibit the core symptoms of inattention, hyperactivity, and impulsivity. Although many children may be inattentive, hyperactive or impulsive, the level of severity and degree of functional impairment, as well as considerations of what may be behind the underlying symptoms, determine which children meet the diagnosis and should be treated for ADHD.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IA Overview</w:t>
      </w:r>
    </w:p>
    <w:p>
      <w:pPr>
        <w:spacing w:after="0" w:line="2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ADHD market represented roughly 74 million prescriptions in 2018, growing approximately 2% over 2017. By 2020, we project that the ADHD market will reach approximately 78 million prescriptions. Of these 78 million prescriptions, roughly one-third will be written for patients with IA or with IA and other comorbidities.</w:t>
      </w:r>
    </w:p>
    <w:p>
      <w:pPr>
        <w:spacing w:after="0" w:line="1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IA is not limited to individuals with ADHD. We believe, based on our market research, that IA occurs in patients with other CNS disorders, including autism, Alzheimer's and other forms of dementia, bipolar disorder, PTSD, oppositional defiant disorder, conduct disorder and intermittent explosive disorder. Market research we have conducted indicates that the prevalence of IA in autistic children and adolescents is approximately 45%, and the prevalence of IA in children and adolescents with bipolar disorder is approximately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1903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Dopheide, J.A., </w:t>
      </w:r>
      <w:r>
        <w:rPr>
          <w:rFonts w:ascii="Times New Roman" w:cs="Times New Roman" w:eastAsia="Times New Roman" w:hAnsi="Times New Roman"/>
          <w:sz w:val="18"/>
          <w:szCs w:val="18"/>
          <w:i w:val="1"/>
          <w:iCs w:val="1"/>
          <w:color w:val="auto"/>
        </w:rPr>
        <w:t>Attention-Deficit- Hyperactivity Disorder: An Update</w:t>
      </w:r>
      <w:r>
        <w:rPr>
          <w:rFonts w:ascii="Times New Roman" w:cs="Times New Roman" w:eastAsia="Times New Roman" w:hAnsi="Times New Roman"/>
          <w:sz w:val="18"/>
          <w:szCs w:val="18"/>
          <w:color w:val="auto"/>
        </w:rPr>
        <w:t xml:space="preserve">, published June 2009 in </w:t>
      </w:r>
      <w:r>
        <w:rPr>
          <w:rFonts w:ascii="Times New Roman" w:cs="Times New Roman" w:eastAsia="Times New Roman" w:hAnsi="Times New Roman"/>
          <w:sz w:val="18"/>
          <w:szCs w:val="18"/>
          <w:i w:val="1"/>
          <w:iCs w:val="1"/>
          <w:color w:val="auto"/>
        </w:rPr>
        <w:t>Pharmacotherapy</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29"/>
          <w:szCs w:val="29"/>
          <w:color w:val="auto"/>
          <w:vertAlign w:val="superscript"/>
        </w:rPr>
      </w:pPr>
    </w:p>
    <w:p>
      <w:pPr>
        <w:ind w:left="540" w:hanging="532"/>
        <w:spacing w:after="0" w:line="205" w:lineRule="auto"/>
        <w:tabs>
          <w:tab w:leader="none" w:pos="5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Floet, A.M.W., </w:t>
      </w:r>
      <w:r>
        <w:rPr>
          <w:rFonts w:ascii="Times New Roman" w:cs="Times New Roman" w:eastAsia="Times New Roman" w:hAnsi="Times New Roman"/>
          <w:sz w:val="18"/>
          <w:szCs w:val="18"/>
          <w:i w:val="1"/>
          <w:iCs w:val="1"/>
          <w:color w:val="auto"/>
        </w:rPr>
        <w:t>Attention- Deficit/Hyperactivity Disorder</w:t>
      </w:r>
      <w:r>
        <w:rPr>
          <w:rFonts w:ascii="Times New Roman" w:cs="Times New Roman" w:eastAsia="Times New Roman" w:hAnsi="Times New Roman"/>
          <w:sz w:val="18"/>
          <w:szCs w:val="18"/>
          <w:color w:val="auto"/>
        </w:rPr>
        <w:t xml:space="preserve">, published February 2010 in </w:t>
      </w:r>
      <w:r>
        <w:rPr>
          <w:rFonts w:ascii="Times New Roman" w:cs="Times New Roman" w:eastAsia="Times New Roman" w:hAnsi="Times New Roman"/>
          <w:sz w:val="18"/>
          <w:szCs w:val="18"/>
          <w:i w:val="1"/>
          <w:iCs w:val="1"/>
          <w:color w:val="auto"/>
        </w:rPr>
        <w:t>Pediatrics in Review</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IA in Patients with ADHD</w:t>
      </w:r>
    </w:p>
    <w:p>
      <w:pPr>
        <w:spacing w:after="0" w:line="22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6"/>
          <w:szCs w:val="16"/>
          <w:color w:val="auto"/>
        </w:rPr>
        <w:t>Currently, there are no approved medications in the U.S. for the treatment of IA. IA is present in individuals who spontaneously react more aggressively and strongly than normal to stimuli by committing verbal or physical acts against people, property or themselves. Based on our discussions with medical experts, the current treatment options for IA in patients with ADHD include psychosocial interventions, such as school-based or family-based behavioral therapies, which are</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often not wholly effective. In the large, multisite Multimodal Treatment Study of Children with ADHD</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 seminal clinical trial designed by experts from key stakeholder communities such as the National Institute of Mental Health, researchers observed that after 14 months of either ADHD medication-only or a regimen that combined ADHD medication with behavioral interventions, 44% of those children with ADHD (or 26% of the total sample size in the trial) who initially exhibited aggression still had what can be described as IA at the end of the trial. This demonstrates that psychosocial interventions may not work for a large percentage of children with ADHD who exhibit aggressive behaviors.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response, doctors have also tried to treat patients with IA by off-label use of prescription medicines, such as mood stabilizers, stimulants and anti-psychotic drugs. Results have varied, but anti-psychotic drugs appear to have the best therapeutic potential. Unfortunately, many of these agents are associated with adverse effects, including obesity, dyskinesia, lipid abnormalities, marked increases in prolactin and increase in diabetes, which is of particular concern when treating pediatric populations. None of these agents are approved for treatment of 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SPN-812 (viloxazine hydrochloride)</w:t>
      </w:r>
    </w:p>
    <w:p>
      <w:pPr>
        <w:spacing w:after="0" w:line="22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developing SPN-812 as a novel non-stimulant treatment for ADHD with the potential to address a $9.1 billion market opportunity in the U.S. for the treatment of ADHD. SPN-812, a norepinephrine reuptake inhibitor with selective serotonin modulation activity, would provide an additional option to the few non-stimulant therapies currently available. We believe that SPN-812 could be more effective than other non-stimulant therapies due to its unique pharmacological profile, and offers physicians an alternative to stimulant therapy.</w:t>
      </w:r>
    </w:p>
    <w:p>
      <w:pPr>
        <w:spacing w:after="0" w:line="1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expect to submit an NDA for SPN-812 in the second half of 2019, and to launch it, pending FDA approval, in the second half of 2020. We expect SPN-812, if approved, to have five year market exclusivity given its NCE status in the U.S. Further, we are developing IP covering the novel synthesis process for the active ingredient in SPN-812, its novel use in ADHD and its novel extended release delivery.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SPN-812 Development Program</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initiated four Phase III clinical trials for SPN-812 in September 2017, three of which are clinically complete. The program consists of four three-arm, placebo-controlled trials: P301 and P303 trials in patients 6 years to 11 years old and P302 and P304 trials in patients 12-17 years old. We announced positive topline results from the pediatric trials (P301 and P303) and the first adolescent trial (P302) in December 2018. Results of the second adolescent Phase III trial (P304) are expected by the end of the first quarter of 2019. Refer to the Company's Annual Report on Form 10-K for the year ended December 31, 2017 for the results of the Phase IIb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903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680" w:hanging="532"/>
        <w:spacing w:after="0" w:line="198" w:lineRule="auto"/>
        <w:tabs>
          <w:tab w:leader="none" w:pos="54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MTA Cooperative Group, </w:t>
      </w:r>
      <w:r>
        <w:rPr>
          <w:rFonts w:ascii="Times New Roman" w:cs="Times New Roman" w:eastAsia="Times New Roman" w:hAnsi="Times New Roman"/>
          <w:sz w:val="18"/>
          <w:szCs w:val="18"/>
          <w:i w:val="1"/>
          <w:iCs w:val="1"/>
          <w:color w:val="auto"/>
        </w:rPr>
        <w:t>A 14-month randomized clinical trial of treatment strategies for attention-deficit/hyperactivity disorder</w:t>
      </w:r>
      <w:r>
        <w:rPr>
          <w:rFonts w:ascii="Times New Roman" w:cs="Times New Roman" w:eastAsia="Times New Roman" w:hAnsi="Times New Roman"/>
          <w:sz w:val="18"/>
          <w:szCs w:val="18"/>
          <w:color w:val="auto"/>
        </w:rPr>
        <w:t xml:space="preserve">, published December 1999 in </w:t>
      </w:r>
      <w:r>
        <w:rPr>
          <w:rFonts w:ascii="Times New Roman" w:cs="Times New Roman" w:eastAsia="Times New Roman" w:hAnsi="Times New Roman"/>
          <w:sz w:val="18"/>
          <w:szCs w:val="18"/>
          <w:i w:val="1"/>
          <w:iCs w:val="1"/>
          <w:color w:val="auto"/>
        </w:rPr>
        <w:t>Archives of General Psychiatry</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P301 and P303 Phase III trials</w:t>
      </w:r>
    </w:p>
    <w:p>
      <w:pPr>
        <w:spacing w:after="0" w:line="22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Both studies were randomized, double-blind, placebo controlled, multicenter, parallel group clinical trials in children 6 years to 11 years of age diagnosed with ADHD. Each treatment was administered orally once a day over five weeks in study P301 and seven weeks in study P302, after the titration phase.</w:t>
      </w:r>
    </w:p>
    <w:p>
      <w:pPr>
        <w:spacing w:after="0" w:line="17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A total of 477 patients were randomized in the P301 study across placebo and two doses of SPN-812 (100mg/200mg). A total of 313 patients were randomized in the P303 study across placebo and two doses of SPN-812 (200mg/400mg). The primary objective of both studies was to assess the effect of SPN-812 in reducing the symptoms of ADHD in children. The primary outcome measure was the change from baseline to the end of the study in the ADHD Rating Scale (RS)-5 total score. Safety and tolerability of SPN-812 were assessed by the monitoring of AEs, clinical laboratory tests, vital signs, ECGs, suicidality and physical examinations. Patients who completed the study were offered the opportunity to continue into an open-label phase that is currently on-going.</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6, 2018, we announced positive topline results from our Phase III studies of SPN-812 in children for the treatment of ADHD. The trials were successful in meeting the primary endpoint, demonstrating that SPN-812 at daily doses of 100mg and 200mg in study P301 and 200mg and 400mg in study P303 achieved a statistically significant improvement in the symptoms of ADHD from baseline to end of study as measured by the ADHD-RS-5. All SPN-812 doses tested in the trials were well tolerated.</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end of the P301 Study, SPN-812 100 mg and 200 mg doses reached statistical significance compared to placebo in the primary endpoint. Patients receiving SPN-812 100 mg and 200 mg had a –16.6 point change (p=0.0004) and a–17.7 point change (p&lt;0.0001) from baseline, respectively, in the primary endpoint vs. – 10.9 for placebo at week 6. This primary result, based on Mixed Model Repeated Measures (MMRM) analysis in the Intent-To-Treat (ITT) population, was confirmed by sensitivity analyses using Analysis of Covariance (ANCOVA) (100 mg, p=0.0008; 200 mg, p&lt;0.0001).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demonstrated fast onset of action, reaching statistical significance for 100 mg and 200 mg doses as early as week 1 with p- values of 0.0004 and</w:t>
      </w:r>
    </w:p>
    <w:p>
      <w:pPr>
        <w:spacing w:after="0" w:line="21"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6"/>
          <w:szCs w:val="16"/>
          <w:color w:val="auto"/>
        </w:rPr>
        <w:t>0.0244, respectively. Statistical significance was maintained on a weekly basis through the end of the trial at week 6. In addition, at the end of the study, SPN-812 100 mg and 200 mg reached statistical significance compared to placebo on the hyperactivity/impulsivity and inattention subscales of the ADHD-RS-5 scale with p- values ranging from &lt;0.0001 to 0.0026. Finally, SPN-812 100 mg and 200 mg met all secondary endpoints, including the important analysis of the Clinical Global Impression Improvement (CGI-I) secondary endpoint, with p- values of 0.002 and &lt;0.0001, respectively, compared to placebo.</w:t>
      </w:r>
    </w:p>
    <w:p>
      <w:pPr>
        <w:spacing w:after="0" w:line="16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At the end of the P303 Study, SPN-812 200 mg and 400 mg doses reached statistical significance compared to placebo in the primary endpoint. Patients receiving SPN-812 200 mg and 400 mg had a –17.6 point change (p=0.0038) and a –17.5 point change (p=0.0063) from baseline, respectively, in the primary endpoint vs. – 11.7 for placebo at week 8. This primary result, based on MMRM analysis in the ITT population, was confirmed by sensitivity analyses using ANCOVA (200 mg, p=0.0058; 400 mg, p&lt;0.0121). Onset of action for SPN-812 showed clear differences compared to placebo starting by week 1, reaching statistical significance at week 5, which was sustained through the rest of the trial. Similar to the P301 study, at the end of the P303 study, SPN-812 200 mg and 400 mg reached statistical significance compared to placebo on the hyperactivity/impulsivity and inattention subscales of the ADHD-RS-5 scale with p- values ranging from 0.0020 to 0.0248. In addition, SPN-812 200 mg and 400 mg met the CGI-I secondary endpoint with p- values of 0.0028 and 0.0099, respectively, compared to placebo.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Overall, both trials exhibited favorable tolerability and safety profiles with low incidence of AEs across all doses. AEs were mild leading to low discontinuation rates due to AEs of 2.2% to 4.8%. Treatment related AEs that reported at more than or equal to 5% for SPN-812 were somnolence, headache, decreased appetite, fatigue and upper abdominal pain.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P302 Phase III trial</w:t>
      </w:r>
    </w:p>
    <w:p>
      <w:pPr>
        <w:spacing w:after="0" w:line="227"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On December 20, 2018, we announced positive topline results from the P302 Phase III study of SPN-812 in patients 12 to 17 years old for the treatment of ADHD. The trial was successful in meeting the primary endpoint, demonstrating that SPN-812 at daily doses of 200 mg and 400 mg achieved a statistically significant improvement in the symptoms of ADHD from baseline to end of study as measured by the ADHD-RS-5. Each of the SPN-812 doses tested in the trials was well tolerated.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study is a randomized, double-blind, placebo controlled, multicenter, parallel group clinical trial in adolescents 12 to 17 years of age diagnosed with ADHD.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treatment was administered orally once a day over six weeks, including the titration phase of the 400 mg dose group.</w:t>
      </w:r>
    </w:p>
    <w:p>
      <w:pPr>
        <w:spacing w:after="0" w:line="213"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A total of 310 patients were randomized across placebo and two doses of SPN-812 (200mg/400mg). The primary objective was to assess the effect of SPN-812 in reducing the symptoms of ADHD in adolescents 12 to 17 years old. The primary outcome measure was the change from baseline to the end of the study in the ADHD-RS-5 total score. Safety and tolerability of SPN-812 were assessed by the monitoring of AEs, clinical laboratory tests, vital signs, ECGs, suicidality and physical examinations. Patients who completed the study were offered the opportunity to continue into an open-label phase that is currently on-going.</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P302 Study, SPN-812 200 mg and 400 mg doses reached statistical significance compared to placebo in the primary endpoint. Patients receiving SPN-812 200 mg and 400 mg had a –16.0 point change (p=0.0232) and a –16.5 point change (p=0.0091) from baseline, respectively, in the primary endpoint vs. – 11.4 for placebo at week 6. This primary result, based on MMRM analysis in the Intent-To-Treat (ITT) population, was confirmed by sensitivity analyses using ANCOVA (200 mg, p=0.0163; 400 mg, p=0.0055).</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study demonstrated fast onset of action, reaching statistical significance for the 400 mg dose as early as week 1 with a p-value of 0.0085, and maintaining statistical significance on a weekly basis through the end of the trial at week 6. Onset of action for the 200 mg dose showed clear differences compared to placebo starting by week 1, reaching statistical significance at week 3, which was sustained through the rest of the trial. Similar to the P301 and P303 studies, at the end of the P302 study, SPN-812 200 mg and 400 mg reached statistical significance compared to placebo on the hyperactivity/impulsivity and inattention subscales of the ADHD-RS-5 scale with p-values ranging from 0.0005 to 0.0424. In addition, SPN-812 200 mg and 400 mg met the CGI-I secondary endpoint with p-values of 0.0042 and 0.0003, respectively, compared to placebo.</w:t>
      </w:r>
    </w:p>
    <w:p>
      <w:pPr>
        <w:spacing w:after="0" w:line="193"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Overall, the trial exhibited favorable tolerability and safety profiles with low incidence of AEs across all doses. AEs were mild leading to low discontinuation rates due to AEs of 1.9% to 4.1%. Treatment related AEs that reported at more than or equal to 5% for SPN-812 were somnolence, fatigue, decreased appetite, headache and nausea.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SPN-810 (molindone hydrochloride)</w:t>
      </w:r>
    </w:p>
    <w:p>
      <w:pPr>
        <w:spacing w:after="0" w:line="227" w:lineRule="exact"/>
        <w:rPr>
          <w:sz w:val="20"/>
          <w:szCs w:val="20"/>
          <w:color w:val="auto"/>
        </w:rPr>
      </w:pPr>
    </w:p>
    <w:p>
      <w:pPr>
        <w:jc w:val="both"/>
        <w:ind w:right="140"/>
        <w:spacing w:after="0" w:line="310" w:lineRule="auto"/>
        <w:rPr>
          <w:sz w:val="20"/>
          <w:szCs w:val="20"/>
          <w:color w:val="auto"/>
        </w:rPr>
      </w:pPr>
      <w:r>
        <w:rPr>
          <w:rFonts w:ascii="Times New Roman" w:cs="Times New Roman" w:eastAsia="Times New Roman" w:hAnsi="Times New Roman"/>
          <w:sz w:val="16"/>
          <w:szCs w:val="16"/>
          <w:color w:val="auto"/>
        </w:rPr>
        <w:t>We are developing SPN-810 as a novel treatment for IA in patients who have ADHD. Molindone hydrochloride was previously marketed in the United States as an anti-psychotic drug to treat schizophrenia in patients, under the trade name Moban, albeit at much higher dosages (up to 225mg/day) than we are using in our development program (36 and 54 mg/day). Moban has not been commercially available since 2010 and the FDA has confirmed that the withdrawal from the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market was not due to issues with safety or efficacy. A generic-equivalent approval is listed in the FDA's Orange Book. Molindone hydrochloride is differentiated from other anti-psychotic drugs in that it is less likely to be associated with weight gain and, in preclinical models, has not caused increases in prolactin levels as seen with other anti-psychotic drugs.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the lower doses tested for the proposed indication of IA in ADHD should be better tolerated than the higher doses approved to treat schizophrenia. If we are successful in developing SPN-810 as a novel treatment for IA in patients who have ADHD, we may then develop the product as a candidate for treating other indications; e.g., patients with IA in autism, PTSD, bipolar disorder, Alzheimer's and other forms of dementia. In the aggregate, we believe the addressable market for SPN-810 is greater than $6.3 billion, including $3.2 billion in ADHD, $0.8 billion in autism and $2.3 billion in PTSD. We are developing IP covering the novel synthesis process for the active ingredient in SPN-810, its novel use in IA and its novel extended release delivery.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SPN-810 Development Program: Phase III Trials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SPN-810 has been granted fast-track designation by the FDA. Our first Phase III clinical trial (P301) was designed under a Special Protocol Assessment (SPA) with the FDA, using a novel measurement scale developed by us. The second Phase III clinical trial (P302), which is also being conducted in children, uses the same trial design of P301 and the same novel measurement scale except that under the SPA, an interim analysis was conducted in the P301 trial. The purpose of the interim analysis was to assess the efficacy of the doses being tested and to allow for optimization of the trial design of both trials. The interim analysis was completed in 2017 and, as a result, we discontinued the 18 mg dose arm. Moving forward, all patients in each of the two trials are randomized to either the 36 mg dose arm or placebo.</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first Phase III trial (P301) has reached its original enrollment target with data originally scheduled to be released in the second quarter of 2019. However, given that the data readout from the second trial (P302) is now expected in the second half of 2019, we have decided to keep enrolling in the P301 trial until data from both trials can be released concurrently instead of sequentially. We believe this change in the plan has no impact on the timing of the NDA filing because the completion of the second Phase III trial (P302) and the generation of data from the adolescent patient population (P503) are now rate-limiting for the NDA filing. We expect to submit the NDA for SPN-810 in the second half of 2020, and to launch it, pending FDA approval, in the second half of 2021.</w:t>
      </w:r>
    </w:p>
    <w:p>
      <w:pPr>
        <w:spacing w:after="0" w:line="19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Patients completing the Phase III trials can continue treatment under our open label extension trial. Enrollment from the P301 and P302 trials into the open label extension trial continues at 90% or higher. On average, a patient in the open label extension study stays on SPN-810 for approximately 10 months, which we believe is an encouraging sign of both tolerability and efficacy of SPN-810.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patient enrollment began in December 2018 in a Phase III trial for SPN-810 (P503) treating IA in adolescents who have ADHD.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SPN-810 Development Program: Phase II Trials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completed a Phase IIb multicenter, randomized, double-blind, placebo-controlled trial in the United States in pediatric subjects 6 to 12 years of age diagnosed with ADHD and with IA that is not controlled by optimal stimulant and behavioral therapy. The primary objective of the study was to assess the effect of SPN-810 in reducing IA as measured by the Retrospective-Modified Overt Aggression Scale (R-MOAS) after at least three weeks of treatment. Secondary endpoints included the rate of remission of IA and measurement of the effectiveness of SPN-810 on the Clinical Global Impression (CGI) and ADHD scales as well as evaluation of the safety and tolerability of the drug. Patients who completed the study were offered the opportunity to continue into an open-label phase of six months duration.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Analysis of treatment was performed using both parametric and non-parametric statistical methods. The parametric method assumes that data are normally distributed. Under this method, mean results of each treatment group at the end of three weeks of treatment were compared to the baseline R-MOAS score for each of the four dose groups (high, medium, low and placebo) using the t-test. The non-parametric method does not assume that data are normally distributed. Under this method, the median results of the change in R-MOAS score from baseline at the end of three weeks of treatment were computed for each of the four dose groups (high, medium, low and placebo). These were compared using the Wilcoxon Rank-sum test. Statistical analyses were performed to compare the median of each of the treatment groups (high, medium, and low versus placebo) at the end of three weeks of treatment. The change in score from baseline to visit 10 was used as the outcome variable.</w:t>
      </w:r>
    </w:p>
    <w:p>
      <w:pPr>
        <w:spacing w:after="0" w:line="195"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There was a statistically significant difference between the low dose and placebo (p=0.031) and also between the medium dose and placebo (p=0.024) at the a=0.05 level. There was no statistically significant difference between the high dose and placebo. Both the medium dose and low dose were superior to placebo. These results convinced us that both low and medium doses were effective. This range of doses is being further evaluated in the on-going Phase III clinical trials.</w:t>
      </w:r>
    </w:p>
    <w:p>
      <w:pPr>
        <w:spacing w:after="0" w:line="1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 secondary efficacy variable was the proportion of children whose impulsive aggressive behavior remitted, with remission defined as R-MOAS £ 10 at the end of the study. Low and medium doses of SPN-810 showed statistically significant results versus placebo, with the percent of patients who experienced remission of impulsive aggressive behavior of 51.9% (p=0.009) and 40.0% (p=0.043), respectively.</w:t>
      </w:r>
    </w:p>
    <w:p>
      <w:pPr>
        <w:spacing w:after="0" w:line="186"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The CGI results (Severity and Improvement) are consistent with the findings on the R-MOAS scale, in that notable improvement (reduction in severity) occurred primarily in the low dose and medium dose groups. Scores on SNAP-IV Hyperactivity and Impulsivity items did not exhibit statistically significant differences across treatment groups, indicating that efficacy against IA was specific, rather than being efficacious against the underlying ADHD. Numerical trends in SNAP-IV Oppositional Defiant Disorder scores, while not always significant, consistently favored the low dose and medium dose groups over placebo.</w:t>
      </w:r>
    </w:p>
    <w:p>
      <w:pPr>
        <w:spacing w:after="0" w:line="157"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SPN-810 was well tolerated throughout the study across all doses. Sedation was the most frequently reported adverse reaction, with two subjects (7%) reporting this event in each of the four treatment groups, including the placebo group. The next most frequently reported adverse reaction was increased appetite with two subjects (7%) reporting this event in each of the three active treatment groups and one subject (3%) in the placebo group.</w:t>
      </w:r>
    </w:p>
    <w:p>
      <w:pPr>
        <w:spacing w:after="0" w:line="186"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t>The two serious AEs that occurred were not drug-related. One patient in the low dose arm and two patients in the medium dose arm had severe AEs that were considered either possibly or definitely related to the drug. Six patients in total discontinued the study because of AEs in the active treatment arms: one in low dose; two in medium dose; and three in the high dose arm. AEs requiring dose reduction were infrequent.</w:t>
      </w:r>
    </w:p>
    <w:p>
      <w:pPr>
        <w:spacing w:after="0" w:line="18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frequency of AEs associated with extra-pyramidal symptoms was also low and the events were reversible. The data are too sparse to evaluate dose-related aspects of these reports; thus, no clear dose-response relationship can be assessed. SPN-810 exhibited a very good safety and tolerability profile, with low incidence of AEs, and no unexpected, life threatening, or dose-limiting safety issues.</w:t>
      </w:r>
    </w:p>
    <w:p>
      <w:pPr>
        <w:spacing w:after="0" w:line="18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Phase IIb trial with SPN-810, which included 121 patients, showed that there was no meaningful difference in weight gain between patients treated with SPN-810 and those treated with placebo.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SPN-809 (viloxazine hydrochloride)</w:t>
      </w:r>
    </w:p>
    <w:p>
      <w:pPr>
        <w:spacing w:after="0" w:line="22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SPN-809 is a novel once-daily product candidate for the treatment of depression. SPN-809 incorporates the same active ingredient as SPN-812. We currently have an open investigational new drug application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(IND) for SPN-809 as a treatment for depression, the indication for which the active ingredient in SPN-809 was approved and marketed in Europe for many years. It was never approved in the U.S., for this indication.</w:t>
      </w:r>
    </w:p>
    <w:p>
      <w:pPr>
        <w:spacing w:after="0" w:line="1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Because SPN-809 contains the same active ingredient as SPN-812, we expect that many of our activities related to the development of SPN-812 will also benefit the development of SPN-809.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SPN-604 (extended release oxcarbazepine for bipolar)</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continue to progress our plans to initiate pivotal Phase III studies for the treatment of bipolar disorder in the second half of 2019. If approved, this would represent the first approval for treatment of bipolar patients with oxcarbazepine in the U.S. Recently, we completed certain activities, including market research and claims database analysis on the use of oxcarbazepine in bipolar patients. We will be using information generated from these activities to finalize plans for the pivotal Phase III trials.</w:t>
      </w:r>
    </w:p>
    <w:p>
      <w:pPr>
        <w:spacing w:after="0" w:line="190"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related to the continued development of each of our product candidates from 2019 through FDA approval or until the program terminates. We incurred total research and development expense of $89.2 million, $49.6 million and $42.8 million for the years ended December 31, 2018, 2017 and 2016,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ADHD Competition</w:t>
      </w:r>
    </w:p>
    <w:p>
      <w:pPr>
        <w:spacing w:after="0" w:line="22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Competition in the U.S. ADHD market has increased with the commercial launch of several products in recent years, including the launch of generic versions of branded drugs, such as Adderall XR, Intuniv and Strattera.</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Treatment options for ADHD in the U.S. market can be broadly classified as either stimulants or non-stimulants. Shire Plc is one of the leaders in the U.S. ADHD market with four marketed products: Vyvanse, a stimulant drug product launched in 2007; Intuniv, a non-stimulant treatment launched in November 2009; Adderall XR, an extended release stimulant treatment designed to provide once-daily dosing, launched in October 2001; and Mydayis, a stimulant treatment launched in August 2017. Other marketed stimulant products for the treatment of ADHD in the U.S. include the following once-daily formulations: Mydayis, Concerta, Metadate CD, Ritalin LA, Focalin XR, Daytrana, Adzenys XR-ODT, Cotempla XR ODT and Aptensio XR. Other marketed non-stimulants in the U.S. include Strattera and Kapvay.</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also aware of clinical development efforts by several organizations including Sunovion, Ironshore/Highland and Otsuka to develop additional treatment options for ADHD. Sunovion recently filed its non-stimulant product, dasotraline, with the FDA in September of 2017 for treatment of adults, children and adolescents with ADHD and received a non-approvable letter. In 2018, Ironshore/Highland received FDA approval of Jornay PM, a new stimulant product that is expected to be launched in 2019.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Technology Platforms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 successful track record of developing novel, products by applying proprietary technologies to known drugs to improve existing therapies and to enable the treatment of new indications. Our key proprietary technology platforms include Microtrol, Solutrol and EnSoTrol. These technologies create novel, customized product profiles designed to enhance efficacy, reduce the frequency of dosing, and improve patient compliance and tolerability. We have employed our technologies in the development of a total of ten products that are currently on the market, including Trokendi XR and Oxtellar XR, along with eight products being marketed by our partners. Trokendi XR uses the Microtrol multiparticulate delivery platform and Oxtellar XR uses the Solutrol matrix delivery platform. EnSoTrol was utilized to develop Orenitram, an oral formulation of treprostinil diethanolamine, or treprostinil, which was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launched by United Therapeutics Corporation in 2014. Microtrol was utilized to develop Mydayis, which was launched by Shire in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Exclusivity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been building and continue to build our IP portfolio relating to our products and product candidates, including Oxtellar XR and Trokendi XR. We seek patent protection, where appropriate, in the U.S. and internationally for our products and product candidates. Our policy is to protect our innovations and proprietary products by, among other things, filing patent applications in the U.S. and abroad, including Europe, Canada and other countries when appropriate. We also rely on trade secrets, know-how, continuing technological innovation and in-licensing opportunities to develop and maintain our proprietary position.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technology.</w:t>
      </w:r>
    </w:p>
    <w:p>
      <w:pPr>
        <w:spacing w:after="0" w:line="19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the technologies and products we consider important to our business, our ability to defend our patents and our ability to preserve the confidentiality of our trade secrets and operate our business without infringing the patents and proprietary rights of third 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established and continue to build proprietary positions for Oxtellar XR, Trokendi XR, our pipeline product candidates and our technologies in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abroad.</w:t>
      </w:r>
    </w:p>
    <w:p>
      <w:pPr>
        <w:spacing w:after="0" w:line="21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Patents for both Oxtellar XR and Trokendi XR have received numerous challenges, in the form of Paragraph IV Notice Letters and we have filed claims for infringement of our patents against the third-parties. On Oxtellar XR, the Company prevailed in its litigation against the third parties, and therefore, we expect that Oxtellar XR will have patent protection through the expiry of its patents in 2027. On Trokendi XR, the Company entered into settlement agreements that allow third parties to enter the market on January 1, 2023, or earlier under certain circumstances. For more information, please see Part I, Item 3—</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Proceedings </w:t>
      </w:r>
      <w:r>
        <w:rPr>
          <w:rFonts w:ascii="Times New Roman" w:cs="Times New Roman" w:eastAsia="Times New Roman" w:hAnsi="Times New Roman"/>
          <w:sz w:val="18"/>
          <w:szCs w:val="18"/>
          <w:color w:val="auto"/>
        </w:rPr>
        <w:t>contained in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extended release oxcarbazepine patent portfolio currently includes eleven U.S. patents, eight of which cover Oxtellar XR. We have also obtained two patents each for extended release oxcarbazepine in Europe and Australia, and one patent each in Canada, Japan, China and Mexico. In addition, we have certain pending U.S. patent applications that cover various extended release formulations containing oxcarbazepine. The eight issued U.S. patents covering Oxtellar XR will expire no earlier than 2027. We own all of the issued patents and the pending patent applications.</w:t>
      </w:r>
    </w:p>
    <w:p>
      <w:pPr>
        <w:spacing w:after="0" w:line="190"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In addition to the patents and patent applications relating to Oxtellar XR, we currently have nine U.S. patents that cover Trokendi XR. We have one patent issued each in Mexico, Australia, Japan and Canada for extended release topiramate. We also have two patents issued in Europe for extended release topiramate. The nine issued U.S. patents covering Trokendi XR will expire no earlier than 2027. We own all of the issued patents and pending patent applications.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 portfolio also contains patent applications relating to our other pipeline products.</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With regard to our SPN-810 product candidate, we are developing an IP position covering the novel process of synthesis of the active ingredient, its novel use in IA and novel formulation. We have four families of pending U.S. non-provisional and foreign counterpart patent applications relating to our SPN-810 product candidate. Patents, if issued, could have terms expiring from 2029 to 2033. We have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two patents issued in the U.S., and one patent issued each in Canada, Mexico, Europe, Australia and Japan, covering modified release formulations of molindone hydrochloride. In another patent family, covering the novel process of synthesis of the active ingredient, we have four patents issued in the U.S, two patents issued in Japan, and one patent issued each in Europe, Mexico, and Australia. The third patent family, covering use of molindone hydrochloride in treating aggression, includes three patents issued in the U.S., two patents issued each in Japan and Austrailia, and one patent issued in Canada. We own all of the issued and pending patent applications.</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regard to our SPN-812 product candidate, we have three families of pending U.S. non-provisional and foreign counterpart patent applications. Patents, if issued, could expire from 2029 to 2033. We have one patent issued each in Europe and Canada, covering a method of treating ADHD using viloxazine. In another family, covering the novel process of active ingredient synthesis, we have four patents issued in the U.S., five patents issued in Mexico, and one patent issued each in Europe, Japan, Canada and Australia. We have three patents issued in the U.S. covering modified release formulations of viloxazine and one patent issued in Japan, Mexico and Australia. We own all of the issued patents and the pending patent applications.</w:t>
      </w:r>
    </w:p>
    <w:p>
      <w:pPr>
        <w:spacing w:after="0" w:line="193"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The U.S. patent system permits the filing of provisional and non-provisional patent applications. A non-provisional patent application is examined by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by patent term adjustment (PTA), which compensates a patentee for administrative delays by the USPTO in granting a patent. In view of a recent court decision, the USPTO is under greater scrutiny regarding its calculations of PTAs because the USPTO erred in calculating the PTA in that case, which resulted in denying the patentee a portion of the patent term to which it was entitled. Alternatively, a patent's term may be shortened if a patent is terminally disclaimed over another patent.</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evaluating the patentability of a claimed invention, the filing date of a non-provisional patent application is used by the USPTO to determine what information is prior art.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may also be eligible for patent term extension (PTE), which permits patent term restoration as compensation for the patent term lost during the FDA regulatory review process. The Drug Price Competition and Patent Term Restoration Act of 1984, or the Hatch-Waxman Amendments, permits a PTE of up to five years beyond the expiration of the patent. The length of the PTE is related to the length of time the drug is under regulatory review. Patent extension cannot extend the remaining term of a patent beyond a total of 14 years from the date of product approval. Only one patent applicable to an approved drug may be extended. Similar provisions are available in Europe and other foreign jurisdictions to extend the term of a patent that covers an approved drug. In the future, if and when our pharmaceutical products receive FDA or other regulatory approval, we may be able to apply for PTEs on patents covering those products. Depending upon the timing, duration and specifics of FDA approval of our SPN-810 and SPN-812 product candidates and issuance of a U.S. patent, we may obtain a U.S. patent that is eligible for limited patent term restoration.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Intellectual Property Rights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seek trademark protection in the U.S. and internationally where available and when appropriate. We have filed for trademark protection for several marks, which we use in connection with our pharmaceutical research and development collaborations as well as with products. We are the owner of various U.S. federal trademark registrations (®) and registration applications (™), including the following marks referred to in this Annual Report on Form 10-K pursuant to applicable U.S. intellectual property laws: "Supernus®," "Microtrol®," "Solutrol®," "Trokendi XR®," "Oxtellar XR®," and the registered Supernus Pharmaceuticals logo.</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find it necessary or prudent to obtain licenses from third party IP holders. Where licenses are readily available at reasonable cost, such licenses are considered a normal cost of doing business. In other instances, however, we may use the results of freedom-to-operate inquiries and internal analyses to guide our early-stage research away from areas where we are likely to encounter obstacles in the form of third party IP. For example, where a third party holds relevant IP and is a direct competitor, a license might not be available on commercially reasonable terms or at all. We strive to identify potential third party IP issues in the early stages of our research programs in order to minimize the cost and disruption of resolving such issues.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protect our competitive position, it may be necessary to enforce our patent rights through litigation against infringing third parties. We presently have a lawsuit pending against TWi Pharmaceuticals Inc. to enforce our patent rights concerning Oxtellar XR patents. See Part I, Item 3—</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Litigation to enforce our own patent rights is subject to uncertainties that cannot be quantified in advance. In an adverse outcome in litigation, we could be prevented from commercializing a product or using certain aspects of our technology platforms if patent infringement claims are asserted against us. This could have a material adverse effect on our business. In addition, litigation involving our patents carries the risk that one or more of our patents will be held invalid (in whole or in part, on a claim-by-claim basis) or held unenforceable. Such an adverse court ruling could allow third parties to commercialize products or use technologies that are similar to ours, and then compete directly with us, without payment to us. See Part I, Item 1A Risk Factor: "If we are sued for infringing intellectual property rights of third parties, it could be costly and time consuming to defend such a suit. An unfavorable outcome in that litigation could have a material adverse effect on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Afecta Pharmaceuticals, Inc.</w:t>
      </w:r>
    </w:p>
    <w:p>
      <w:pPr>
        <w:spacing w:after="0" w:line="2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have two license agreements with Afecta Pharmaceuticals, Inc. (Afecta) pursuant to which we obtained exclusive worldwide rights to selected product candidates, including an exclusive license to SPN-810. We may pay up to $300,000 upon the achievement of certain milestones. If a product candidate is successfully developed and commercialized, we will be obligated to pay royalties to Afecta at a rate in the low-single digits, based on worldwide net product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Rune HealthCare Limited</w:t>
      </w:r>
    </w:p>
    <w:p>
      <w:pPr>
        <w:spacing w:after="0" w:line="2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have a purchase and sale agreement with Rune HealthCare Limited (Rune) where we obtained the exclusive worldwide rights to a product concept from Rune for SPN-809. If we receive approval to market and sell any products covered by the agreement, we will be obligated to pay royalties to Rune at a rate in the low-single digits, based on worldwide net sales.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SPN-817</w:t>
      </w:r>
    </w:p>
    <w:p>
      <w:pPr>
        <w:spacing w:after="0" w:line="229"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We obtained worldwide rights, excluding certain markets in Asia where rights have been out-licensed, to SPN-817, which has received an Orphan Drug designation from the FDA for the treatment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Dravet Syndrome, a severe form of childhood epilepsy. These rights were obtained through our acquisition of Biscayne. We may be obligated to pay additional payments if certain milestones are met including $73 million contingent on achieving certain development milestones and up to $95 million contingent upon achieving certain sales milestones. In addition, we will be obligated to pay a low single digit royalty on net sales to Biscayne and any applicable royalties to third parties for the use of in-licensed IP. The maximum combined royalty we will pay to all parties is approximately 12% depending on the IP covering the marketed product and the applicable tiered sales levels.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 Information and Inventions Assignment Agreements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require our employees, temporary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 The agreements provide that all inventions resulting from work performed for us or relating to our business and conceived or completed by the individual during employment or assignment, as applicable, shall be our exclusive property to the extent permitted by applicable law.</w:t>
      </w:r>
    </w:p>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seek to protect our products, product candidates and our technologies through a combination of patents, trade secrets, proprietary know-how, FDA exclusivity and contractual restrictions on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drug, proposed labeling and other relevant information are submitted to the FDA as part of the approval process for a new drug, filed as an NDA. The NDA requests approval to market the product. The submission of an NDA is subject to the payment of a substantial user fee, although a waiver of such fee may be obtained under certain limited circumstances.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activities encompass two types of NDAs: the Section 505(b)(1) NDA (Full NDA) and the Section 505(b)(2) NDA. A Section 505(b)(1), which is a Full NDA, must contain all pertinent information and full reports of investigations conducted by the applicant to demonstrate the safety and effectiveness of the drug and complete preclinical, clinical and manufacturing information. The 505(b)(2) regulatory approval process is designed to allow for potentially expedited, lower cost and lower risk regulatory approval based on previously established safety, efficacy and manufacturing information on a drug that has been already approved by the FDA for the same or a different indication. For a 505(b)(2) application, the FDA permits the submission of an NDA where at least some of the information required for approval comes from clinical trials not conducted by or for the applicant and for which the applicant has not obtained a right of reference. The FDA interprets Section 505(b)(2) of the Federal Food, Drug, and Cosmetic Act (FDCA) to permit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w:t>
      </w:r>
    </w:p>
    <w:p>
      <w:pPr>
        <w:spacing w:after="0" w:line="193"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We will need to file a Section 505(b)(1) NDA for SPN-812 and for certain products in the future. A 505(b)(1) NDA for SPN-812 carries a higher degree of regulatory approval risk than a 505(b)(2) NDA. In addition, a requirement for more extensive testing and development for some other reason can adversely impact our ability to compete with alternative products that arrive on the market more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quickly than our product candidate. In addition, the time and financial resources required to obtain FDA approval for SPN-812 could substantially and materially increase. After Supernus gains one approval for SPN-812, additional indications may be considered for NDA applications using the 505(b)(2) regulatory pathway. The FDA may not approve of our filing under Section 505(b)(2) for SPN-812 for other indication(s), such as PTSD, and therefore would require a full NDA filing. In such a case, the time and financial resources required to obtain approval could also significantly increase.</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In addition, under the Pediatric Research Equity Act of 2003 (PREA), which was reauthorized under the Food and Drug Administration Safety and Innovation Act of 2012, an NDA must contain,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propose clinical work that supports the product's use in all relevant pediatric subpopulations. The FDA may grant deferrals for submission of data or full or partial waivers of the data requirements.</w:t>
      </w:r>
    </w:p>
    <w:p>
      <w:pPr>
        <w:spacing w:after="0" w:line="18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Pursuant to the FDA's approval of Oxtellar XR, we committed to conduct four pediatric post-marketing studies; however, the FDA granted a waiver for the pediatric study requirements for ages from birth to one month and a deferral for submission of post-marketing assessments for children one month to six years of age.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FDA's approval of Trokendi XR, the FDA granted a deferral for submission of post-marketing pediatric studies in the following categories:</w:t>
      </w:r>
    </w:p>
    <w:p>
      <w:pPr>
        <w:spacing w:after="0" w:line="21" w:lineRule="exact"/>
        <w:rPr>
          <w:sz w:val="20"/>
          <w:szCs w:val="20"/>
          <w:color w:val="auto"/>
        </w:rPr>
      </w:pPr>
    </w:p>
    <w:p>
      <w:pPr>
        <w:jc w:val="both"/>
        <w:ind w:right="120" w:firstLine="8"/>
        <w:spacing w:after="0" w:line="255"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adjunctive therapy in partial onset seizures (POS) for children one month to less than six years of age, (2) initial monotherapy in POS and PGTC for children two years to less than ten years of age, and (3) adjunctive therapy in PGTC and adjunctive therapy in Lennox-Gastaut Syndrome from two years to less than six years of age.</w:t>
      </w:r>
    </w:p>
    <w:p>
      <w:pPr>
        <w:spacing w:after="0" w:line="1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Since our product approvals, we have gained knowledge about our abilities to create formulations and successfully execute programs that would enable us to meet our deferred pediatric commitments. We have identified a need to renegotiate the commitments made at the time of NDA approvals for both Oxtellar XR and Trokendi XR. Supernus is actively interfacing with the FDA on these programs and these commitments.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505(b)(2) New Drug Applications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the extent that a Section 505(b)(2) NDA relies on clinical trials conducted for a previously approved drug product or the FDA's prior findings of safety and effectiveness for a previously approved drug product, the Section 505(b)(2) applicant must submit patent certifications in its Section 505(b)(2) application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such as, for example, five-year exclusivity for obtaining approval of an NCE, or three year exclusivity for an approval based on new clinical trials, or pediatric exclusivity, listed in the Orange Book for the referenced product, has expired.</w:t>
      </w:r>
    </w:p>
    <w:p>
      <w:pPr>
        <w:spacing w:after="0" w:line="19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 section 505(b)(2) NDA applicant must send notice of the Paragraph IV certification to the owner of the referenced NDA for the previously approved product and relevant patent holders within 20 days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9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IV testing which involves clinical trials designed to further assess a drug's safety and efficacy after NDA approval, and may require testing and surveillance programs to monitor the safety of approved products that have been commercialized.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22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The FDCA provides a five-year period of non-patent marketing exclusivity within the U.S. to the first applicant to gain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abbreviated new drug application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Such an NDA applicant would be required to conduct its own preclinical and adequate, well-controlled clinical trials to demonstrate safety and effectiveness, without reference to other clinical trials or data.</w:t>
      </w:r>
    </w:p>
    <w:p>
      <w:pPr>
        <w:spacing w:after="0" w:line="1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administration or strengths of an existing drug, or for a new use, if the new clinical investigations that were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19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exclusivity granted in the U.S. Pediatric exclusivity, if granted, provides an additional six months of exclusivity to be attached to any existing exclusivity (e.g., three or five year exclusivity) or patent protection for a drug. This six month exclusivity, which runs from the end of other exclusivity protection or patent delay, may be granted based on the voluntary completion of a pediatric trial in accordance with an FDA-issued "Written Request" for such a trial. The current pediatric exclusivity provision was reauthorized in September 2007.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majority of our product sales are to wholesalers and distributors who, in turn, sell the products to pharmacies, hospitals and other customers, including federal and state entities. Three customers, AmerisourceBergen Drug Corporation, Cardinal Health, Inc. and McKesson Corporation, individually accounted for more than 30% of our total revenue in 2018, and collectively accounted for 98% of our total revenue in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As of December 31, 2018, we employed 448 full-time employees; 104 employees are engaged in research and development activities and 344 employees are engaged in selling, general and administrative activities. We consider relations with our employees to be good. None of our employees is represented by a labor union.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Information</w:t>
      </w:r>
    </w:p>
    <w:p>
      <w:pPr>
        <w:spacing w:after="0" w:line="225"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www.supernus.com</w:t>
      </w:r>
      <w:r>
        <w:rPr>
          <w:rFonts w:ascii="Times New Roman" w:cs="Times New Roman" w:eastAsia="Times New Roman" w:hAnsi="Times New Roman"/>
          <w:sz w:val="18"/>
          <w:szCs w:val="18"/>
          <w:color w:val="auto"/>
        </w:rPr>
        <w:t>. Through a link on the Investor Relations portion of our website, you can access our filings with the Securities and Exchange Commission (SEC). You may request, orally or in writing, a copy of these filings, which will be provided to you at no cost, by contacting our investor relations department at our principal executive offices, which are located at 1550 East Gude Drive, Rockville, Maryland 20850. Information contained on our website is not a part of this Annual Report on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results of operations. In this eventuality, the market price of our common stock may decline and you could lose part or all of your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commercial success of Oxtellar XR and Trokendi XR.</w:t>
      </w:r>
    </w:p>
    <w:p>
      <w:pPr>
        <w:spacing w:after="0" w:line="22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 substantial amount of our resources are focused on maintaining and/or expanding the revenue generated by our approved products in the U.S., Oxtellar XR and Trokendi XR.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ability to generate significant product revenue from sales of Oxtellar XR and Trokendi XR in the near term will depend on, among other things, our ability to:</w:t>
      </w:r>
    </w:p>
    <w:p>
      <w:pPr>
        <w:spacing w:after="0" w:line="262"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 patents, intellectual property and products from competition, both branded and generic;</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commercial manufacturing arrangements with third-party manufacturers;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sufficiently large quantities of inventory of our products to meet demand;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 wide variety of internal sales, distribution and marketing capabilities sufficient to sustain and grow revenue;</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grow widespread acceptance of our products from physicians, health care payors, patients, pharmacists and the medical community;</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and obtain adequate reimbursement coverage of these products by governmental authorities, private health insurers, managed care organizations and other third-party payors;</w:t>
      </w:r>
    </w:p>
    <w:p>
      <w:pPr>
        <w:spacing w:after="0" w:line="187"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ongoing FDA labeling, packaging, storage, advertising, promotion, recordkeeping, safety and other post-market requirements;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to expand the labeling of our approved products for additional indications;</w:t>
      </w:r>
    </w:p>
    <w:p>
      <w:pPr>
        <w:spacing w:after="0" w:line="238"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claims by holders of patents and other IP rights that our products infringe their rights; and</w:t>
      </w:r>
    </w:p>
    <w:p>
      <w:pPr>
        <w:spacing w:after="0" w:line="187" w:lineRule="exact"/>
        <w:rPr>
          <w:rFonts w:ascii="Times New Roman" w:cs="Times New Roman" w:eastAsia="Times New Roman" w:hAnsi="Times New Roman"/>
          <w:sz w:val="18"/>
          <w:szCs w:val="18"/>
          <w:color w:val="auto"/>
        </w:rPr>
      </w:pPr>
    </w:p>
    <w:p>
      <w:pPr>
        <w:jc w:val="both"/>
        <w:ind w:left="1080" w:right="140" w:hanging="532"/>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including therapeutically equivalent products, which may be proven to be more clinically effective and cost-effective.</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no guarantees that we will be successful in completing these tasks. We will need to continue investing substantial financial and management resources to maintain our commercial sales and marketing infrastructure and to recruit and train qualified marketing, sales and other personnel. In addition, we have expressed certain long term revenue expectations. If we cannot achieve those revenue expectations with respect to Oxtellar XR and Trokendi XR, this could result in a material adverse impact on our anticipated revenue, earnings and liquidity.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Increases in sales of Oxtellar XR or Trokendi XR may slow for a variety of reasons, including competing products or safety issues. If we are not successful in broadening the current commercial acceptance of either Oxtellar XR or Trokendi XR, our business would be harmed.</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increase in sales of Oxtellar XR and Trokendi XR will be dependent on several factors, including our ability to educate physicians and to increase physician awareness and acceptance of the benefits and cost-effectiveness of our products relative to competing products. Our ability to increase market acceptance of any of our products or gain market acceptance of approved product candidates among physicians, patients, health care payors and the medical community will depend on a number of factors, including:</w:t>
      </w:r>
    </w:p>
    <w:p>
      <w:pPr>
        <w:spacing w:after="0" w:line="204"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evidence of safety and efficacy;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any adverse side effects;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branded and generic products;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Oxtellar XR and Trokendi XR are subject to continual review by the FDA. We cannot provide assurance that newly discovered or reported safety issues will not arise. With the use of any marketed drug by a wider patient population, serious AEs may occur from time to time that initially do not appear to be related to the drug itself. Any safety issues could cause us to suspend or cease marketing of our approved products, cause us to modify how we market our approved products, subject us to substantial liabilities and adversely affect our revenues and financial condition. In the event of a withdrawal of either Oxtellar XR or Trokendi XR from the market, our revenues would decline significantly and our business would be seriously harmed and could fail.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involved in lawsuits to protect or enforce our patents, which could be expensive, time consuming and unsuccessful.</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we may be required to file infringement claims, which can be expensive and time consuming. For example, we were involved in several matters related to Paragraph IV Certification Notice Letters that we received in connection with our products and our collaborators' products. In connection with an ANDA (Abbreviated New Drug Application), a Paragraph IV Certification Notice Letter notifies the FDA that one or more patents listed in the FDA's Orange Book is alleged to be invalid, unenforceable or will not be infringed by the ANDA product. These matters included claims related to Oxtellar XR, and are discussed in Part I, Item 3—</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any infringement proceeding, a court may decide that a patent of ours is not valid or 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Interference proceedings brought by the USPTO (U.S. Patent and Trademark Office) may be necessary to determine the priority of inventions with respect to our patents and patent applications or those of our collaborators. An unfavorable outcome could require us to cease using the technology or to attempt to license rights to it from the prevailing party. Our business could be harmed if a prevailing party does not offer us a license on terms that are acceptable to us or at all. Litigation or interference proceedings may fail. Even if successful, litigation may result in substantial costs and distraction of our management and other employees. We may not be able to prevent, alone or with our collaborators,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misappropriation of our proprietary rights, particularly in countries where the laws may not protect those rights as fully as in the United States.</w:t>
      </w:r>
    </w:p>
    <w:p>
      <w:pPr>
        <w:spacing w:after="0" w:line="225"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 or developments. If securities analysts or investors perceive these results to be negative, or perceive that the presence or continuation of these cases creates a level of uncertainty regarding our ability to increase or sustain products sales, it could have a substantial adverse effect on the price of our common stock. There can be no assurance that our product candidates will not be subject to the same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obtaining regulatory approval of our product candidates and for additional indications for existing products.</w:t>
      </w:r>
    </w:p>
    <w:p>
      <w:pPr>
        <w:spacing w:after="0" w:line="22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Our ability to successfully commercialize any of our product candidates and to obtain additional indications for existing products will depend on, among other things, our ability to:</w:t>
      </w:r>
    </w:p>
    <w:p>
      <w:pPr>
        <w:spacing w:after="0" w:line="187"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clinical trials;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marketing approvals from the FDA;</w:t>
      </w:r>
    </w:p>
    <w:p>
      <w:pPr>
        <w:spacing w:after="0" w:line="238"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sufficiently large quantities of our product candidates to permit successful clinical development and commercialization;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 manufacturing arrangements with third-party manufacturers;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strong sales, distribution and marketing capabilities sufficient to commercially launch our product candidates;</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acceptance of our product candidates from physicians, health care payors, pharmacies, wholesalers, patients and the medical community;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undertaking clinical trials and commercially launching product candidates.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no guarantees that we will be successful in completing these tasks. If we are unable to successfully complete these tasks, we may not be able to commercialize any of our product candidates in a timely manner, or at all, in which case we may be unable to maximize our revenues. In addition, if we experience unanticipated delays or problems, development costs could substantially increase and our business, financial condition and results of operations would likely be adversely affected.</w:t>
      </w:r>
    </w:p>
    <w:p>
      <w:pPr>
        <w:spacing w:after="0" w:line="18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for our product candidates may fail to demonstrate acceptable levels of safety, efficacy or any other requirements, which could prevent or significantly delay regulatory approval.</w:t>
      </w:r>
    </w:p>
    <w:p>
      <w:pPr>
        <w:spacing w:after="0" w:line="16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We may be unable to sufficiently demonstrate the safety and efficacy of our product candidates to obtain regulatory approval. We must demonstrate, with substantial evidence gathered in well-controlled studies and to the satisfaction of the relevant regulatory authorities, that each product candidate is safe and effective for use in the target indication. We may be required to conduct or perform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spacing w:after="0" w:line="19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Any product candidate that we in-license or acquire may require additional development prior to commercial sale, including formulation development, extensive clinical testing and approval by the FDA</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w:t>
      </w:r>
    </w:p>
    <w:p>
      <w:pPr>
        <w:spacing w:after="0" w:line="17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our clinical development programs might be terminated.</w:t>
      </w:r>
    </w:p>
    <w:p>
      <w:pPr>
        <w:spacing w:after="0" w:line="182"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Delays or failures in the completion of clinical development of our product candidates would increase our costs and delay or limit our ability to generate revenues.</w:t>
      </w:r>
    </w:p>
    <w:p>
      <w:pPr>
        <w:spacing w:after="0" w:line="16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spacing w:after="0" w:line="200" w:lineRule="exact"/>
        <w:rPr>
          <w:sz w:val="20"/>
          <w:szCs w:val="20"/>
          <w:color w:val="auto"/>
        </w:rPr>
      </w:pPr>
    </w:p>
    <w:p>
      <w:pPr>
        <w:ind w:left="1080" w:right="50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regulatory approval to commence a clinical trial or in complying with conditions imposed by a regulatory authority regarding the scope or term of a clinical trial;</w:t>
      </w:r>
    </w:p>
    <w:p>
      <w:pPr>
        <w:spacing w:after="0" w:line="200"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Clinical Research Organization (CRO) trial sites and investigators, the terms of which can be subject to extensive negotiation and may vary significantly;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quantity of a product candidate for use in trials;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Investigational Research Board (IRB) or ethics committee approval to conduct a trial at a prospective site;</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patients to participate in clinical trials for a variety of reasons, including competition from other programs for the treatment of similar conditions;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patients who have enrolled in a clinical trial but may be prone to withdraw due to side effects from the therapy, lack of efficacy or personal issues;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cessation of clinical trials (clinical holds);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be delayed as a result of ambiguous or negative interim results.</w:t>
      </w:r>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Clinical trials may be suspended or terminated by us, at a trial site by a Data Safety Monitoring Board (DSMB) or ethics committee overseeing the clinical trial, the FDA, or other regulatory authorities due to a number of factors, including:</w:t>
      </w:r>
    </w:p>
    <w:p>
      <w:pPr>
        <w:spacing w:after="0" w:line="187"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w:t>
      </w:r>
    </w:p>
    <w:p>
      <w:pPr>
        <w:spacing w:after="0" w:line="252"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inspection of the clinical trial operations or trial sites by the FDA or other regulatory authorities that ultimately result in the imposition of a delay or clinical hold;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trial.</w:t>
      </w:r>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these changes. Amendments may require us to resubmit our clinical trial protocols to IRBs or ethics committees for reexamination, which may adversely impact the costs, timing and/or successful completion of a clinical trial.</w:t>
      </w:r>
    </w:p>
    <w:p>
      <w:pPr>
        <w:spacing w:after="0" w:line="174"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6"/>
          <w:szCs w:val="16"/>
          <w:color w:val="auto"/>
        </w:rPr>
        <w:t>In addition, many of the factors that cause or lead to a delay in the commencement or completion of clinical trials may also ultimately lead to the denial of regulatory approval of our product candidates. If we experience delays in completion of, or if we terminate any of our clinical trials, our ability to obtain regulatory approval for our product candidates may be materially harmed, and our commercial prospects and ability to generate product revenues diminished.</w:t>
      </w:r>
    </w:p>
    <w:p>
      <w:pPr>
        <w:spacing w:after="0" w:line="14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development and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 as a whole.</w:t>
      </w:r>
    </w:p>
    <w:p>
      <w:pPr>
        <w:spacing w:after="0" w:line="1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Immediate release oxcarbazepine and topiramate products, which use the same APIs (Active Product Ingredient) as Oxtellar XR and Trokendi XR, are known to cause various side effects, including but not limited to dizziness, paresthesia, headaches, cognitive deficiencies such as memory loss and speech impediment, digestive problems, somnolence, double vision, gingival enlargement, nausea, weight gain, oral malformation birth defects, visual field defects, infant small for gestational age and fatigue. The use of Oxtellar XR and Trokendi XR may cause similar side effects as compared to their reference products, or may cause additional or different side effects.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Products that were or are currently on the market and use the same API as our product candidates, SPN-810, SPN-812 (drug products), SPN-817 (dietary supplements) and SPN-604, were known to cause various side effects, including but not limited to drowsiness, depression, hyperactivity, euphoria, extrapyramidal reactions, nausea, headache, diarrhea, vomiting, sleep difficulties, agitation, exacerbation of anxiety, sleepiness, mouth dryness, tachycardia, constipation and urinary difficulties. The labels for those products also included precautions and warnings about, among other things, tardive dyskinesia, neuroleptic malignant syndrome, elevation of prolactin levels, convulsive events in patients that are treated for or have a prior history of epilepsy, inhibition of hepatic metabolism of certain drugs, risk of suicide before antidepressant clinical improvement, need for monitoring patients with cardiac, hepatic or renal insufficiency, or patients at risk for angle-closure glaucoma. The use of SPN-810, SPN-812, SPN-817 and SPN-604 may cause similar side effects as compared to these reference products, or may cause additional or different side effects.</w:t>
      </w:r>
    </w:p>
    <w:p>
      <w:pPr>
        <w:spacing w:after="0" w:line="1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w:t>
      </w:r>
    </w:p>
    <w:p>
      <w:pPr>
        <w:spacing w:after="0" w:line="187"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product candidate or otherwise require us to take the approved product off the market;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a narrowing of the indication, on the product label;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proper use of the medication and risks of side effects, for distribution to patients;</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the product in some way;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costly post-marketing testing and surveillance to monitor the safety or efficacy of the product;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approved products may decrease significantly;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the commercial success of our products and product candidates and could substantially increase commercialization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market and sell our product candidates, if approved, in the U.S.</w:t>
      </w:r>
    </w:p>
    <w:p>
      <w:pPr>
        <w:spacing w:after="0" w:line="2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plan on building our sales and marketing capabilities in the U.S. to commercialize our product candidates, if approved. We will build such capabilities by investing significant amounts of financial and management resources. Furthermore, the cost of establishing and maintaining marketing and sales capabilities may not be economically justifiable in light of the revenues generated by any of our product candidates.</w:t>
      </w:r>
    </w:p>
    <w:p>
      <w:pPr>
        <w:spacing w:after="0" w:line="18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If we are unable to establish and maintain adequate sales and marketing capabilities for our product candidates or are unable to do so in a timely manner, we may not be able to generate sufficient product revenues from these product candidates to be profitable.</w:t>
      </w:r>
    </w:p>
    <w:p>
      <w:pPr>
        <w:spacing w:after="0" w:line="1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Final marketing approval of any of our product candidates or additional indications for existing products by the FDA or other regulatory authorities may be delayed, limited, or denied, any of which would adversely affect our ability to generate operating revenues.</w:t>
      </w:r>
    </w:p>
    <w:p>
      <w:pPr>
        <w:spacing w:after="0" w:line="1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depends on the successful development and commercialization of our product candidates. We are not permitted to market any of our product candidates in the U.S. until we receive approval of an NDA from the FDA, or, in any foreign jurisdiction,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and we cannot, therefore, predict the timing of any future revenues from these product candidates.</w:t>
      </w:r>
    </w:p>
    <w:p>
      <w:pPr>
        <w:spacing w:after="0" w:line="19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FDA has substantial discretion in the drug approval process, including the ability to delay, limit or deny approval of a product candidate or a prior approval supplement for many reasons. For example, the FDA:</w:t>
      </w:r>
    </w:p>
    <w:p>
      <w:pPr>
        <w:spacing w:after="0" w:line="20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reject or delay the marketing application for an 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we cannot rely on Section 505(b)(2) for any of our product candidates;</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the information provided by us was inadequate, contained clinical deficiencies or otherwise failed to demonstrate the safety and effectiveness of any of our product candidates for any indication;</w:t>
      </w:r>
    </w:p>
    <w:p>
      <w:pPr>
        <w:spacing w:after="0" w:line="200" w:lineRule="exact"/>
        <w:rPr>
          <w:rFonts w:ascii="Times New Roman" w:cs="Times New Roman" w:eastAsia="Times New Roman" w:hAnsi="Times New Roman"/>
          <w:sz w:val="18"/>
          <w:szCs w:val="18"/>
          <w:color w:val="auto"/>
        </w:rPr>
      </w:pPr>
    </w:p>
    <w:p>
      <w:pPr>
        <w:ind w:left="1080" w:right="320" w:hanging="532"/>
        <w:spacing w:after="0" w:line="339" w:lineRule="auto"/>
        <w:tabs>
          <w:tab w:leader="none" w:pos="10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not find the data from bioequivalence studies and/or clinical trials sufficient to support the submission of an NDA or to obtain marketing approval in the U.S., including any findings that the clinical and other benefits of our product candidates outweigh their safety risks;</w:t>
      </w:r>
    </w:p>
    <w:p>
      <w:pPr>
        <w:spacing w:after="0" w:line="141" w:lineRule="exact"/>
        <w:rPr>
          <w:rFonts w:ascii="Times New Roman" w:cs="Times New Roman" w:eastAsia="Times New Roman" w:hAnsi="Times New Roman"/>
          <w:sz w:val="16"/>
          <w:szCs w:val="16"/>
          <w:color w:val="auto"/>
        </w:rPr>
      </w:pPr>
    </w:p>
    <w:p>
      <w:pPr>
        <w:ind w:left="1080" w:right="140" w:hanging="532"/>
        <w:spacing w:after="0" w:line="26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with our trial design or our interpretation of data from preclinical studies, bioequivalence studies and/or clinical trials, or may change the requirements for approval even after it has reviewed and commented on the design for our trials, the outcome and measurement scale used in the trials, and the clinical protocols whether with or without a special protocol assessment process;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56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200" w:lineRule="exact"/>
        <w:rPr>
          <w:rFonts w:ascii="Times New Roman" w:cs="Times New Roman" w:eastAsia="Times New Roman" w:hAnsi="Times New Roman"/>
          <w:sz w:val="18"/>
          <w:szCs w:val="18"/>
          <w:color w:val="auto"/>
        </w:rPr>
      </w:pPr>
    </w:p>
    <w:p>
      <w:pPr>
        <w:jc w:val="both"/>
        <w:ind w:left="1080" w:right="300" w:hanging="532"/>
        <w:spacing w:after="0" w:line="26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the manufacturing processes or facilities of third-party manufacturers with which we enter into agreements for the supply of raw materials, including the API or manufactured product candidates used in our product candidates, wherein those deficiencies may result in interruption in the ability to supply product;</w:t>
      </w:r>
    </w:p>
    <w:p>
      <w:pPr>
        <w:spacing w:after="0" w:line="199"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approve our product candidates for fewer or more limited indications than we request, or may grant approval contingent on the performance of costly post-approval clinical trials;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its approval policies or adopt new regulations; or</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success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addition of new indications to the label of our existing products.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approval of many products by the FDA pursuant to Section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application that we submit.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18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payment or reimbursement policies which, if not favorable for our products or product candidates, could hinder or prevent our commercial success.</w:t>
      </w:r>
    </w:p>
    <w:p>
      <w:pPr>
        <w:spacing w:after="0" w:line="169" w:lineRule="exact"/>
        <w:rPr>
          <w:sz w:val="20"/>
          <w:szCs w:val="20"/>
          <w:color w:val="auto"/>
        </w:rPr>
      </w:pPr>
    </w:p>
    <w:p>
      <w:pPr>
        <w:jc w:val="both"/>
        <w:ind w:right="320"/>
        <w:spacing w:after="0" w:line="287" w:lineRule="auto"/>
        <w:rPr>
          <w:sz w:val="20"/>
          <w:szCs w:val="20"/>
          <w:color w:val="auto"/>
        </w:rPr>
      </w:pPr>
      <w:r>
        <w:rPr>
          <w:rFonts w:ascii="Times New Roman" w:cs="Times New Roman" w:eastAsia="Times New Roman" w:hAnsi="Times New Roman"/>
          <w:sz w:val="16"/>
          <w:szCs w:val="16"/>
          <w:color w:val="auto"/>
        </w:rPr>
        <w:t>Our ability or our collaborators' ability to successfully commercialize our products, including Oxtellar XR and Trokendi XR and our product candidates, will depend in part on the coverage and reimbursement levels set by governmental authorities, private health insurers, managed care organizations and other third-party payors. As a threshold for coverage and reimbursement, third-party payors generally require that drug products be approved for marketing by the FDA.</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Third-party payors also are increasingly challenging the effectiveness of and prices charged for medical products and services. Government authorities and third-party payors have attempted to control costs, in some instances, by limiting coverage and the amount of reimbursement for particular medications or encouraging the use of lower-cost generic products. We cannot be sure that reimbursement will be available for any of the products that we develop and, if reimbursement is available, the level of reimbursement. Moreover, that level of reimbursement may change over time as a result of decisions made by payors. Reduced or partial payment or reduced reimbursement coverage could make our products or product candidates, including Oxtellar XR and Trokendi XR,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expect that private insurers and managed care organizations will consider the efficacy, cost effectiveness and safety of our products or product candidates, including Oxtellar XR and Trokendi XR, in determining whether to approve reimbursement for such products or product candidates and at what level. Moreover, they will consider the efficacy and cost effectiveness of comparable or competitive products in making reimbursement decisions for our products. Because each third-party payor individually approves payment or reimbursement, obtaining these approvals can be a time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consuming and expensive process that could require us to provide scientific or clinical support for the use of each of our products or product candidates separately to each third-party payor. In some cases, it could take several months or years before a particular private insurer or managed care organization reviews a particular product. We may ultimately be unsuccessful in obtaining coverage. Our competitors may, as well as more extensive existing business relationships with third-party payors relating to their products. Our business would be materially adversely affected if we do not receive approval for reimbursement of our products or product candidates from private insurers on a timely or satisfactory basis. Our products and product candidates may not be considered cost-effective, and coverage and reimbursement may not be available or sufficient to allow us to sell our products or product candidates on a profitable basis. Our business would also be adversely affected if private insurers, managed care organizations, the Medicare program or other reimbursing bodies or payors limit the indications for which our products or product candidates will be reimbursed.</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some foreign jurisdictions, particularly Canada and Europe,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limited in scope or amount, or if pricing is set at unsatisfactory levels, our business could be materially harmed, and could be unprofitable.</w:t>
      </w:r>
    </w:p>
    <w:p>
      <w:pPr>
        <w:spacing w:after="0" w:line="19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addition, many managed care organizations negotiate the price of products and establish formularies which establish pricing and reimbursement levels. Exclusion of a product from a formulary can lead to its sharply reduced usage in the managed care organization's patient population. If our products or product candidates are not included within an adequate number of formularies or at adequate payment or reimbursement levels, or if those policies increasingly favor generic products, our market share and gross margins could be negatively affected. This would have a material adverse effect on our overall business and financial condition.</w:t>
      </w:r>
    </w:p>
    <w:p>
      <w:pPr>
        <w:spacing w:after="0" w:line="19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We expect to experience pricing pressures due to potential healthcare reforms discussed elsewhere in this Annual Report on Form 10-K, as well as due to cost control measures instituted by health maintenance organizations.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develop and market our product candidates would impair our ability to grow.</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intend to develop and market additional product candidates. We may spend several years completing the development of a particular current or future internal product candidate, during which process we can experience failure at any stage.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 products or technology to us. The success of this strategy depends partly upon our ability to identify, select, discover and acquire promising pharmaceutical product candidates and approved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acquire product candidates or products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process of proposing, negotiating and implementing a license or acquiring a product candidate or approved product is lengthy and complex. Other companies, including some with substantially greater financial, marketing and sales resources, may compete with us for the license or the product candidate or approved product. We have limited resources, including financial resources, to identify and execute the acquisition or in-licensing of third-party products, businesses and technologies and to integrate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them into our current infrastructure. Moreover, we may devote resources to potential acquisitions or in-licensing opportunities wherein those transactions are never consummated, or we may fail to realize the anticipated benefits of such efforts. We may not be able to acquire the rights to additional product candidates on terms that we find acceptable,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239"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to develop acquired products or technologies;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substantial debt or dilutive issuances of securities or depletion of cash to pay for acquisitions;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higher than expected acquisition, integration, and operating costs;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relationships with key suppliers or customers of any acquired businesses due to changes in management and ownership;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retain and/or motivate key employees of any acquired businesses.</w:t>
      </w:r>
    </w:p>
    <w:p>
      <w:pPr>
        <w:spacing w:after="0" w:line="221" w:lineRule="exact"/>
        <w:rPr>
          <w:sz w:val="20"/>
          <w:szCs w:val="20"/>
          <w:color w:val="auto"/>
        </w:rPr>
      </w:pPr>
    </w:p>
    <w:p>
      <w:pPr>
        <w:ind w:right="16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rely on and will continue to rely on outsourcing arrangements for certain of our critical activities, including clinical research of our product candidates, manufacturing of our compounds and product candidates beyond Phase II clinical trials and the manufacturing of our commercial products.</w:t>
      </w:r>
    </w:p>
    <w:p>
      <w:pPr>
        <w:spacing w:after="0" w:line="123"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CROs and CMO, entails risks including, but not limited to:</w:t>
      </w:r>
    </w:p>
    <w:p>
      <w:pPr>
        <w:spacing w:after="0" w:line="178"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third parties with regulatory and quality control standards;</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regulatory authorities if compounds supplied or manufactured by a third party supplier or manufacturer fail to comply with applicable regulatory standards;</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an agreement by a third party, at a time that is inconvenient for us, for reasons not entirely under our control.</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any of our products or product candidates beyond Phase II clinical trials, nor do we have plans in the foreseeable future to develop our own manufacturing operations to support Phase III clinical trials or commercial production. We currently depend on third-party CMOs for all of our required raw materials and drug substances for our preclinical research and clinical trials. For Oxtellar XR and Trokendi XR, we currently rely on single source suppliers for raw materials, including API, and rely on third-party suppliers and manufacturers for the production and packaging final commercial products. If any of these vendors are unable to perform their obligations to us, including due to violations of the FDA's requirements, our ability to meet regulatory requirements, projected timelines, necessary quality standards for our development or commercialization products would be adversely affected. Further, if we were required to change vendors, it could result in substantial delays in our regulatory approval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efforts and significantly increase our costs. Accordingly, the loss of any of our current or future third-party manufacturers or suppliers could have a material adverse effect on our business, results of operations, financial condition and business prospects.</w:t>
      </w:r>
    </w:p>
    <w:p>
      <w:pPr>
        <w:spacing w:after="0" w:line="170"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other versions of extended or controlled release oxcarbazepine or topiramate are approved and successfully commercialized, our business could be materially harmed.</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Third parties have and may receive approval to manufacture and market their own versions of extended release oxcarbazepine or topiramate AEDs in the U.S. For example, Upsher-Smith launched Qudexy XR (extended release topiramate) and a branded generic version of Qudexy XR. Upsher Smith also entered into settlement with a generic company to launch a generic to Qudexy XR in 2020, and with another generic company to enter the market at a date that is unknown to us. Such generics could adversely impact the sales or prescriptions for Trokendi XR or result in an earlier entry of generics to Trokendi XR. In addition, since Trokendi XR was not granted marketing exclusivity by the FDA, we may not be able to prevent the submission or approval of another Full NDA for a competitor's extended or controlled release topiramate product candidate. However, we do have the right to defend our products against third parties who may infringe or are infringing our patents.</w:t>
      </w:r>
    </w:p>
    <w:p>
      <w:pPr>
        <w:spacing w:after="0" w:line="195"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In addition, we are aware of companies who are marketing modified-release oxcarbazepine products outside of the U.S., such as Apydan, which was developed by Desitin Arzneimittel GmbH and requires twice-daily administration. If companies with modified-release oxcarbazepine products outside of the U.S. pursue or obtain approval of their products within the U.S., such competing products may limit the potential success of Oxtellar XR in the U.S., and our business and growth prospects could be materially impaired. Accordingly, if any third party is successful in obtaining approval to manufacture and market its own version of extended release oxcarbazepine or topiramate in the U.S., we may not be able to prospectively realize revenues from Oxtellar XR or Trokendi XR.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marketing exclusivity for our product candidates, our business may suffer.</w:t>
      </w:r>
    </w:p>
    <w:p>
      <w:pPr>
        <w:spacing w:after="0" w:line="229"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Under the Hatch-Waxman Amendments, three years of marketing exclusivity may be granted for the approval of new and sNDAs, including Section 505(b)(2) 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which prevents the FDA from approving an application under</w:t>
      </w:r>
    </w:p>
    <w:p>
      <w:pPr>
        <w:spacing w:after="0" w:line="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Section 505(b)(2) for the same conditions of use associated with the new clinical investigations before the expiration of three years from the date of approval. Such exclusivity, however, would not prevent the approval of another application if the applicant submits a Full NDA and has conducted its own adequate, well-controlled clinical trials demonstrating safety and efficacy, nor would it prevent approval of a generic product or Section 505(b)(2) product that did not incorporate the exclusivity-protected changes of the approved drug product.</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newly-approved drugs and indications may also benefit from a statutory period of non-patent marketing exclusivity. The Hatch-Waxman Amendments provide five-year marketing exclusivity to the first applicant to gain approval of an NDA for an NCE, meaning that the FDA has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spacing w:after="0" w:line="19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While the FDA granted a three year marketing exclusivity period for Oxtellar XR, it did not grant a similar marketing exclusivity period for Trokendi XR. If we are unable to obtain marketing exclusivity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our subsequent product candidates, then our competitors may obtain approval for competing products more easily than if we had such marketing exclusivity.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revenues could be reduced, possibly materially.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the benefits associated with orphan drug designation, including market exclusivity.</w:t>
      </w:r>
    </w:p>
    <w:p>
      <w:pPr>
        <w:spacing w:after="0" w:line="229"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Regulatory authorities in the United States may designate drugs for relatively small patient populations as orphan drugs. The FDA may grant orphan drug designation to drugs intended to treat a rare disease or condition that affects fewer than 200,000 individuals annually in the U.S.</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credits for certain research and user fee waivers under certain circumstances. In addition, if a drug receives the first FDA approval for the drug and indication for which it has orphan drug designation, the drug is entitled to seven years of market exclusivity, which means the FDA may not approve any other application for the same drug for the same indication for a period of seven years, except in limited circumstances, such as a showing of clinical superiority over the drug with orphan drug exclusivity.</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have been granted FDA orphan drug designation for SPN-817 for the treatment of Dravet Syndrome, and intend to continue to expand our designation for these uses where applicable, we may not receive the benefits associated with orphan drug designation. This may result from a failure to maintain orphan drug status or may result from a competing product reaching the market that has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the same drug for the same condition if the FDA concludes that the later drug is clinically superior in that it is shown to be safer, more effective or makes a major contribution to patient care. Also, a competitor may receive approval of different products for the same indication for which our orphan product has exclusivity or obtain approval for the same product but for a different indication for which the orphan product has exclusivity.</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in August 2017, the FDA Reauthorization Act of 2017 (FDARA) was enacted.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including the FDARA amendment,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9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attracting and retaining talented employees. Further, managing succession for, and retention of, key executives is critical to our success, and our failure to do so could have an adverse impact on our future performance.</w:t>
      </w:r>
    </w:p>
    <w:p>
      <w:pPr>
        <w:spacing w:after="0" w:line="1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necessary personnel to accomplish our business objectives, we may experience constraints that may significantly impede the achievement of our objectives.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Effective succession planning is also important to our long-term success. Failure to ensure effective transfer of knowledge and smooth transitions involving key employees and members of our management team could hinder our strategic planning and execution. In addition, our failure to adequately plan for succession of senior management and other key management roles or the failure of key employees to successfully transition into new roles could have a material adverse effect on our business and results of operations.</w:t>
      </w:r>
    </w:p>
    <w:p>
      <w:pPr>
        <w:spacing w:after="0" w:line="1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highly dependent on the development, regulatory, commercial and financial expertise of our management, particularly Jack A. Khattar, our President and Chief Executive Officer. Mr. Khattar has an employment agreement and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generate concern among employees and those with whom we do business.</w:t>
      </w:r>
    </w:p>
    <w:p>
      <w:pPr>
        <w:spacing w:after="0" w:line="1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competitors develop or market alternatives for treatment of our target indications, our commercial opportunities will be reduced or eliminated.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competition and a strong emphasis on proprietary therapeutics. We face competition from a number of sources, some of which may target the same indications as our products and product candidates, including large pharmaceutical companies, smaller pharmaceutical companies, biotechnology companies, academic institutions, government agencies and private and public research institutions. The availability of new products or approval for new indications for existing products may limit the demand for and the price we are able to charge for any of our products. We may be unable to differentiate our products from competitive offerings. In addition to competition with our currently marketed products, we anticipate that we will face intense competition when our pipeline product candidates are approved by regulatory authorities and we begin the commercialization process for these products.</w:t>
      </w:r>
    </w:p>
    <w:p>
      <w:pPr>
        <w:spacing w:after="0" w:line="19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There are currently no marketed products and no known products in development for the treatment of IA in patients with ADHD, autism or PTSD. However, the off-label use of risperidone (Risperdal) and aripiprazole (Abilify) to treat these conditions is common. These products are approved for irritability in autism which, as a result, may influence use of products to treat IA in patients with ADHD.</w:t>
      </w:r>
    </w:p>
    <w:p>
      <w:pPr>
        <w:spacing w:after="0" w:line="18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In addition, we are aware of several companies that have various product candidates under development for ADHD which may compete with our SPN-812 product candidate. Such companies include Sunovion, Ironshore/Highland and Otsuka.</w:t>
      </w:r>
    </w:p>
    <w:p>
      <w:pPr>
        <w:spacing w:after="0" w:line="17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Further new developments, including the development of other drug technologies, may render our products or product candidates obsolete or noncompetitive. As a result, our products and product candidates may become obsolete before we recover expenses incurred in connection with their development or realize revenues from their commercialization. Further, many competitors have substantially greater:</w:t>
      </w:r>
    </w:p>
    <w:p>
      <w:pPr>
        <w:spacing w:after="0" w:line="200"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and experience, including personnel and technology;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clinical trial and regulatory resources and experience;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and experience;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resources and experience;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experience and expertise in prosecution and enforcement of intellectual property rights.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more useful, better tolerated, subject to fewer or less severe side effects, more widely prescribed or accepted or less costly than ours and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even more resources being concentrated at competitors. Competition may increase further as a result of advances made in the commercial applicability of technologies and greater availability of capital for investment.</w:t>
      </w:r>
    </w:p>
    <w:p>
      <w:pPr>
        <w:spacing w:after="0" w:line="18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though U.S. regulatory approval has been obtained for Trokendi XR and Oxtellar XR, the FDA may still impose significant restrictions on their indicated uses or marketing or impose ongoing requirements for costly post-approval studies. For example, both Trokendi XR and Oxtellar XR were approved on the basis of post-approval commitments, including development of additional age-appropriate formulations of the drugs and conduct of post-approval clinical studies in accordance with certain timelines laid out in the approval letters. Although we have made significant efforts, in certain cases we have been unable to meet these timelines. The post-approval commitments required the creation of new drug product formulations, which we have not been able to accomplish. To date, the only consequence of our failure to meet our PREA commitment deadlines has been a notation on FDA websites devoted to making the status of PREA publicly known.</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post-approval study requirements, the FDA may disagree.</w:t>
      </w:r>
    </w:p>
    <w:p>
      <w:pPr>
        <w:spacing w:after="0" w:line="19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Our product candidates would also be, and our approved product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discovers previously unknown problems with a product, including side effects that are unanticipated in severity or frequency, or problems with the facility where the product is manufactured, a regulatory authority may impose restrictions on that product or the manufacturer, including requiring withdrawal of the product from the market or suspension of manufacturing.</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If we or our collaborators, or our or our collaborators' approved products or product candidates, or the manufacturing facilities for our or our collaborators' approved products or product candidates fail to comply with applicable regulatory requirements, a regulatory authority may:</w:t>
      </w:r>
    </w:p>
    <w:p>
      <w:pPr>
        <w:spacing w:after="0" w:line="187"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bioequivalence and/or clinical trials;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restrictions on operations, including costly new manufacturing requirements, or suspension of production for a sustained period of time; or</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us to initiate a product recall.</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our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uses may be subject to significant sanctions. The federal government has levied large civil and criminal fines against companies for alleged improper promotion and has enjoined several companies from engaging in off-label promotion. If we are found to have promoted off-label uses, we may be enjoined from such off-label promotion and become subject to significant liability, which would have an adverse effect on our reputation, business and revenues.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 the FDA's policies may change and additional government regulations may be enacted that could affect our products or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products from the market.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any of our products or for the commercial production of our product candidates, nor do we have plans to develop our own manufacturing operations for commercial products in the foreseeable future. We currently depend on third-party CMOs for the supply of the APIs for our products and product candidates, including drug substance for our preclinical research and clinical trials. For Oxtellar XR and Trokendi XR, we currently rely on single source suppliers for raw materials, including API, as well as single source suppliers to produce and package final dosage forms. Any future curtailment in the availability of raw materials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The manufacture of pharmaceutical products requires significant expertise and capital investment, including the development of advanced manufacturing techniques and process controls. Pharmaceutical companies often encounter difficulties in manufacturing, particularly in scaling up production of their products. These problems include manufacturing difficulties relating to production costs and yields, quality control, stability of the product and quality assurance testing and shortages of qualified personnel, as well as compliance with federal, state and foreign regulations. If we are unable to demonstrate stability in accordance with commercial requirements, or if our manufacturers were to encounter difficulties or otherwise fail to comply with their obligations to us, our ability to maintain or obtain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significant additional expense, or to terminate a trial.</w:t>
      </w:r>
    </w:p>
    <w:p>
      <w:pPr>
        <w:spacing w:after="0" w:line="1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Manufacturers of pharmaceutical products need to comply with cGMP requirements and other requirements as enforced by the FDA, including electronic tracking and submission. These requirements include quality control, quality assurance and the maintenance of records and documentation. Manufacturers of our products and product candidates may be unable to comply with these cGMP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 or successfully commercialize such products, and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demand for our approved products, and consequently lose potential revenues.</w:t>
      </w:r>
    </w:p>
    <w:p>
      <w:pPr>
        <w:spacing w:after="0" w:line="191"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wholesalers and distributors for retail distribution of Oxtellar XR and Trokendi XR. If we lose any of our significant wholesalers or distributors, our business could be harmed.</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majority of our sales of Oxtellar XR and Trokendi XR are to wholesalers and distributors who, in turn, sell the products to pharmacies, hospitals and other customers. For the year ended December 31, 2018, three wholesale pharmaceutical distributors, AmerisourceBergen Drug Corporation, Cardinal Health, Inc. and McKesson Corporation, individually accounted for more than 30% of our total revenue in 2018, and collectively accounted for 98% of our total revenue in 2018. The loss by us of any of these wholesale pharmaceutical distributors' accounts or a material reduction in their purchases could have a material adverse effect on our business, results of operations, financial condition and prospects.</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 Consolidation of drug wholesalers has increased, and, as a result, may continue to increase competitive and pricing pressures on pharmaceutical products. We cannot assure you that we can manage these pricing pressures or that wholesaler purchases will not fluctuate unexpectedly from period to period.</w:t>
      </w:r>
    </w:p>
    <w:p>
      <w:pPr>
        <w:spacing w:after="0" w:line="19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Our sales of Oxtellar XR and Trokendi XR can be greatly affected by the inventory levels our respective wholesalers carry. We monitor wholesaler inventory of Oxtellar XR and Trokendi XR using a</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combination of methods. Pursuant to distribution service agreements with our three largest wholesale customers, we receive inventory level reports. For other wholesalers where we do not receive inventory level reports, our estimates of wholesaler inventories may differ significantly from actual inventory levels. Significant differences between actual and estimated inventory levels may result in excessive production (requiring us to hold substantial quantities of unsold inventory), inadequate supplies of products in distribution channels, and/or insufficient product available at the retail level. These changes may cause our revenues to fluctuate significantly from quarter to quarter, and in some cases may cause our operating results for a particular quarter to be below our expectations or the expectations of securities analysts or investors.</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addition, at times, wholesaler purchases may exceed customer demand, resulting in reduced wholesaler purchases in later quarters, which may cause substantial fluctuations in our results of operations from period to period. If our financial results are below expectations for a particular period, the market price of our common stock may drop significantly.</w:t>
      </w:r>
    </w:p>
    <w:p>
      <w:pPr>
        <w:spacing w:after="0" w:line="182"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the FDA or other applicable regulatory authorities approve generic products that compete with any of our products or product candidates, the sales of those products or product candidates would be adversely affected.</w:t>
      </w:r>
    </w:p>
    <w:p>
      <w:pPr>
        <w:spacing w:after="0" w:line="1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 offer their products at significantly lower prices. Thus, regardless of the regulatory approval pathway, after the introduction of a generic competitor, a significant percentage of the sales of any branded product are typically lost to the generic product, through both price and volume erosion. Accordingly, competition from generic equivalents would materially, permanently and adversely impact our revenues, profitability and cash flows from those products and substantially limit our ability to obtain a return on the investments we have made in our products and product candidates. In particular, as disclosed in Part I, Item 3—</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Annual Report on Form 10-K, we had received Paragraph IV Notice Letters against our Oxtellar XR Orange Book patents from Twi Pharma. In August 2017, the U.S. District Court ruled in our favor against TWi concerning our Oxtellar XR patents. TWi filed a Notice of Appeal to the United States Court of Appeals for the Federal Circuit. On September 6, 2018, the Court of Appeals affirmed the District Court's Final Judgement and issued a mandate on October 16, 2018.</w:t>
      </w:r>
    </w:p>
    <w:p>
      <w:pPr>
        <w:spacing w:after="0" w:line="19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collaborators to market and commercialize our products and product candidates outside the U.S., who may fail to effectively commercialize our products and product candidates.</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Outside the U.S., we utilize strategic partners where appropriate to assist in the commercialization of our products and product candidates. We currently possess limited resources and may not be successful in establishing collaborations or licensing arrangements on acceptable terms, if at all. We also face competition in our search for collaborators and licensing partners. By entering into strategic collaborations or similar arrangements, we will rely on third parties to financially support their local operations, including that required for development, commercialization, sales, marketing and regulatory activities as well as expertise in each of those subject areas. Our collaborators may fail to develop 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effectively commercialize our products or product candidates because they cannot obtain the necessary regulatory approvals, they lack adequate financial or other resources or they decide to focus on other initiatives. Any failure of our third-party collaborators to successfully market and commercialize our products or product candidates outside the U.S. would diminish our revenues and harm our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our patent rights relating to our products and product candidates may limit our ability to prevent third parties from competing against us.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To a significant degree, our success will depend on our ability to obtain and maintain patent protection for our proprietary technologies and our products and product candidates, preserve our trade secrets, prevent third parties from infringing upon our proprietary rights and operate without infringing upon the proprietary rights of others. To that end, we seek patent protection in the U.S. and internationally for our products and product candidates. Our policy is to actively seek to protect our proprietary position by, among other things, filing patent applications in the U.S. and abroad (including Europe, Canada and certain other countries when appropriate) relating to proprietary technologies that are important to the development of our business.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strength of patents in the pharmaceutical industry involves complex legal and scientific questions and can have uncertain results. Patent applications in the U.S. and most other countries are confidential for a period of time until they are published, and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and we could lose our trade secrets through such breaches or violations. Further, our trade secrets could otherwise become known or be independently discovered by our competitors. Any failure to adequately prevent disclosure of our trade secrets and other proprietary information could have a material, adverse impact on our business.</w:t>
      </w:r>
    </w:p>
    <w:p>
      <w:pPr>
        <w:spacing w:after="0" w:line="19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In addition, the laws of certain foreign countries do not protect proprietary rights to the same extent or in the same manner as the U.S., and therefore we may encounter problems in protecting and defending our intellectual property in certain foreign jurisdictions.</w:t>
      </w:r>
    </w:p>
    <w:p>
      <w:pPr>
        <w:spacing w:after="0" w:line="17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it could be costly and time consuming to defend such a suit. An unfavorable outcome in that litigation could have a material adverse effect on our business.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approved products and our product candidates and to use our proprietary technologies without infringing the proprietary rights of third parties. Numerous U.S. and foreign issued patents and pending patent applications, which are owned by third parties, exist in the fields in which we and our collaborators are developing product candidates. As the pharmaceutical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industry expands and more patents are issued, the risk increases that our collaborators' approved products or our product candidates may give rise to claims of infringement of the patent rights of others. There may be issued patents of third parties of which we are currently unaware that may be infringed by our collaborators' approved products or Oxtellar XR or Trokendi XR, which could prevent us from being able to maximize revenue generated by our products or our product candidates. Because patent applications can take many years to issue, there currently may be pending patent applications which may later result in issued patents that our collaborators' approved products, our products, or our product candidates may infringe.</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alleging that our collaborators' approved products or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We could be unable to commercialize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19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pharmaceutical industry generally. If a third party claims that we or our collaborators infringe its intellectual property rights, we may face a number of issues, including, but not limited to:</w:t>
      </w:r>
    </w:p>
    <w:p>
      <w:pPr>
        <w:spacing w:after="0" w:line="187" w:lineRule="exact"/>
        <w:rPr>
          <w:sz w:val="20"/>
          <w:szCs w:val="20"/>
          <w:color w:val="auto"/>
        </w:rPr>
      </w:pPr>
    </w:p>
    <w:p>
      <w:pPr>
        <w:ind w:left="1080" w:right="2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200"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damages for infringement, which we may have to pay if a court decides that the product at issue infringes on or violates the third party's rights. If the court finds that the infringement was willful, we could be ordered to pay treble damages and the patent owner's attorneys' fees;</w:t>
      </w:r>
    </w:p>
    <w:p>
      <w:pPr>
        <w:spacing w:after="0" w:line="141" w:lineRule="exact"/>
        <w:rPr>
          <w:rFonts w:ascii="Times New Roman" w:cs="Times New Roman" w:eastAsia="Times New Roman" w:hAnsi="Times New Roman"/>
          <w:sz w:val="16"/>
          <w:szCs w:val="16"/>
          <w:color w:val="auto"/>
        </w:rPr>
      </w:pPr>
    </w:p>
    <w:p>
      <w:pPr>
        <w:ind w:left="1080" w:right="10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rulings prohibiting us from selling our products or product candidates unless the third party licenses its rights to us, which it is not required to do;</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fees or grant cross-licenses to our intellectual property rights; and</w:t>
      </w:r>
    </w:p>
    <w:p>
      <w:pPr>
        <w:spacing w:after="0" w:line="200" w:lineRule="exact"/>
        <w:rPr>
          <w:rFonts w:ascii="Times New Roman" w:cs="Times New Roman" w:eastAsia="Times New Roman" w:hAnsi="Times New Roman"/>
          <w:sz w:val="18"/>
          <w:szCs w:val="18"/>
          <w:color w:val="auto"/>
        </w:rPr>
      </w:pPr>
    </w:p>
    <w:p>
      <w:pPr>
        <w:ind w:left="1080" w:right="78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product candidates so they do not infringe, which may not be possible or may require substantial monetary expenditures and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collaborators to work with us to develop, manufacture and commercialize their and our products and product candidates.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license agreement with United Therapeutics Corporation to use one of our proprietary technologies for an oral formulation of treprostinil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diethanolamine, or treprostinil, for the treatment of pulmonary arterial hypertension, as well as for other indications. United Therapeutics Corporation launched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Orenitram (treprostinil) in 2014, which triggered a milestone payment to us of $2.0 million. In the third quarter of 2014, we received a cash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as a result of HealthCare Royalty Partners III, L.P.'s (HC Royalty) purchase of certain of our rights under our license agreement with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Therapeutics Corporation related to the commercialization of Orenitram. We will retain full ownership of the royalty rights if/when a certain cumulative threshold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 to HC Royalty is reached. We are entitled to receive milestones and royalties for use of this formulation in other indications. If we materially breach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our obligations under the license agreement, we could lose the right to receive any future royalty payments thereunder, which could be financially significant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future collaboration agreements may have the effect of limiting the areas of research and development that we may pursue, either alone or in collaboration with third parties. Much of the potential revenues from these future collaborations may consist of contingent payments, such as payments for achieving development milestones and royalties payable on sales of developed products. The milestone and royalty revenues that we may receive under these collaborations will depend upon our collaborators' ability to successfully develop, introduce, market and sell new products. Future collaboration partners may fail to develop or effectively commercialize products using our products, product candidates or technologies because they, among other things, may:</w:t>
      </w:r>
    </w:p>
    <w:p>
      <w:pPr>
        <w:spacing w:after="0" w:line="206" w:lineRule="exact"/>
        <w:rPr>
          <w:sz w:val="20"/>
          <w:szCs w:val="20"/>
          <w:color w:val="auto"/>
        </w:rPr>
      </w:pPr>
    </w:p>
    <w:p>
      <w:pPr>
        <w:ind w:left="1080" w:right="56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focus of their development and commercialization efforts or may have insufficient resources to effectively develop our product candidates.</w:t>
      </w:r>
    </w:p>
    <w:p>
      <w:pPr>
        <w:spacing w:after="0" w:line="200" w:lineRule="exact"/>
        <w:rPr>
          <w:rFonts w:ascii="Times New Roman" w:cs="Times New Roman" w:eastAsia="Times New Roman" w:hAnsi="Times New Roman"/>
          <w:sz w:val="18"/>
          <w:szCs w:val="18"/>
          <w:color w:val="auto"/>
        </w:rPr>
      </w:pPr>
    </w:p>
    <w:p>
      <w:pPr>
        <w:ind w:left="1080" w:hanging="532"/>
        <w:spacing w:after="0" w:line="310" w:lineRule="auto"/>
        <w:tabs>
          <w:tab w:leader="none" w:pos="10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decrease or fail to increase development or commercialization efforts related to those product candidates;</w:t>
      </w:r>
    </w:p>
    <w:p>
      <w:pPr>
        <w:spacing w:after="0" w:line="164" w:lineRule="exact"/>
        <w:rPr>
          <w:rFonts w:ascii="Times New Roman" w:cs="Times New Roman" w:eastAsia="Times New Roman" w:hAnsi="Times New Roman"/>
          <w:sz w:val="16"/>
          <w:szCs w:val="16"/>
          <w:color w:val="auto"/>
        </w:rPr>
      </w:pPr>
    </w:p>
    <w:p>
      <w:pPr>
        <w:ind w:left="1080" w:right="100" w:hanging="532"/>
        <w:spacing w:after="0" w:line="26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not to devote the necessary resources due to internal constraints, such as limited personnel with the requisite scientific expertise, limited cash resources, or the belief that other internal drug development programs may have a higher likelihood of obtaining marketing approval or may potentially generate a greater return on investment;</w:t>
      </w:r>
    </w:p>
    <w:p>
      <w:pPr>
        <w:spacing w:after="0" w:line="199"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either alone or with others, drugs that are similar to or competitive with the product candidates that are the subject of their collaboration with us;</w:t>
      </w:r>
    </w:p>
    <w:p>
      <w:pPr>
        <w:spacing w:after="0" w:line="200" w:lineRule="exact"/>
        <w:rPr>
          <w:rFonts w:ascii="Times New Roman" w:cs="Times New Roman" w:eastAsia="Times New Roman" w:hAnsi="Times New Roman"/>
          <w:sz w:val="18"/>
          <w:szCs w:val="18"/>
          <w:color w:val="auto"/>
        </w:rPr>
      </w:pPr>
    </w:p>
    <w:p>
      <w:pPr>
        <w:ind w:left="1080" w:right="124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necessary and sufficient resources to carry the product candidate through clinical development, marketing approval and commercialization;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applicable regulatory requirements;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obtain the necessary marketing approvals;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their arrangement with us.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curtailed or terminated because we may not have sufficient financial resources or capabilities to continue development and commercialization of the product candidate on our own.</w:t>
      </w:r>
    </w:p>
    <w:p>
      <w:pPr>
        <w:spacing w:after="0" w:line="18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certain of our product candidates. If we fail to comply with our obligations under any of these arrangements, we could lose such licenses or intellectual property rights.</w:t>
      </w:r>
    </w:p>
    <w:p>
      <w:pPr>
        <w:spacing w:after="0" w:line="16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We are a party to and rely on several arrangements with third parties which give us rights to IP that are necessary for the development of certain of our product candidates. In addition, we may enter into similar arrangements in the future for other product candidates. Our current arrangements impose various development, financial and other obligations on us. If we materially breach these obligations or if third parties fail to adequately perform their respective obligations, these exclusive arrangements could be terminated, which would result in our inability to develop, manufacture, market and sell products that are covered by such IP.</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in the U.S., we or our collaborators may not receive approval to commercialize our product candidates outside of the U.S.</w:t>
      </w:r>
    </w:p>
    <w:p>
      <w:pPr>
        <w:spacing w:after="0" w:line="169"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To market any products outside of the U.S., we must establish and comply with numerous and varying regulatory requirements of other jurisdictions regarding safety and efficacy. Approval procedures vary among jurisdictions and can involve product testing and administrative review periods different from, and greater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negotiating rights from third parties to refer to their clinical data in our regulatory applications, which could require the expenditure of significant additional funds and time.</w:t>
      </w:r>
    </w:p>
    <w:p>
      <w:pPr>
        <w:spacing w:after="0" w:line="167"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In addition, regulatory approval in one jurisdiction does not ensure regulatory approval in another, but a failure or delay in obtaining regulatory approval in one jurisdiction may have a negative effect on the regulatory processes in others. Failure to obtain regulatory approvals in other jurisdictions or any delay or setback in obtaining such approvals could have the same adverse effects detailed above regarding FDA approval. As described above, such effects include the risks that any of our product candidates may not be approved for all indications requested, which could limit the uses of our product candidates and have an adverse effect on their commercial potential or require costly post-marketing studies.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products and product candidates.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Government agencies promulgate regulations and guidelines directly applicable to us and to our products and product candidates, wherein those regulations or guidelines could affect the use of our products. In addition, professional societies, practice management groups, private health and science foundations and organizations involved in various diseases from time to time may also publish guidelines or recommendations to the health care and patient communities. Recommendations of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that are followed by patients and health care providers could result in decreased use of our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liabilities.</w:t>
      </w:r>
    </w:p>
    <w:p>
      <w:pPr>
        <w:spacing w:after="0" w:line="22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The use of our product candidates in clinical trials and the sale of any of our products expose us to the risk of product liability claims. Product liability claims might be brought against us by consumers, healthcare providers or others selling or otherwise coming into contact with our products and product candidates. If we cannot successfully defend ourselves against product liability claims, we could incur substantial liabilities. In addition, product liability claims may result in:</w:t>
      </w:r>
    </w:p>
    <w:p>
      <w:pPr>
        <w:spacing w:after="0" w:line="165"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that has received approval and is being commercialized;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exposure to adverse publicity;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bioequivalence and/or clinical trial participants;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commercialize products for which we obtain marketing approval.</w:t>
      </w:r>
    </w:p>
    <w:p>
      <w:pPr>
        <w:spacing w:after="0" w:line="22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Our product liability insurance coverage for our clinical trials is limited to $15 million per claim and $15 million in the aggregate, and covers bodily injury and property damage arising from our clinical trials, subject to industry-standard terms, conditions and exclusions. 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 On occasion, large judgments have been awarded in class action lawsuits based on drugs that had unanticipated side effects. A successful product liability claim or series of claims brought against us could cause our stock price to decline. If judgments exceed our insurance coverage, our cash balance could decrease and our business could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products or product candidates.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and certain states and foreign governments have shown significant and increased interest in pursuing healthcare reform and changes to the healthcare delivery system. Government-adopted reform measures could adversely impact the pricing of healthcare products and services in the U.S. or internationally and adversely impact the amount of reimbursement available from governmental agencies or commercial third-party payors. The continuing efforts of U.S., states and foreign governments, insurance companies, managed care organizations, employers and other third-party payors of healthcare services to contain or reduce health care costs may adversely affect our ability to set prices for any approved product or to increase price once launched. These initiatives could adversely impact our ability to generate revenues and to achieve and maintain profitability.</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both the U. S., at the federal and state level, and in some foreign jurisdictions, there have been a number of legislative and regulatory proposals and initiatives to change the health care system in ways that could adversely affect our ability to sell any approved product profitably. Some of these proposed reforms could result in reduced reimbursement rates for our products, which would adversely affect our business strategy, operations and financial results. In March 2010, President Obama signed into law a comprehensive change to the U.S. healthcare system, known as the Patient Protection and Affordable Care Act of 2010, as amended by the HealthCare and Education Reconciliation Act of 2010. These laws and their regulations, which we refer to collectively as the HealthCare Reform Law, have far reaching consequences for pharmaceutical companies like us, and possible revisions to the HealthCare Reform Law are the subject of ongoing legislative debates and litigation. In addition, the FDA regulations and guidance are often revised or reinterpreted by the FDA in ways that may significantly affect our business and our products. It is impossible to predict whether additional legislative changes will be enacted or whether FDA regulations, guidance or interpretations will be changed, and what the impact of such changes, if any, may be. However, any future regulatory changes could make it more difficult for us to maintain or attain approval to develop and commercialize our products and technologies.</w:t>
      </w:r>
    </w:p>
    <w:p>
      <w:pPr>
        <w:spacing w:after="0" w:line="19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HealthCare Reform Law has continued to exert downward pressure on pharmaceutical pricing, especially under the Medicare and Medicaid programs, and has increased the industry's regulatory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burdens and operating costs. Among the provisions of the HealthCare Reform Law of importance to our products and product candidates are the following:</w:t>
      </w:r>
    </w:p>
    <w:p>
      <w:pPr>
        <w:spacing w:after="0" w:line="239" w:lineRule="exact"/>
        <w:rPr>
          <w:sz w:val="20"/>
          <w:szCs w:val="20"/>
          <w:color w:val="auto"/>
        </w:rPr>
      </w:pPr>
    </w:p>
    <w:p>
      <w:pPr>
        <w:ind w:left="1080" w:right="40" w:hanging="532"/>
        <w:spacing w:after="0" w:line="26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 payable to the U.S. federal government based on each company's market share of prior year total sales of branded products to certain federal healthcare programs;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38"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that are inhaled, infused, instilled, implanted or injected;</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eligibility criteria for Medicaid programs in certain states;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to conduct comparative clinical effectiveness research, along with funding for such research.</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The Trump Administration and U.S. Congress have attempted and will likely continue to seek to modify, repeal, or otherwise invalidate all, or certain provisions of, the Affordable Care Act. Since January 2017, President Trump has signed two Executive Orders and other directives designed to delay, circumvent or loosen the implementation of certain provisions mandated by the Affordable Care Act that would impose a fiscal or regulatory burden on states, individuals, healthcare providers, health insurers, or manufacturers of pharmaceuticals or otherwise circumvent some of the requirements for health insurance mandated by the Affordable Care Act. Concurrently, Congress has considered legislation that would repeal or repeal and replace all or part of the Affordable Care Act. While Congress has not passed repeal legislation, on December 22, 2017, the President signed the Tax Cuts and Jobs Act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23,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In addition, on December 14, 2018, a Texas Federal District Court struck down the entire Affordable Care Act as unconstitutional, holding that following the elimination of the tax penalty under the Affordable Care Act, the remaining individual mandate portion of the Affordable Care Act could not be justified as a proper and legitimate use of Congress' taxing power. Because the Court saw the individual mandate as in severable from the rest of the Affordable Care Act, the entire Affordable Care Act was rendered unconstitutional. The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case will be appealed to the Fifth Circuit Court of Appeals and could ultimately end up in the U.S. Supreme Court. Also, Congress may consider other legislation to repeal or replace elements of the Affordable Care Act. It is difficult to predict the extent to which any of these changes to the Affordable Care Act, or additional changes, if made, may impact our business or financial condition.</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adopted since the Affordable Care Act was enacted. These changes include aggregate reductions in Medicare payments to providers of 2% per fiscal year, which went into effect on April 1, 2013 and, due to subsequent legislative amendments to the statute, will remain in effect through 2025 unless additional Congressional action is taken. The American Taxpayer Relief Act of 2012 also further reduced Medicare payments to several types of providers and increased the statute of limitations period for the government to recover overpayments to providers from three to five years. Recently, the Trump Administration put forth a proposal to eliminate certain rebates pharmaceutical companies pay insurance companies in Medicare. The proposal would allow pharmaceutical companies and pharmacy benefit managers to negotiate rebates as long as the savings are passed directly to consumers at the pharmacy. More recently, there have been several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and biological product pricing, including price or patient reimbursement constraints, discounts, and restrictions on certain product access. Marketing cost disclosure and transparency measures, in some cases have been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Legally mandated price controls on payment amounts by third-party payors or other restrictions could harm our business, results of operations, financial condition and prospects or prevent us from being able to commercialize our products, or to generate an acceptable return on investment.</w:t>
      </w:r>
    </w:p>
    <w:p>
      <w:pPr>
        <w:spacing w:after="0" w:line="1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In 2012, the Food and Drug Administration Safety and Innovation Act was enacted, expanding drug supply chain requirements and strengthening FDA's response to drug shortages, as well as other changes.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any approved product.</w:t>
      </w:r>
    </w:p>
    <w:p>
      <w:pPr>
        <w:spacing w:after="0" w:line="193"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Drug Quality and Security Act (DQSA) became law in 2013. The DQSA creates the requirement for companies to trace, verify and identify all products across all changes of ownership from manufacturer to dispenser.</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13, 2016, the 21st Century Cures Act (Cures Act) was signed into law. The Cures Act is designed to modernize and personalize healthcare, spur innovation and research, and streamline the discovery and development of new therapies through increased federal funding of particular programs. It authorizes increased funding for the FDA to spend on innovation projects. The new law also amends the Public Health Service Act (PHSA) to reauthorize and expand funding for the National Institutes of Health (NIH). The Cures Act establishes the NIH Innovation Fund to pay for the cost of development and implementation of a strategic plan, early stage investigators and research. It also charges NIH with leading and coordinating expanded pediatric research. Further, the Cures Act directs the Centers for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Disease Control and Prevention to expand surveillance of neurological diseases. On August 18, 2017, President Trump signed the FDARA into law. FDARA reauthorizes the various user fees to facilitate the FDA's review and oversight relating to prescription drugs, generic drugs, medical devices and biosimilars. The legislation also includes several policy riders that will impact an array of issues within the FDA's authority including, among others, pediatric study requirements, orphan drug exclusivity, and the approval process for generic drugs. With amendments to the FDCA and the PHSA, Title III of the Cures Act seeks to accelerate the discovery, development, and delivery of new medicines and medical technologies. To that end, and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FDCA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1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Future federal and state proposals and health care reforms in other countries could limit the prices that can be charged for our product and product candidates that we develop and may further limit our commercial opportunities. Our results of operations could be materially and adversely affected by the HealthCare Reform Law by reducing the amounts that private insurers will pay and by other health care reforms that may be enacted or adopted in the future.</w:t>
      </w:r>
    </w:p>
    <w:p>
      <w:pPr>
        <w:spacing w:after="0" w:line="18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Implementation of any change in any health care laws could cause us to incur significant compliance expenses or could subject us to substantial penalties and fines if our business is found to violate these requirements.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financial impact of the HealthCare Reform Law on our business is on-going, and there can be no assurance that our business will not be materially harmed by future implementation of or changes to the HealthCare Reform Law. In addition, if we are not in full compliance with the HealthCare Reform Law, we could face enforcement action, fines and other penalties and we could receive adverse publicity.</w:t>
      </w:r>
    </w:p>
    <w:p>
      <w:pPr>
        <w:spacing w:after="0" w:line="18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HealthCare Reform Law includes various provisions designed to strengthen fraud and abuse enforcement, such as increased funding for enforcement efforts and lowering the intent requirement of the federal anti-kickback statute and criminal health care fraud statute such that a person or entity no longer needs to have actual knowledge or specific intent to violate the statute.</w:t>
      </w:r>
    </w:p>
    <w:p>
      <w:pPr>
        <w:spacing w:after="0" w:line="18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If our past or present operations are found to be in violation of any such laws or any other governmental regulations that may apply to us, we may be subject to penalties, including civil and criminal penalties, damages, fines, exclusion from federal health care programs and/or the curtailment or restructuring of our operations.</w:t>
      </w:r>
    </w:p>
    <w:p>
      <w:pPr>
        <w:spacing w:after="0" w:line="186"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 HealthCare Reform Law, its underlying regulations, or other laws impacted by its implementation is made more complex by the fact that many of them have not been fully interpreted by the regulatory authorities or the courts, and their provisions are subject to a variety of interpretations. Any action against us for violation of these laws, even if we successfully defend against them, could cause us to incur significant legal expenses and divert our management's attention from the operation of our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6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As a supplier of pharmaceuticals, certain U.S. federal and state health care laws and regulations pertaining to patients' rights to privacy, fraud and abuse are and will be applicable to our business. We could be subject to healthcare fraud and abuse and patient privacy regulation by both the federal government and the states in which we conduct our business. The regulations include the:</w:t>
      </w:r>
    </w:p>
    <w:p>
      <w:pPr>
        <w:spacing w:after="0" w:line="200" w:lineRule="exact"/>
        <w:rPr>
          <w:sz w:val="20"/>
          <w:szCs w:val="20"/>
          <w:color w:val="auto"/>
        </w:rPr>
      </w:pPr>
    </w:p>
    <w:p>
      <w:pPr>
        <w:ind w:left="1080" w:hanging="532"/>
        <w:spacing w:after="0" w:line="25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Statute,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statute in order to have committed a violation. Further, the government may assert that a claim, including items and services resulting from a violation of the federal Anti-Kickback Statute, constitutes a false or fraudulent claim for purposes of the federal False Claims Act, discussed below;</w:t>
      </w:r>
    </w:p>
    <w:p>
      <w:pPr>
        <w:spacing w:after="0" w:line="220" w:lineRule="exact"/>
        <w:rPr>
          <w:rFonts w:ascii="Times New Roman" w:cs="Times New Roman" w:eastAsia="Times New Roman" w:hAnsi="Times New Roman"/>
          <w:sz w:val="18"/>
          <w:szCs w:val="18"/>
          <w:color w:val="auto"/>
        </w:rPr>
      </w:pPr>
    </w:p>
    <w:p>
      <w:pPr>
        <w:ind w:left="1080" w:right="260" w:hanging="532"/>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 and which may apply to entities like us which provide coding and billing advice to customers;</w:t>
      </w:r>
    </w:p>
    <w:p>
      <w:pPr>
        <w:spacing w:after="0" w:line="206"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 Insurance Portability and Accountability Act of 1996 (HIPAA), which prohibits executing a scheme to defraud any healthcare benefit program or making false statements relating to healthcare matters. Similar to the federal Anti-Kickback Statute, a person or entity does not need to have actual knowledge or specific intent to violate the statute in order to have committed a violation;</w:t>
      </w:r>
    </w:p>
    <w:p>
      <w:pPr>
        <w:spacing w:after="0" w:line="199"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also imposes certain requirements relating to the privacy, security and transmission of individually identifiable health information;</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physician payment transparency requirements under the Affordable Care Act, which require manufacturers of drugs, devices, biologics, and medical supplies to report to the Department of Health and Human Services information related to physician payments and to other transfers of value and physician ownership and investment interests;</w:t>
      </w:r>
    </w:p>
    <w:p>
      <w:pPr>
        <w:spacing w:after="0" w:line="199"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us to calculate and report complex pricing metrics to government programs, where such reported prices may be used in the calculation of reimbursement and/or discounts on our commercial products;</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FDCA, which among other things, strictly regulates drug product marketing, prohibits manufacturers from marketing drug products for off-label use and regulates the distribution of drug samples; and</w:t>
      </w:r>
    </w:p>
    <w:p>
      <w:pPr>
        <w:spacing w:after="0" w:line="200" w:lineRule="exact"/>
        <w:rPr>
          <w:rFonts w:ascii="Times New Roman" w:cs="Times New Roman" w:eastAsia="Times New Roman" w:hAnsi="Times New Roman"/>
          <w:sz w:val="18"/>
          <w:szCs w:val="18"/>
          <w:color w:val="auto"/>
        </w:rPr>
      </w:pPr>
    </w:p>
    <w:p>
      <w:pPr>
        <w:ind w:left="1080" w:right="180" w:hanging="532"/>
        <w:spacing w:after="0" w:line="301" w:lineRule="auto"/>
        <w:tabs>
          <w:tab w:leader="none" w:pos="10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 equivalents of each of the above federal laws, such as state anti-kickback laws, physician payment and drug pricing transparency laws, and false claims laws which may apply to our business practices, including, but not limited to, research, distribution, sales and marketing arrangements and to claims for items or services reimbursed by any third-party payor, including commercial insurers; state laws that require pharmaceutical companies to comply with the pharmaceutical industry's voluntary compliance guidelines and the applicable compliance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220"/>
        <w:spacing w:after="0" w:line="262" w:lineRule="auto"/>
        <w:rPr>
          <w:sz w:val="20"/>
          <w:szCs w:val="20"/>
          <w:color w:val="auto"/>
        </w:rPr>
      </w:pPr>
      <w:r>
        <w:rPr>
          <w:rFonts w:ascii="Times New Roman" w:cs="Times New Roman" w:eastAsia="Times New Roman" w:hAnsi="Times New Roman"/>
          <w:sz w:val="18"/>
          <w:szCs w:val="18"/>
          <w:color w:val="auto"/>
        </w:rPr>
        <w:t>guidance promulgated by the federal government, or otherwise restrict payments that may be made to healthcare providers; and state laws governing the privacy and security of health information in certain circumstances, many of which differ from each other in significant ways and often are not preempted by federal laws, thus complicating compliance efforts.</w:t>
      </w:r>
    </w:p>
    <w:p>
      <w:pPr>
        <w:spacing w:after="0" w:line="1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could be costly. 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impair our financial results.</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we continue to increase the size of our organization, we may experience difficulties in managing growth.</w:t>
      </w:r>
    </w:p>
    <w:p>
      <w:pPr>
        <w:spacing w:after="0" w:line="2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personnel, systems and facilities currently in place may not be adequate to support future growth. Our future financial performance and our ability to compete effectively will depend, in part, on our ability to effectively manage our recent and any future growth. In 2018, we increased from 422 employees to 448 employees and increased revenues to $408.9 million from $302.2 million in 2017. Our need to effectively execute our growth strategy requires that we:</w:t>
      </w:r>
    </w:p>
    <w:p>
      <w:pPr>
        <w:spacing w:after="0" w:line="200"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regulatory approvals and clinical trials effectively;</w:t>
      </w:r>
    </w:p>
    <w:p>
      <w:pPr>
        <w:spacing w:after="0" w:line="252" w:lineRule="exact"/>
        <w:rPr>
          <w:rFonts w:ascii="Times New Roman" w:cs="Times New Roman" w:eastAsia="Times New Roman" w:hAnsi="Times New Roman"/>
          <w:sz w:val="18"/>
          <w:szCs w:val="18"/>
          <w:color w:val="auto"/>
        </w:rPr>
      </w:pPr>
    </w:p>
    <w:p>
      <w:pPr>
        <w:ind w:left="1080" w:right="68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complying with our contractual obligations to licensors, licensees, contractors, collaborators and other third parties;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sufficient numbers of talented employees, with the requisite skills and experience.</w:t>
      </w:r>
    </w:p>
    <w:p>
      <w:pPr>
        <w:spacing w:after="0" w:line="22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recruit and train additional qualified personnel, which may result in weaknesses in our infrastructure, give rise to operational mistakes, loss of business opportunities, loss of employees and reduced productivity.</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Moreover, acquiring such additional resources could increase our legal and financial compliance costs, divert management attention from other matters, and/or make some activities more time consuming.</w:t>
      </w:r>
    </w:p>
    <w:p>
      <w:pPr>
        <w:spacing w:after="0" w:line="1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Given the complexity of such transactions, there is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This could result in continuing uncertainty regarding compliance matters and financial reporting requirements.</w:t>
      </w:r>
    </w:p>
    <w:p>
      <w:pPr>
        <w:spacing w:after="0" w:line="151"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auto"/>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operations rely on sophisticated information technology and equipment systems and infrastructure, a disruption of which could harm our operations.</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we rely on various information technology, equipment systems, and some of which are dependent on services provided by third parties, to manage our technology platform and operations. These systems provide critical data and services for internal and external users, including procurement and inventory management, transaction processing, financial, commercial and operational data, human resources management, legal and tax compliance information and other information and processes necessary to operate and manage our business. These systems are complex and are frequently updated as technology improves, and may include software and hardware that is licensed, leased or purchased from third parties. If our information technology, equipment or systems fail to function properly due to internal errors or defects, implementation or integration issues, catastrophic events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 manage, expand, and update our information technology infrastructure or any failure in the operation of this infrastructure could harm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move our headquarters and may face disruption and additional costs.</w:t>
      </w:r>
    </w:p>
    <w:p>
      <w:pPr>
        <w:spacing w:after="0" w:line="22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We have entered into a lease to relocate our corporate headquarters in 2019. In connection with the relocation, we expect to incur additional expenses, including those related to moving and exit costs, tenant improvements and associated expenses not covered by the landlord, as well as furniture and equipment for the new corporate headquarters. The relocation could result in business disruption and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could have a negative impact on our operating results. In addition, we may incur charges related to exiting our current lease if we are not able to exit or release on favorable terms.</w:t>
      </w:r>
    </w:p>
    <w:p>
      <w:pPr>
        <w:spacing w:after="0" w:line="17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must comply with environmental laws and regulations, which can be expensive and restrict how we do business.</w:t>
      </w:r>
    </w:p>
    <w:p>
      <w:pPr>
        <w:spacing w:after="0" w:line="16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interrupt our business operations, including our commercialization, research and development efforts. Although we believe that the safety procedures utilized by our third-party manufacturers for handling and disposing of these materials generally comply with the standards prescribed by applicable laws and regulations, we have no direct control over our third-party manufacturers and therefore cannot guarantee that this is the case, or that we can eliminate the risk of accidental contamination or that such safety procedures will prevent injury from these materials. In such an event, we may be held liable for any resulting damages and such liability could exceed our resources.</w:t>
      </w:r>
    </w:p>
    <w:p>
      <w:pPr>
        <w:spacing w:after="0" w:line="167"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We do not currently maintain biological or hazardous materials insurance coverage. While we have implemented processes and procedures to try to ensure that the suppliers we use are complying with all applicable regulations, there can be no assurances that such suppliers in all instances will comply with such processes and procedures or otherwise with applicable regulations. Noncompliance could result in our marketing and distribution of contaminated, defective or dangerous products which could subject us to liabilities and could result in the imposition by governmental authorities of procedures or penalties that could restrict or eliminate our ability to sell products. Any or all of these effects could adversely affect our business, financial condition and results of operations.</w:t>
      </w:r>
    </w:p>
    <w:p>
      <w:pPr>
        <w:spacing w:after="0" w:line="158" w:lineRule="exact"/>
        <w:rPr>
          <w:sz w:val="20"/>
          <w:szCs w:val="20"/>
          <w:color w:val="auto"/>
        </w:rPr>
      </w:pPr>
    </w:p>
    <w:p>
      <w:pPr>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Our patent protection could be reduced or eliminated for non-compliance with these requirements.</w:t>
      </w:r>
    </w:p>
    <w:p>
      <w:pPr>
        <w:spacing w:after="0" w:line="12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pharmaceutical companies, including our competitors or potential competitors and, as such, we may be subject to claims that we or these employees have used or disclosed trade secrets or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In the ordinary course of our business, we or our vendors collect and store sensitive data in our or their data centers and on our networks, including: intellectual property; our proprietary business information; proprietary information of our customers, suppliers and business partners; and personally identifiable information of our employees and patients in our clinical trials. In addition, hardware, software, or applications we procure from third parties or through open source solutions may contain defects in design or manufacture or other problems that could unexpectedly compromise information security. The continued occurrence of high-profile data breaches provides evidence of an external environment increasingly hostile to information security, and the secure processing, maintenance and transmission of information is critical to our operations and business strategy. Despite our security measures, our information technology and infrastructure may be vulnerable to attacks by hackers or breached due to employee error, malfeasance or other disruptions. Despite our efforts to improve our information security controls, it is possible that the security controls we have implemented to safeguard personal data and our networks, our training of employees and vendors on data security, our vendor security requirements and other practices we follow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or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which could adversely affect our business, revenues and competitive position.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in our agreement with Shire or its successor impose restrictive covenants on us, which could limit our ability to operate effectively in the future.</w:t>
      </w:r>
    </w:p>
    <w:p>
      <w:pPr>
        <w:spacing w:after="0" w:line="2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and Capital Requirements</w:t>
      </w:r>
    </w:p>
    <w:p>
      <w:pPr>
        <w:spacing w:after="0" w:line="22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Although we have been profitable from operations since the fourth quarter of 2014, there is no assurance that we will continue to generate net income in the future.</w:t>
      </w:r>
    </w:p>
    <w:p>
      <w:pPr>
        <w:spacing w:after="0" w:line="16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In recent years, we have focused primarily on developing our current products and product candidates, with the goal of commercializing these products and supporting regulatory approval for our product candidates. We have financed our operations through various transactions including the following:</w:t>
      </w:r>
    </w:p>
    <w:p>
      <w:pPr>
        <w:spacing w:after="0" w:line="187"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$52.3 million initial public offering in May 2012;</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follow-on $49.9 million equity offering in November 2012;</w:t>
      </w:r>
    </w:p>
    <w:p>
      <w:pPr>
        <w:spacing w:after="0" w:line="238" w:lineRule="exact"/>
        <w:rPr>
          <w:rFonts w:ascii="Times New Roman" w:cs="Times New Roman" w:eastAsia="Times New Roman" w:hAnsi="Times New Roman"/>
          <w:sz w:val="18"/>
          <w:szCs w:val="18"/>
          <w:color w:val="auto"/>
        </w:rPr>
      </w:pPr>
    </w:p>
    <w:p>
      <w:pPr>
        <w:jc w:val="center"/>
        <w:ind w:left="5620" w:right="760" w:hanging="5072"/>
        <w:spacing w:after="0" w:line="525" w:lineRule="auto"/>
        <w:tabs>
          <w:tab w:leader="none" w:pos="10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$90.0 million private placement offering of 7.50% Convertible Senior Secured Notes (2019 Notes) in May 2013;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$30.0 million monetization of certain future royalty streams in 2014, under our existing license for Orenitram;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our $402.5 million private placement of 0.625% Convertible Senior Notes (2023 Notes) in March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incurred significant operating losses since inception through 2014. As of December 31, 2017, we had an accumulated deficit of approximately</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$26.8 million and as of December 31, 2018, we had retained earnings of approximately $86.5 million. Substantially all of our operating losses in prior years resulted from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with respect to our product candidates as we advance those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our product candidates.</w:t>
      </w:r>
    </w:p>
    <w:p>
      <w:pPr>
        <w:spacing w:after="0" w:line="196"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Our prior losses have had an adverse effect on our stockholders' equity and cash position. While we anticipate maintaining profitability in 2019 and beyond, we cannot be certain that we will do so. Any potential future losses, if and when they occur, could have an adverse impact on our stockholders' equity and working capital. Furthermore, since the completion of our initial public offering in May 2012, we have incurred additional costs associated with operating as a public company, including those associated with Section 404 of the Sarbanes-Oxley Act of 2002 (SOX) concerning financial controls over financial reporting.</w:t>
      </w:r>
    </w:p>
    <w:p>
      <w:pPr>
        <w:spacing w:after="0" w:line="153" w:lineRule="exact"/>
        <w:rPr>
          <w:sz w:val="20"/>
          <w:szCs w:val="20"/>
          <w:color w:val="auto"/>
        </w:rPr>
      </w:pPr>
    </w:p>
    <w:p>
      <w:pPr>
        <w:ind w:right="9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would force us to delay, reduce or eliminate our product development programs or commercialization efforts.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Developing product candidates, conducting clinical trials, establishing manufacturing relationships and marketing drugs are expensive and uncertain processes.</w:t>
      </w:r>
    </w:p>
    <w:p>
      <w:pPr>
        <w:spacing w:after="0" w:line="24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w:t>
      </w:r>
    </w:p>
    <w:p>
      <w:pPr>
        <w:spacing w:after="0" w:line="239"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support our products in the marketplace and the rate of increase in the level of sales in the marketplace;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clinical success, and cost of our trials and other product development programs for our product candidates;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in-licensing additional product candidates or acquiring other complementary companies;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of our product candidates;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and their success in selling competitive product offerings including generics;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terms and timing of any collaborative, licensing, co-promotion or other arrangement.</w:t>
      </w:r>
    </w:p>
    <w:p>
      <w:pPr>
        <w:spacing w:after="0" w:line="22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Additional financing may not be available in the amount we require or may not be available on terms that are favorable to us, or at all. We may seek additional capital due to favorable market conditions 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or increase profitability.</w:t>
      </w:r>
    </w:p>
    <w:p>
      <w:pPr>
        <w:spacing w:after="0" w:line="22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Our ability to remain profitable depends upon our ability to generate increasing levels of revenue from sales of our products, Oxtellar XR and Trokendi XR, while simultaneously funding the requisite research expenditures to gain FDA approval for our product candidates. Since 2013, the first year in which we generated revenue from our first commercial products, we have demonstrated the ability to become and remain profitable. Future revenues will highly depend on our ability to grow demand for our products and defend against potential generic competition, and successfully develop and commercialize our product candidates.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w:t>
      </w:r>
    </w:p>
    <w:p>
      <w:pPr>
        <w:spacing w:after="0" w:line="229"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We expect that any revenue we generate will fluctuate from quarter to quarter and year to year as a result of revenue from approved products, our license agreements, the amount of and timing for development milestones and product revenue received under our collaboration license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earnings and other operating results will be affected by numerous factors, including:</w:t>
      </w:r>
    </w:p>
    <w:p>
      <w:pPr>
        <w:spacing w:after="0" w:line="239"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acceptance for any approved product candidate, underlying demand for that product and wholesalers' buying patterns;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 development and clinical trial activities through all phases of clinical development;</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commercial arrangements, and the timing of payments we may make or receive under these arrangements;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clinical development;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if received, of additional indications for our existing products;</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products and our future products that could delay or prevent commercialization, cause an approved drug to be taken off the market, or result in litigation;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we may become involved;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sales and marketing infrastructure;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third-party manufacturers to supply or manufacture our products and product candidates;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new products, or potential generics to our products or to competitive products that may emerge;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products and product candidates;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environment and regulatory changes.</w:t>
      </w:r>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stock could decline substantially. Furthermore, any quarterly fluctuations in our operating results may, in turn, cause the price of our stock to fluctuate substantially.</w:t>
      </w:r>
    </w:p>
    <w:p>
      <w:pPr>
        <w:spacing w:after="0" w:line="170"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Compliance with the SOX, the Dodd-Frank Act of 2010, as well as rules of the Securities and Exchange Commission and NASDAQ, for example, has resulted in significant initial cost to us as well as ongoing increases in our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costs to maintain the same or similar coverage.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Section 404 of SOX relating to internal controls over financial reporting. We have and expect to continue to incur significant expense and devote substantial management effort toward ensuring compliance with Section 404. We currently do not have an internal audit group and have hired additional accounting and financial staff with appropriate public company experience and technical accounting knowledge. We expect that we will have to compete in the market place for qualified accounting and financial staff and we may have difficulties identifying and attracting qualified persons.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controls over financial reporting will prove to be effective.</w:t>
      </w:r>
    </w:p>
    <w:p>
      <w:pPr>
        <w:spacing w:after="0" w:line="18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identify material weaknesses in our internal controls over financial reporting or otherwise fail to maintain an effective system of internal controls, which might cause stockholders to lose confidence in our financial and other public reporting, which in turn would harm our business and the trading price of our common stock.</w:t>
      </w:r>
    </w:p>
    <w:p>
      <w:pPr>
        <w:spacing w:after="0" w:line="18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Effective internal control over financial reporting and adequate disclosure controls and procedures are necessary for us to provide reliable financial reports. These are designed to prevent fraud. Any failure to implement required new or improved controls, or difficulties encountered in their implementation, could cause us to fail to meet our reporting obligations. In addition, any testing conducted by us in connection with Section 404(a) of SOX, or the subsequent testing by our independent registered public accounting firm in connection with Section 404(b) of SOX, may reveal deficiencies in our internal controls over financial reporting that are deemed to be material weaknesses. These may require prospective or retroactive changes to our consolidated financial statements or identify other areas for further attention or improvement. Any system of internal controls, however well designed and operated, is based in part on certain assumptions and can provide only reasonable, not absolute, assurances that the objectives of the system are met. Any material weaknesses in our internal controls could cause</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to lose confidence in our reported financial information, which could have a negative effect on the trading price of our common stock.</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spacing w:after="0" w:line="190"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or may expire prior to utilization.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utilize our U.S. Federal and state net operating losses or U.S.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change their aggregate ownership by more than 50 percentage points over their lowest ownership percentage in a testing period, which is typically three years or since the last ownership change. We are already subject to Section 382 limitations due to cumulative ownership changes that, as of November 15, 2013, totaled more than 50%. As of December 31, 2018, we had U.S. Federal net operating loss carryforwards of approximately $20.6 million and research and development tax credit carryforwards of approximately $4.2 million. Future changes in stock ownership may also trigger an additional ownership change and, consequently, another Section 382 limitation.</w:t>
      </w:r>
    </w:p>
    <w:p>
      <w:pPr>
        <w:spacing w:after="0" w:line="195"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p>
      <w:pPr>
        <w:spacing w:after="0" w:line="2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our common stock or instruments convertible into shares of our common stock and thereby materially and adversely affect the market price of our common stock.</w:t>
      </w:r>
    </w:p>
    <w:p>
      <w:pPr>
        <w:spacing w:after="0" w:line="1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17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We may conduct future offerings of our common stock, preferred stock or other securities convertible into our common stock to fund acquisitions, finance operations or for other purposes. In addition, as of December 31, 2018, we had outstanding 52,316,583 shares of common stock, of which approximately 1,929,645 shares are restricted securities that may be sold in accordance with the resale restrictions under Rule 144 of the Securities Act of 1933, as amended (Securities Act) or pursuant to a resale registration statement. Also, as of December 31, 2018, we had outstanding options to purchase 3,916,963 shares of common stock that, if exercised, would result in these additional shares becoming</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available for sale. Approximately 5% of these shares and options are held by senior management of the Company. We have also registered all common stock subject to options outstanding or reserved for issuance under our 2005 Stock Plan, 2012 Equity Incentive Plan and 2012 Employee Stock Purchase Plan. An aggregate of 2,776,656 and 154,834 shares of our common stock are reserved for future issuance under the 2012 Equity Incentive Plan and the 2012 Employee Stock Purchase Plan, respectively.</w:t>
      </w:r>
    </w:p>
    <w:p>
      <w:pPr>
        <w:spacing w:after="0" w:line="18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Because we do not anticipate paying any cash dividends in the foreseeable future, capital appreciation, if any, of our common stock will be your sole source of gain on an investment in our common stock.</w:t>
      </w:r>
    </w:p>
    <w:p>
      <w:pPr>
        <w:spacing w:after="0" w:line="16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our stockholders have purchased their shares.</w:t>
      </w:r>
    </w:p>
    <w:p>
      <w:pPr>
        <w:spacing w:after="0" w:line="18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69"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our business, our market or our competitors. If securities or industry analysts presently covering our business do not continue such coverage or if additional securities or industry analysts do not commence coverage of our Company, the trading price for our stock could be negatively impacted.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89"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6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may have the effect of delaying or preventing a change of control. These provisions include the following:</w:t>
      </w:r>
    </w:p>
    <w:p>
      <w:pPr>
        <w:spacing w:after="0" w:line="187" w:lineRule="exact"/>
        <w:rPr>
          <w:sz w:val="20"/>
          <w:szCs w:val="20"/>
          <w:color w:val="auto"/>
        </w:rPr>
      </w:pPr>
    </w:p>
    <w:p>
      <w:pPr>
        <w:ind w:left="10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pacing w:after="0" w:line="199"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acquiror from conducting a solicitation of proxies to elect such acquiror's own slate of directors or otherwise attempting to obtain control of our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187" w:lineRule="exact"/>
        <w:rPr>
          <w:rFonts w:ascii="Times New Roman" w:cs="Times New Roman" w:eastAsia="Times New Roman" w:hAnsi="Times New Roman"/>
          <w:sz w:val="18"/>
          <w:szCs w:val="18"/>
          <w:color w:val="auto"/>
        </w:rPr>
      </w:pPr>
    </w:p>
    <w:p>
      <w:pPr>
        <w:ind w:left="1080" w:right="500" w:hanging="532"/>
        <w:spacing w:after="0" w:line="26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spacing w:after="0" w:line="18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 active public market for our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predict the extent to which investor interest in our common stock will allow us to maintain an active trading market on the NASDAQ Global Market or a similar market or how liquid that market might be. If an active public market is not sustained, it may be difficult to sell shares of common stock at a price that is attractive to the investor, or at all. Further, an inactive market may also impair our ability to raise capital by selling shares of our common stock and may impair our ability to enter into strategic partnerships or acquire companies or products, product candidates or technologies by using our shares of common stock as consideration.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the extent outstanding stock options are exercised, there will be dilution to new investors.</w:t>
      </w:r>
    </w:p>
    <w:p>
      <w:pPr>
        <w:spacing w:after="0" w:line="229"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As of December 31, 2018, we had issued options to purchase 3,916,963 shares of common stock outstanding, with exercise prices ranging from $2.56 to $58.15 per share and a weighted average exercise price of $19.98 per share. Upon the vesting of each of these options, the holder may exercise his or her options, which would result in dilution to investors.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2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market price for our common stock historically has been volatile. In addition, the market price of our common stock may fluctuate significantly in response to a number of factors, including:</w:t>
      </w:r>
    </w:p>
    <w:p>
      <w:pPr>
        <w:spacing w:after="0" w:line="187"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for the U.S. stock market;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performance of Oxtellar XR, Trokendi XR, or any of our product candidates that receive regulatory approval;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our products in favor of generic versions;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our ongoing patent infringement law suits;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ANDAs by generic companies seeking approval to market generic versions of our products;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in and results from clinical trials of our product candidates generally;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international regulatory actions, including actions on regulatory applications for any of our product candidates;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services or technologies, commercial relationships, acquisitions or other events by us or our competitors;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regulatory changes in the pharmaceutical and biotechnology sectors;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products and/or potential products;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in our operating results from the estimates of securities analysts;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by our executive officers, directors and significant stockholders;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policies for our products and/or product candidates;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by us of our stock price in the financial or scientific press or online investor communities.</w:t>
      </w:r>
    </w:p>
    <w:p>
      <w:pPr>
        <w:spacing w:after="0" w:line="22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4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incurred $402.5 million of additional indebtedness as a result of the sale of 0.625% Convertible Senior Notes due 2023 (2023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213"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economic interests of our existing stockholders as a result of issuing shares of our common stock upon conversion of the 2023 Notes notwithstanding the convertible hedge and warrant transactions;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2023 Notes.</w:t>
      </w:r>
    </w:p>
    <w:p>
      <w:pPr>
        <w:spacing w:after="0" w:line="17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the 2023 Notes.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December 31, 2018, 3,916,963 shares of our common stock were reserved for future issuance upon the exercise of outstanding options, 2,776,656 shares were reserved for future issuance under our 2012 Equity Incentive Plan and 154,834 shares were reserved for future issuance under our 2012 Employee Stock Purchase Plan.</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indenture for the 2023 Notes will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the 2023 Notes may significantly decrease. In addition, our issuance of additional shares of common stock will dilute the ownership interests of our existing common stockholders, including noteholders who have received shares of our common stock upon conversion of their 2023 Notes.</w:t>
      </w:r>
    </w:p>
    <w:p>
      <w:pPr>
        <w:spacing w:after="0" w:line="18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2023 Notes for cash following a fundamental change, or to pay any cash amounts due upon conversion, and our other indebtedness may limit our ability to repurchase the 2023 Notes or pay cash upon their conversion.</w:t>
      </w:r>
    </w:p>
    <w:p>
      <w:pPr>
        <w:spacing w:after="0" w:line="1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Noteholders may require us to repurchase their 2023 Notes following a fundamental change at a cash repurchase price generally equal to the principal amount of the notes to be repurchased, plus accrued and unpaid interest, if any. In addition, upon conversion, we must satisfy part or all of our conversion obligation in cash unless we elect to settle conversions solely in shares of our common stock. We may not have enough available cash or be able to obtain financing at the time we are required to repurchase the 2023 Notes or pay the cash amounts due upon conversion. In addition, applicable law and/or regulatory authorities may restrict our ability to repurchase the 2023 Notes or pay the cash amounts due upon conversion. Our failure to repurchase 2023 Notes or to pay the cash amounts due upon conversion when required will constitute a default under the indenture. A default under the indenture or the fundamental change itself could also lead to a default under agreements governing our other indebtedness, which may result in other indebtedness becoming immediately payable in full. We may not have sufficient funds to satisfy all amounts due under the other indebtedness and the 2023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229"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Certain provisions in the 2023 Notes and the indenture could make a third party attempt to acquire us more difficult or expensive. For example, if a takeover constitutes a fundamental change, then noteholders will have the right to require us to repurchase their 2023 Notes for cash, and we may be required to temporarily increase the conversion rate of the 2023 Notes. In either case, and in other cases, our obligations under the 2023 Notes and the indenture could increase the cost of acquiring us or otherwise discourage a third party from acquiring us or removing incumbent management, including in a transaction that noteholders or holders of our common shares may view as favorable.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2023 Notes could adversely affect our reported financial condition and results.</w:t>
      </w:r>
    </w:p>
    <w:p>
      <w:pPr>
        <w:spacing w:after="0" w:line="22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accounting method for reflecting the 2023 Notes on our balance sheet, accruing interest expense for the Notes and reflecting the underlying shares of our common stock in our reported diluted earnings per share may adversely affect our reported earnings and financial condition.</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applicable accounting principles, we record the initial liability carrying amount of the 2023 Notes at the fair value of a similar debt instrument that does not have a conversion feature, valued using our cost of capital for straight, unconvertible debt. We reflect the difference between the net proceeds from this offering and the initial carrying amount as a debt discount for accounting purposes, with the debt discount being amortized into interest expense over the term of the notes. As a result of this amortization, the interest expense that we recognize for the 2023 Notes for accounting purposes will be greater than the cash interest payments we will pay on the 2023 Notes, which will result in lower reported net income. The lower reported income resulting from this accounting treatment could depress the trading price of our common stock and the 2023 Notes.</w:t>
      </w:r>
    </w:p>
    <w:p>
      <w:pPr>
        <w:spacing w:after="0" w:line="193"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In addition, because we intend to settle conversions by paying the conversion value in cash up to the principal amount being converted and any excess in shares, we are be eligible to use the treasury stock method to reflect the shares underlying the 2023 Notes in our diluted earnings per share. In order to continue to apply the treasury stock method, we will need to consider on a quarterly basis our ability and intent to settle conversions by paying the conversion value in cash up to the principal amount being converted.</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treasury method, if the conversion value of the 2023 Notes exceeds their principal amount for a reporting period, then we will calculate our diluted earnings per share assuming that all the 2023 Notes were converted and that we issued shares of our common stock to settle the excess. However, if reflecting the 2023 Notes in diluted earnings per share in this manner is anti-dilutive, or if the conversion value of the 2023 Notes does not exceed their principal amount for a reporting period, then the shares underlying the 2023 Notes will not be reflected in our diluted earnings per share. If accounting standards change in the future or we determine that we are no longer able or intend to settle the conversion value in cash up to the principal amount being converted, and we, therefore, are no longer permitted to use the treasury stock method, then our diluted earnings per share may decline.</w:t>
      </w:r>
    </w:p>
    <w:p>
      <w:pPr>
        <w:spacing w:after="0" w:line="193"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notes are satisfied, then we may be required under applicable accounting standards to reclassify the liability carrying value of the notes as a current, rather than a long-term, liability. This reclassification could be required even if no noteholders convert their 2023 Notes and could materially reduce our reported working capital.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note hedge transactions and the warrant transactions may affect the value of the notes and our common stock.</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2023 Notes, we entered into privately negotiated convertible note hedge transactions with the hedge counterparties. The convertible note hedge transactions cover, subject to customary anti-dilution adjustments, the number of shares of common stock that will initially underlie the 2023 Notes sold. We also entered into separate, privately negotiated warrant transactions with the hedge counterparties relating to the same number of shares of our common stock, subject to customary anti-dilution adjustments.</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establishing their initial hedge positions with respect to the convertible note hedge transactions and the warrant transactions, we believe that the hedge counterparties and/or their affiliates entered into various cash-settled, over-the-counter derivative transactions with respect to our common stock and/or purchase shares of our common stock concurrently. In addition, we expect that the hedge counterparties and/or their affiliates will modify their hedge positions with respect to the convertible note hedge transactions and the warrant transactions from time to time, and are likely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do so during any observation period (as defined in the indenture) for the 2023 Notes, by purchasing and/or selling shares of our common stock and/or other securities of ours, including the 2023 Notes in privately negotiated transactions and/or open-market transactions or by entering into and/or unwinding various over-the-counter derivative transactions with respect to our common stock.</w:t>
      </w:r>
    </w:p>
    <w:p>
      <w:pPr>
        <w:spacing w:after="0" w:line="186"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The effect, if any, of these activities on the market price of our common stock and the trading price of the 2023 Notes will depend on a variety of factors, including market conditions, and cannot be ascertained at this time. Any of these activities could, however, adversely affect the market price of our common stock and/or the trading price of the 2023 Notes and, consequently, adversely affect noteholders' ability to convert the 2023 Notes and/or the value of the consideration that you receive upon conversion of the 2023 Notes.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convertible note hedge transactions.</w:t>
      </w:r>
    </w:p>
    <w:p>
      <w:pPr>
        <w:spacing w:after="0" w:line="229"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hedge counterparties are financial institutions, and we will be subject to the risk that they might default in the fulfillment of their obligations under the convertible note hedge transactions. Our exposure to the credit risk of the hedge counterparties will not be secured by any collateral.</w:t>
      </w:r>
    </w:p>
    <w:p>
      <w:pPr>
        <w:spacing w:after="0" w:line="17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Global economic conditions have from time to time resulted in the actual or perceived failure or financial difficulties of many financial institutions, including the bankruptcy filing by Lehman Brothers Holdings Inc. and its various affiliates, as well as by Bear Stearns. If a hedge counterparty becomes subject to insolvency proceedings, we will become an unsecured creditor in those proceedings with a claim equal to our exposure at that time under our transactions with that hedge counterparty. Our exposure will depend on many factors, but, generally, the increase in our exposure will be correlated with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any hedge counterparty.</w:t>
      </w:r>
    </w:p>
    <w:p>
      <w:pPr>
        <w:spacing w:after="0" w:line="161"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Conversion of the 2023 Notes or exercise of the warrants evidenced by the warrant transactions may dilute the ownership interest of existing stockholders, including noteholders who have previously converted their 2023 Notes.</w:t>
      </w:r>
    </w:p>
    <w:p>
      <w:pPr>
        <w:spacing w:after="0" w:line="1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our election, we may settle 2023 Notes tendered for conversion entirely or partly in shares of our common stock. Furthermore, the warrants evidenced by the warrant transactions are expected to be settled on a net-share basis. As a result, the conversion of some or all of the 2023 Notes or the exercise of some or all of such warrants may dilute the ownership interests of existing stockholders. Any sales in the public market of the common stock issuable upon such conversion of the 2023 Notes or such exercise of the warrants could adversely affect prevailing market prices of our common stock. In addition, the existence of the 2023 Notes may encourage short selling by market participants because the conversion of the 2023 Notes could depress the price of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pursue acquisitions of new product lines or businesses.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acquisition strategy entails numerous risks. Our ability to complete future acquisitions will depend on our ability to identify suitable acquisition candidates. If suitable candidates are identified, we may not be able to negotiate commercially acceptable terms for their acquisition or, if necessary, to finance those acquisitions. We anticipate competition for attractive candidates from other parties, some of whom have substantially greater financial and other resources than we have. Whether or not any particular acquisition is successfully completed, each of these activities is expensive and time consuming and would likely require our management to spend considerable time and effort to complete, which</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would detract from our management's ability to run our current business. Although we may spend considerable funds and efforts to pursue acquisitions, we may not be able to complete them.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could result in the occurrence of one or more of the following events:</w:t>
      </w:r>
    </w:p>
    <w:p>
      <w:pPr>
        <w:spacing w:after="0" w:line="239"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additional debt and contingent liabilities;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 related to intangible assets;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the operations, technologies, services and products of the acquired companies;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other business activities.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debt and liabilities of the target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difficulties integrating acquisitions.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Even if we are able to consummate an acquisition, the transaction would present many risks, including, among others: failing to achieve anticipated revenues, profits, benefits or cost savings; difficulty incorporating and integrating the acquired technologies, services or products; coordinating, establishing or expanding sales, distribution and marketing functions, as necessary; diversion of management's attention from other business concerns; being exposed to unanticipated or contingent liabilities from the acquired company, or incurring the impairment of goodwill; the loss of key employees or distribution partners; and difficulties implementing and maintaining sufficient controls, policies and procedures over the systems, products and processes of the acquired company. If we do not achieve the anticipated benefits of an acquisition as rapidly or to the extent anticipated by management, or if others do not perceive the same benefits of the acquisition as we do, there could be a material, adverse effect on our business, cash flows, financial condition or results of operations.</w:t>
      </w:r>
    </w:p>
    <w:p>
      <w:pPr>
        <w:spacing w:after="0" w:line="16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1550 East Gude Drive, Rockville, Maryland 20850, where we occupy approximately 44,500 square feet of laboratory and office space. Our lease term expires in April 30, 2020, with an option for a five-year extension. We also lease approximately 20,530 square feet of office space in an adjacent building to our existing office space located at 1500 East Gude Drive, Rockville, MD 20850, with a co-terminus lease term date of April 30, 2020. Effective January 31, 2019, we entered into a lease for approximately 136,016 square feet for the Company's new headquarters to be located at 9715 and 9717 Key West Avenue, Rockville, Maryland. The term of this lease commenced on February 1, 2019 and shall continue until April 30, 2034. We believe that these facilities are sufficient for our present and contemplated operations.</w:t>
      </w:r>
    </w:p>
    <w:p>
      <w:pPr>
        <w:spacing w:after="0" w:line="1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From time to time and in the ordinary course of business, we are subject to various claims, charges and litigation. We may be required to file infringement claims against third parties for the infringement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patents. We have filed such claims for infringement of the Orange Book patents listed for our product Oxtellar XR.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Supernus Pharmaceuticals, Inc. v. TWi Pharmaceuticals, Inc., et al., C.A. No. 15-369 (RMB)(JS) (D.N.J.)</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Supernus Pharmaceuticals, Inc. v. TWi Pharmaceuticals, Inc., et al., Appeal No. 2017-2513 (Fed. Cir.)</w:t>
      </w:r>
    </w:p>
    <w:p>
      <w:pPr>
        <w:spacing w:after="0" w:line="2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We received a Paragraph IV Notice Letter against United States Patent Nos. 7,722,898, 7,910,131, 8,617,600, and 8,821,930 from generic drug maker TWi Pharmaceuticals, Inc. on December 9, 2014. On January 16, 2015, we filed a lawsuit against TWi Pharmaceuticals, Inc. and TWi International LLC (d/b/a TWi Pharmaceuticals USA) (collectively TWi) alleging infringement of United States Patent Nos. 7,722,898, 7,910,131, 8,617,600, and 8,821,930. The Complaint— filed in the U.S. District Court for the District of New Jersey—alleged, inter alia, that TWi infringed our Oxtellar XR patents by submitting to the FDA an ANDA seeking to market a generic version of Oxtellar XR prior to the expiration of our patents. On February 13, 2015, TWi answered the Complaint and denied the substantive allegations of the Complaint. TWi also asserted Counterclaims seeking declaratory judgments of non-infringement and invalidity of United States Patent Nos. 7,722,898 and 7,910,131. On March 20, 2015, we filed our Reply, denying the substantive allegations of those Counterclaims. A four-day bench trial was held between April 3 and April 6, 2017. On August 15, 2017, the Court issued an opinion and order finding that: (i) TWi's ANDA products infringe United States Patent Nos. 7,722,898, 7,910,131, and 8,821,930; and (ii) United States Patent Nos. 7,722,898, 7,910,131, and 8,821,930 are not invalid. The Court entered a final judgment on August 28, 2017: (i) enjoining the FDA from approving TWi's ANDA before the expiration date of United States Patent Nos. 7,722,898, 7,910,131, and 8,821,930; and (ii) enjoining TWi from commercially manufacturing, using, offering to sell, or selling within the United States, or importing into the United States, TWi's ANDA products until the expiration of United States Patent Nos. 7,722,898, 7,910,131, and 8,821,930. On August 31, 2017, TWi filed a Notice of Appeal to the United States Court of Appeals for the Federal Circuit. On September 6, 2018, the United States Court of Appeals for the Federal Circuit affirmed the District Court's Final Judgment. The Federal Circuit's mandate issued on October 16, 2018.</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Supernus Pharmaceuticals, Inc. v. TWi Pharmaceuticals, Inc., et al., C.A. No. 17-2164 (RMB)(JS) (D.N.J.)</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received a second Paragraph IV Notice Letter against United States Patent Nos. 7,722,898, 7,910,131, 8,617,600, 8,821,930, 9,119,791, 9,351,975, and 9,370,525 from generic drug maker TWi Pharmaceuticals, Inc. on February 16, 2017. On March 31, 2017, we filed a lawsuit against TWi Pharmaceuticals, Inc. and TWi International LLC alleging infringement of United States Patent Nos. 7,722,898, 7,910,131, 8,617,600, 8,821,930, 9,119,791, 9,351,975, and 9,370,525. TWi filed a motion to dismiss Supernus's March 31, 2017 Complaint on May 10, 2017. On May 19, 2017, the Court "administratively terminate[d] this matter pending this Court's decision in the First TWi Action [concerning United States Patent Nos. 7,722,898, 7,910,131, 8,617,600, and 8,821,930]." As of the date of this filing, Civil Action No. 17-2164 (RMB)(JS) (D.N.J.) remains administratively terminated.</w:t>
      </w:r>
    </w:p>
    <w:p>
      <w:pPr>
        <w:spacing w:after="0" w:line="1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"SUPN" since May 1, 2012. Prior to that date, there was no public trading market for our common stock. The following table sets forth for the periods indicated the high and low intra-day sales prices per share of our common stock as reported on the Nasdaq Global Market.</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2020" w:type="dxa"/>
            <w:vAlign w:val="bottom"/>
            <w:shd w:val="clear" w:color="auto" w:fill="CCEEFF"/>
          </w:tcPr>
          <w:p>
            <w:pPr>
              <w:spacing w:after="0"/>
              <w:rPr>
                <w:sz w:val="18"/>
                <w:szCs w:val="18"/>
                <w:color w:val="auto"/>
              </w:rPr>
            </w:pPr>
          </w:p>
        </w:tc>
        <w:tc>
          <w:tcPr>
            <w:tcW w:w="4400" w:type="dxa"/>
            <w:vAlign w:val="bottom"/>
            <w:shd w:val="clear" w:color="auto" w:fill="CCEEFF"/>
          </w:tcPr>
          <w:p>
            <w:pPr>
              <w:jc w:val="right"/>
              <w:ind w:right="303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34.90</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41.80</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30.05</w:t>
            </w:r>
          </w:p>
        </w:tc>
      </w:tr>
      <w:tr>
        <w:trPr>
          <w:trHeight w:val="430"/>
        </w:trPr>
        <w:tc>
          <w:tcPr>
            <w:tcW w:w="2020" w:type="dxa"/>
            <w:vAlign w:val="bottom"/>
          </w:tcPr>
          <w:p>
            <w:pPr>
              <w:spacing w:after="0"/>
              <w:rPr>
                <w:sz w:val="24"/>
                <w:szCs w:val="24"/>
                <w:color w:val="auto"/>
              </w:rPr>
            </w:pPr>
          </w:p>
        </w:tc>
        <w:tc>
          <w:tcPr>
            <w:tcW w:w="4400" w:type="dxa"/>
            <w:vAlign w:val="bottom"/>
          </w:tcPr>
          <w:p>
            <w:pPr>
              <w:jc w:val="right"/>
              <w:ind w:right="303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23.10</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36.16</w:t>
            </w:r>
          </w:p>
        </w:tc>
      </w:tr>
      <w:tr>
        <w:trPr>
          <w:trHeight w:val="22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33.30</w:t>
            </w:r>
          </w:p>
        </w:tc>
      </w:tr>
    </w:tbl>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December 31, 2018, the closing price of our common stock on The NASDAQ Global Market was $33.22 per share. As of December 31, 2018, we had 20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During the three months ended December 31, 2018, the Company granted options to employees to purchase an aggregate of 20,100 shares of common stock at an exercise price of $37.20 per share. The options are exercisable for a period of ten years from the grant date. These issuances were exempt from registration in reliance on Section 4(a)(2) of the Securities Act as transactions not involving any public offering.</w:t>
      </w:r>
    </w:p>
    <w:p>
      <w:pPr>
        <w:spacing w:after="0" w:line="1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following graph sets forth the Company's total cumulative stockholder return as compared to the NASDAQ Stock Market Composite Index and the NASDAQ Biotechnology Index, for the period beginning May 1, 2012 and ending December 31, 2018. Total stockholder return assumes $100 invested at the beginning of the period in the common stock of the Company, the stocks represented in the NASDAQ Composite Index and the NASDAQ Pharmaceutical, respectively. Total return assumes reinvestment of dividends; the Company has paid no dividends on its common stock. Historical price performance should not be relied upon as indicative of future stock performance.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COMPARISON OF 5 YEARS CUMULATIVE TOTAL RETURN*</w:t>
      </w:r>
    </w:p>
    <w:p>
      <w:pPr>
        <w:spacing w:after="0" w:line="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Among Supernus Pharmaceuticals, Inc., the NASDAQ Composite Index</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and the NASDAQ Pharmaceutical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423025" cy="3181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302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hanging="532"/>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12/31/13 in stock or index, including reinvestment of dividends. Fiscal year ending December 31.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NASDAQ</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NASDAQ</w:t>
            </w: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Supernus</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Composite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Pharmaceuticals</w:t>
            </w:r>
          </w:p>
        </w:tc>
      </w:tr>
      <w:tr>
        <w:trPr>
          <w:trHeight w:val="165"/>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5"/>
              </w:rPr>
              <w:t>Pharmaceuticals,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Index</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Index</w:t>
            </w:r>
          </w:p>
        </w:tc>
        <w:tc>
          <w:tcPr>
            <w:tcW w:w="160" w:type="dxa"/>
            <w:vAlign w:val="bottom"/>
          </w:tcPr>
          <w:p>
            <w:pPr>
              <w:spacing w:after="0"/>
              <w:rPr>
                <w:sz w:val="14"/>
                <w:szCs w:val="14"/>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130.42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135.08</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334.88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107.58</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528.51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122.18</w:t>
            </w:r>
          </w:p>
        </w:tc>
      </w:tr>
      <w:tr>
        <w:trPr>
          <w:trHeight w:val="22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111.73</w:t>
            </w:r>
          </w:p>
        </w:tc>
      </w:tr>
    </w:tbl>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selected financial data should be read together with the information under "Management's Discussion and Analysis of Financial Condition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and our financial statements and the notes to those consolidated financial statements included elsewhere in this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10-K. The selected statements of operations data for the years ended December 31, 2018, 2017 and 2016 and balance sheet data as of December 31, 2018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2017 set forth below have been derived from our audited consolidated financial statements included elsewhere in this Annual Report on Form 10-K.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selected statement of earnings data for the years ended December 31, 2015 and 2014 and the balance sheet data as of December 31, 2016, 2015 and 2014 set forth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have been derived from the audited consolidated financial statements for such year not included in this Annual Report on Form 10-K. The historical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presented here are not necessarily indicative of future results.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product sales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399,871</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294,097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210,078</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143,526</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Royalty 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000" w:type="dxa"/>
            <w:vAlign w:val="bottom"/>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Interest expense on non-recourse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liability related to sale of future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(658)</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00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Changes in fair value of derivative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Earnings (loss) per share:</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51,989,824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50,756,603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49,472,434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47,485,258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42,260,896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54,098,872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51,708,983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51,160,380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42,260,896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69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gridSpan w:val="2"/>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840" w:type="dxa"/>
            <w:vAlign w:val="bottom"/>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marketable securities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356,018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140,040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90,121</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105,451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net of discount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329,462</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(26,823)</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(84,288)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(175,509)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(189,453)</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because of many factors, including those set forth under the "Risk Factors" section and elsewhere in this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pharmaceutical company focused on developing and commercializing products for the treatment of central nervous system (CNS) diseases. In 2013, we launched Oxtellar XR (extended-release oxcarbazepine) and Trokendi XR (extended-release topiramate), our two novel treatments for epilepsy. In April 2017, we launched Trokendi XR for the prophylaxis of migraine headache in adults and adolescents. In December 2018, the FDA approved the Company's supplemental new drug application (sNDA) for Oxtellar XR to include monotherapy treatment of partial onset seizures of epilepsy in adults and in children 6 to 17 years of age. Since 2013, we have significantly grown our net product sales, and have become profitable.</w:t>
      </w:r>
    </w:p>
    <w:p>
      <w:pPr>
        <w:spacing w:after="0" w:line="193"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Oxtellar XR and Trokendi XR were the first once-daily extended release oxcarbazepine and topiramate products, indicated for patients with epilepsy and launched in the United States (U.S.) market.</w:t>
      </w:r>
    </w:p>
    <w:p>
      <w:pPr>
        <w:spacing w:after="0" w:line="17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We are continuing to expand our intellectual property portfolio to provide additional protection for our technologies, products, and product candidates. We currently have U.S. patents covering Oxtellar XR and U.S. patents covering Trokendi XR, with the patents expiring no earlier than 2027 for each product. See Part I, Item I—Business, </w:t>
      </w:r>
      <w:r>
        <w:rPr>
          <w:rFonts w:ascii="Times New Roman" w:cs="Times New Roman" w:eastAsia="Times New Roman" w:hAnsi="Times New Roman"/>
          <w:sz w:val="18"/>
          <w:szCs w:val="18"/>
          <w:i w:val="1"/>
          <w:iCs w:val="1"/>
          <w:color w:val="auto"/>
        </w:rPr>
        <w:t>Intellectual Property and Exclusivity</w:t>
      </w:r>
      <w:r>
        <w:rPr>
          <w:rFonts w:ascii="Times New Roman" w:cs="Times New Roman" w:eastAsia="Times New Roman" w:hAnsi="Times New Roman"/>
          <w:sz w:val="18"/>
          <w:szCs w:val="18"/>
          <w:color w:val="auto"/>
        </w:rPr>
        <w:t>, for a complete description of our intellectual property position and Part I, Item 3—</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Proceedings </w:t>
      </w:r>
      <w:r>
        <w:rPr>
          <w:rFonts w:ascii="Times New Roman" w:cs="Times New Roman" w:eastAsia="Times New Roman" w:hAnsi="Times New Roman"/>
          <w:sz w:val="18"/>
          <w:szCs w:val="18"/>
          <w:color w:val="auto"/>
        </w:rPr>
        <w:t>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Prescriptions</w:t>
      </w:r>
    </w:p>
    <w:p>
      <w:pPr>
        <w:spacing w:after="0" w:line="22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expect the number of prescriptions filled for Oxtellar XR and Trokendi XR to continue to increase through 2019 and in subsequent years. Data from IQVIA (formerly Intercontinental Marketing Services (IMS)) shows that 786,411 total prescriptions were filled for both of these drugs during the year ended December 31, 2018, which is 29% higher than the 609,184 prescriptions reported for the year ended December 31, 2017.</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Since the 2017 migraine launch, Trokendi XR has shown robust acceleration in prescription growth. For the year ended December 31, 2018, total prescriptions for Trokendi XR increased by 161,810, or 34%, as compared to 2017. For the fourth quarter of 2018, total prescriptions for Trokendi XR increased by 25,519, or 18%, as compared to the fourth quarter of 2017.</w:t>
      </w:r>
    </w:p>
    <w:p>
      <w:pPr>
        <w:spacing w:after="0" w:line="18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2018, total prescriptions for Oxtellar XR increased by 15,417, or 12%, as compared to 2017. For the fourth quarter of 2018, total prescriptions for Oxtellar XR increased by 34,782, or approximately 13%, as compared to the fourth quarter of 2017.</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Net product sales for the year ended December 31, 2018 totaled $399.9 million, an increase of $105.8 million, or approximately 36%, over the $294.1 million for 2017. Net product sales for the fourth quarter of 2018 were $113.5 million, compared to net product sales of approximately $86.3 million for the same quarter last year, an increase of approximately 32%.</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Operating earnings for the year ended December 31, 2018 totaled $144.4 million compared to operating earnings of $99.5 million in 2017, an increase of approximately $44.9 million or 45%.</w:t>
      </w:r>
    </w:p>
    <w:p>
      <w:pPr>
        <w:spacing w:after="0" w:line="17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Net product sales and operating earnings for both the fourth quarter and year ended December 31, 2018 were favorably impacted by approximately $10 million due to higher wholesaler/distributor and pharmacy inventory levels in the fourth quarter of 2018. We expect that wholesaler and pharmacy channel inventory levels will revert to historical 2018 levels, thereby affecting 2019 net product sales by approximately$10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In years prior to 2018, we received several Paragraph IV Notice Letters concerning Oxtellar XR and Trokendi XR from various third-parties. (See Part I, Item 3— </w:t>
      </w: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for additional information.) We received no such letters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SPN-812 (viloxazine hydrochloride)</w:t>
      </w:r>
    </w:p>
    <w:p>
      <w:pPr>
        <w:spacing w:after="0" w:line="227"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SPN-812 is being developed as a novel non-stimulant treatment for ADHD. We initiated four Phase III clinical trials for SPN-812 in September 2017. The program consists of four three-arm, placebo-controlled trials: P301 and P303 trials in patients 6-11 years old and P302 and P304 trials in patients 12-17 years old.</w:t>
      </w:r>
    </w:p>
    <w:p>
      <w:pPr>
        <w:spacing w:after="0" w:line="128"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In December 2018, we announced positive topline results from P301, P302 and P303, meeting the primary efficacy endpoint in each of the three trials. Results of the second adolescent Phase III trial, P304, are expected by the end of the first quarter of 2019. We expect to submit a new drug application (NDA) for SPN-812 in the second half of 2019, and to launch it, pending FDA approval, in the second half of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SPN-810 (molindone hydrochloride)</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SPN-810 is being developed as a novel treatment for impulsive aggression (IA) in children who have attention deficit hyperactivity disorder (ADHD). One of our Phase III clinical trials (P301) was conducted under a Special Protocol Assessment (SPA) with the FDA, using a novel measurement scale, developed by us. Under the SPA, an interim analysis was conducted in the P301 trial. The purpose of the interim analysis was to assess the efficacy of the doses being tested and allow for optimization of the trial design of both trials. The interim analysis was completed and as a result we discontinued the 18 mg dose arm. Moving forward, all patients in each of the two trials are randomized to either the 36 mg dose arm or placebo, with the second Phase III trial, also conducted in children, using the same design and novel measurement scale.</w:t>
      </w:r>
    </w:p>
    <w:p>
      <w:pPr>
        <w:spacing w:after="0" w:line="19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first Phase III trial (P301) has reached its original enrollment target with data originally scheduled to be released in the first quarter of 2019. However, given that the data readout from the second trial (P302) is now expected in the second half of 2019, we have decided to keep enrolling in the P301 trial until data from both trials can be released concurrently instead of sequentially. We believe this change in the plan has no impact on the timing of the NDA filing. The completion of the second Phase III trial (P302) and the generation of data from the adolescent patient population (P503) are now rate-limiting for the NDA filing. We expect to submit a NDA for SPN-810 in the second half of 2020, and to launch it, pending FDA approval, in the second half of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patient enrollment began in December 2018 in a Phase III trial for SPN-810 (P503) treating IA in adolescents who have ADHD.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SPN-817 will utilize a novel synthetic form of huperzine A, whose mechanism of action includes potent acetyl cholinesterase inhibition with pharmacological activities in CNS conditions such as epilepsy. SPN-817 will have new chemical entity status (NCE) in the U.S. market. SPN-817 represents a novel mechanism of action for an anticonvulsant. Development will initially focus on the drug's anticonvulsant activity that has been demonstrated in preclinical models for partial seizures and Dravet Syndrome.</w:t>
      </w:r>
    </w:p>
    <w:p>
      <w:pPr>
        <w:spacing w:after="0" w:line="190" w:lineRule="exact"/>
        <w:rPr>
          <w:sz w:val="20"/>
          <w:szCs w:val="20"/>
          <w:color w:val="auto"/>
        </w:rPr>
      </w:pPr>
    </w:p>
    <w:p>
      <w:pPr>
        <w:jc w:val="both"/>
        <w:ind w:right="140"/>
        <w:spacing w:after="0" w:line="339" w:lineRule="auto"/>
        <w:rPr>
          <w:sz w:val="20"/>
          <w:szCs w:val="20"/>
          <w:color w:val="auto"/>
        </w:rPr>
      </w:pPr>
      <w:r>
        <w:rPr>
          <w:rFonts w:ascii="Times New Roman" w:cs="Times New Roman" w:eastAsia="Times New Roman" w:hAnsi="Times New Roman"/>
          <w:sz w:val="16"/>
          <w:szCs w:val="16"/>
          <w:color w:val="auto"/>
        </w:rPr>
        <w:t>We plan on studying SPN-817 initially in severe pediatric epilepsy disorders. A Phase I proof-of-concept trial is currently underway, using a non-synthetic form of huperzine A in adult patients with refractory complex partial seizures to study the safety and pharmacokinetics profile of a new extended release formulation.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SPN-809 (viloxazine hydrochloride)</w:t>
      </w:r>
    </w:p>
    <w:p>
      <w:pPr>
        <w:spacing w:after="0" w:line="227"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SPN-809 is a novel once-daily product candidate for the treatment of depression. SPN-809 incorporates the same active ingredient as SPN-812. We currently have an open investigational new drug application (IND) for SPN-809 as a treatment for depression, the indication for which the active ingredient in SPN-809 was approved and marketed in Europe for many years. It was never approved in the U.S. for this indication.</w:t>
      </w:r>
    </w:p>
    <w:p>
      <w:pPr>
        <w:spacing w:after="0" w:line="18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Because SPN-809 contains the same active ingredient as SPN-812, we expect that many of our activities related to the development of SPN-812 will also benefit the development of SPN-809.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SPN-604 (extended release oxcarbazepine for bipolar)</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continue to progress our plans to initiate pivotal Phase III studies for the treatment of bipolar disorder in the second half of 2019. If approved, this would represent the first approval for treatment of bipolar patients with oxcarbazepine in the U.S. Recently, we completed certain activities, including market research and claims database analysis on the use of oxcarbazepine in bipolar patients. We will be using information generated from these activities to finalize plans for the pivotal Phase III trials.</w:t>
      </w:r>
    </w:p>
    <w:p>
      <w:pPr>
        <w:spacing w:after="0" w:line="19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related to the continued development of each of our product candidates from 2019 through FDA approval or until the program terminates.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2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The significant accounting policies and bases of presentation for our consolidated financial statements are described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of the Notes to Consolidated Financial Statements. The preparation of our consolidated financial statements in accordance with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accounting principles (GAAP) requires us to make estimates and assumptions that affect the reported amounts of assets, liabilities, revenues, and expenses and to disclose contingent assets and liabilities. Actual results could differ materially from those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policies and estimates to be critical: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Revenue from product sales is recognized when control of our products is transferred to our customers, who are primarily pharmaceutical wholesalers and distributors. Net product sales are based on gross revenue from product shipments to our customers, and are recorded net of various forms of variable consideration, including estimated rebates, discounts, allowances, and an estimated liability for product returns (collectively, "sales deductions"). We adjust our estimates at the earlier of when the most likely amount of consideration we expect to receive changes or when the consideration becomes fixed. For a</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 xml:space="preserve">complete description of our revenue recognition policy, see Part II, Item 8—Financial Statements and Supplementary Data, Note 2, </w:t>
      </w:r>
      <w:r>
        <w:rPr>
          <w:rFonts w:ascii="Times New Roman" w:cs="Times New Roman" w:eastAsia="Times New Roman" w:hAnsi="Times New Roman"/>
          <w:sz w:val="18"/>
          <w:szCs w:val="18"/>
          <w:i w:val="1"/>
          <w:iCs w:val="1"/>
          <w:color w:val="auto"/>
        </w:rPr>
        <w:t>Revenue from Product Sales</w:t>
      </w:r>
      <w:r>
        <w:rPr>
          <w:rFonts w:ascii="Times New Roman" w:cs="Times New Roman" w:eastAsia="Times New Roman" w:hAnsi="Times New Roman"/>
          <w:sz w:val="18"/>
          <w:szCs w:val="18"/>
          <w:color w:val="auto"/>
        </w:rPr>
        <w:t xml:space="preserve"> of the Notes to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Accrued Clinical Expenses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Research and development costs primarily consist of employee-related expenses, including: salaries and benefits; share-based compensation expense; expenses incurred under agreements with clinical research organizations (CROs), fees paid to investigators who are participating in our clinical trials, consultants and other vendors that assist in the conduct of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 Assets acquired that are used for research and development and have no future alternative use are expensed as in-process research and development.</w:t>
      </w:r>
    </w:p>
    <w:p>
      <w:pPr>
        <w:spacing w:after="0" w:line="19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Clinical trials are inherently complex and often involve multiple service providers. Because billing for services often lags by a substantial period of time, we often are required to estimate and accrue a significant portion of our clinical expenses. This process involves reviewing open contracts and communicating with our subject matter expert personnel and the appropriate service provider personnel to identify services that have been performed on our behalf but for which no invoice has been received. We accrue for the estimated but unbilled services performed and the associated cost incurred as of the end of the calendar quarter.</w:t>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Payments to service providers can either be based on hourly rates for service or based on performance driven milestones. When accruing clinical expenses, we estimate the time period over which services will be performed during the life of the entire clinical program, the total cost of the program and the level of effort to be expended in each intervening period. To the maximum extent possible, we work with each service provider to obtain an estimate for incurred but unbilled services as of the end of the calendar quarter, including estimates for payments to site investigators.</w:t>
      </w:r>
    </w:p>
    <w:p>
      <w:pPr>
        <w:spacing w:after="0" w:line="19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the current or subsequent periods. Historically, our estimated accrued clinical expenses have closely approximated the actual expenses incurred.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2018 and December 31, 2017</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Increase/</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(decrease)</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sales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399,871</w:t>
            </w:r>
          </w:p>
        </w:tc>
        <w:tc>
          <w:tcPr>
            <w:tcW w:w="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Licensing revenue</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product sales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on non-recourse liability related to sale of future royalties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(14,151)</w:t>
            </w: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Product Sales. </w:t>
      </w:r>
      <w:r>
        <w:rPr>
          <w:rFonts w:ascii="Times New Roman" w:cs="Times New Roman" w:eastAsia="Times New Roman" w:hAnsi="Times New Roman"/>
          <w:sz w:val="18"/>
          <w:szCs w:val="18"/>
          <w:color w:val="auto"/>
        </w:rPr>
        <w:t>The increase in net product sales from 2017 to 2018 was primarily driven by increased prescription volume generated by the launch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migraine indication for Trokendi XR in April 2017. In addition, fourth quarter 2018 net product sales were favorably impacted by approximately $10 million due to an increase in inventory levels at wholesalers/distributors and pharmacies. Price increases in 2018 also contributed to the increase in net product sales, offset by increases in gross to net deductions.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our net product sales by product, in thousands:</w:t>
      </w:r>
    </w:p>
    <w:p>
      <w:pPr>
        <w:spacing w:after="0" w:line="33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Net Product Sales</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95"/>
        </w:trPr>
        <w:tc>
          <w:tcPr>
            <w:tcW w:w="29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gridSpan w:val="4"/>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9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Product</w:t>
            </w:r>
          </w:p>
        </w:tc>
        <w:tc>
          <w:tcPr>
            <w:tcW w:w="0" w:type="dxa"/>
            <w:vAlign w:val="bottom"/>
          </w:tcPr>
          <w:p>
            <w:pPr>
              <w:spacing w:after="0"/>
              <w:rPr>
                <w:sz w:val="1"/>
                <w:szCs w:val="1"/>
                <w:color w:val="auto"/>
              </w:rPr>
            </w:pPr>
          </w:p>
        </w:tc>
      </w:tr>
      <w:tr>
        <w:trPr>
          <w:trHeight w:val="58"/>
        </w:trPr>
        <w:tc>
          <w:tcPr>
            <w:tcW w:w="29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Sales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Trokendi XR</w:t>
            </w: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226,518</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Oxtellar XR</w:t>
            </w:r>
          </w:p>
        </w:tc>
        <w:tc>
          <w:tcPr>
            <w:tcW w:w="1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84,576</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399,871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294,097</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Trokendi XR net product sales grew 39% for the year ended December 31, 2018 compared to the same period last year primarily due to increased prescription volume. Total prescriptions for Trokendi XR increased by 34% for the year ended December 31, 2018 as compared to 2017. This increase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prescriptions and the aforementioned increase in inventory levels at wholesalers/distributors and pharmacies in the fourth quarter of 2018 accounted for the majority of the total increase in net product sales for Trokendi XR. The difference between the volume growth and the related net product sales increase is generally due to price increases, offset by changes in revenue related allowances.</w:t>
      </w:r>
    </w:p>
    <w:p>
      <w:pPr>
        <w:spacing w:after="0" w:line="18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Oxtellar XR net product sales grew 25% for the year ended December 31, 2018 compared to the same period in 2017 primarily due to increased prescription volume and the aforementioned increase in inventory levels at wholesalers/distributors and pharmacies in the fourth quarter of 2018. Total prescriptions for Oxtellar XR increased by 12% for the year ended December 31, 2018 as compared to 2017. The difference between the volume growth and the related net product sales increase is generally due to price increases, offset by changes in revenue related allowances.</w:t>
      </w:r>
    </w:p>
    <w:p>
      <w:pPr>
        <w:spacing w:after="0" w:line="18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Royalty Revenue. </w:t>
      </w:r>
      <w:r>
        <w:rPr>
          <w:rFonts w:ascii="Times New Roman" w:cs="Times New Roman" w:eastAsia="Times New Roman" w:hAnsi="Times New Roman"/>
          <w:sz w:val="18"/>
          <w:szCs w:val="18"/>
          <w:color w:val="auto"/>
        </w:rPr>
        <w:t>Royalty revenue includes royalty from net product sales of Shire Plc's product, Mydayis, and non-cash royalty revenue consequent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Royalty Partners III, L.P. (HC Royalty) agreement, wherein HC Royalty receives royalty otherwise payable to us from sale of United Therapeutic's product, Orenitram. Non-cash royalty revenue for the years ended December 31, 2018 and 2017 were $5.9 million and $5.3 million, respectively. The increase is primarily due to increased sales of Orenitram.</w:t>
      </w:r>
    </w:p>
    <w:p>
      <w:pPr>
        <w:spacing w:after="0" w:line="18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Licensing Revenue. </w:t>
      </w:r>
      <w:r>
        <w:rPr>
          <w:rFonts w:ascii="Times New Roman" w:cs="Times New Roman" w:eastAsia="Times New Roman" w:hAnsi="Times New Roman"/>
          <w:sz w:val="18"/>
          <w:szCs w:val="18"/>
          <w:color w:val="auto"/>
        </w:rPr>
        <w:t>Licensing revenue includes milestone revenue for the years ended December 31, 2018 and 2017 were $0.75 million and $1.5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decrease from prior year is primarily due to the adoption of the new revenue recognition standard, Accounting Standards Codification (ASC) 606, which resulted in accelerated amortization of previously deferred up-front license revenue. The impact of the adoption was recorded as an adjustment to the opening balance of accumulated deficit in 2018.</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Product Sales. </w:t>
      </w:r>
      <w:r>
        <w:rPr>
          <w:rFonts w:ascii="Times New Roman" w:cs="Times New Roman" w:eastAsia="Times New Roman" w:hAnsi="Times New Roman"/>
          <w:sz w:val="18"/>
          <w:szCs w:val="18"/>
          <w:color w:val="auto"/>
        </w:rPr>
        <w:t>Cost of product sales for the years ended December 31, 2018 and 2017 were $15.4 million and $15.2 million, respectively. The year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increase of $0.2 million is attributable primarily to higher unit volume partially offset by manufacturing efficiencies.</w:t>
      </w:r>
    </w:p>
    <w:p>
      <w:pPr>
        <w:spacing w:after="0" w:line="16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 </w:t>
      </w:r>
      <w:r>
        <w:rPr>
          <w:rFonts w:ascii="Times New Roman" w:cs="Times New Roman" w:eastAsia="Times New Roman" w:hAnsi="Times New Roman"/>
          <w:sz w:val="18"/>
          <w:szCs w:val="18"/>
          <w:color w:val="auto"/>
        </w:rPr>
        <w:t>Research and development (R&amp;D) expenses for the year ended December 31, 2018 were $89.2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$49.6 million an increase of $39.6 million. This increase was primarily due to the ongoing four Phase III clinical trials for SPN-812, ongoing patient recruitment for the Phase III trials for SPN-810, the open label extension trials for both SPN-810 and SPN-812, and approximately $14 million charge related to the Biscayne acquisition.</w:t>
      </w:r>
    </w:p>
    <w:p>
      <w:pPr>
        <w:spacing w:after="0" w:line="183"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 (SG&amp;A). </w:t>
      </w:r>
      <w:r>
        <w:rPr>
          <w:rFonts w:ascii="Times New Roman" w:cs="Times New Roman" w:eastAsia="Times New Roman" w:hAnsi="Times New Roman"/>
          <w:sz w:val="18"/>
          <w:szCs w:val="18"/>
          <w:color w:val="auto"/>
        </w:rPr>
        <w:t>The table below shows the comparison of selling and marketing and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for the years ended December 31, 2018 and 2017:</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6"/>
              </w:rPr>
              <w:t>Selling, General and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Administrative</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left="4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Expense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180" w:type="dxa"/>
            <w:vAlign w:val="bottom"/>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3"/>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121,645</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104,072</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by approximately $17.6 million for the year ended December 31, 2018 as compared to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$6.4 million of the increase was due to increased compensation, benefits and other employee-related expenses associated with increased headcount in our field sales force. In addition, approximately $10.4 million of the increase was due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increased expenses for promotional and marketing programs, speaker programs and consulting services to support our commercial products, including the launch of the monotherapy indication for Oxtellar XR.</w:t>
      </w:r>
    </w:p>
    <w:p>
      <w:pPr>
        <w:spacing w:after="0" w:line="17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(G&amp;A) increased by $4.4 million for the year ended December 31, 2018,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Of this total, approximately $1.5 million relates to increased stock based compensation expense and approximately $2.6 million of increased compensation, benefits and other employee-related expenses associated with increased administrative headcount.</w:t>
      </w:r>
    </w:p>
    <w:p>
      <w:pPr>
        <w:spacing w:after="0" w:line="179" w:lineRule="exact"/>
        <w:rPr>
          <w:sz w:val="20"/>
          <w:szCs w:val="20"/>
          <w:color w:val="auto"/>
        </w:rPr>
      </w:pPr>
    </w:p>
    <w:p>
      <w:pPr>
        <w:ind w:right="48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Income. </w:t>
      </w:r>
      <w:r>
        <w:rPr>
          <w:rFonts w:ascii="Times New Roman" w:cs="Times New Roman" w:eastAsia="Times New Roman" w:hAnsi="Times New Roman"/>
          <w:sz w:val="16"/>
          <w:szCs w:val="16"/>
          <w:color w:val="auto"/>
        </w:rPr>
        <w:t>For the years ended December 31, 2018 and 2017, we recognized approximately $13.8 million and $2.9 million, respectively, of interest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income earned on our cash, cash equivalents and marketable securities. The increase is primarily attributable to an increase in cash, cash equivalents and marketable securities holdings from the net proceeds from the issuance of $402.5 million of 0.625% Convertible Senior Notes due 2023 (2023 Notes).</w:t>
      </w:r>
    </w:p>
    <w:p>
      <w:pPr>
        <w:spacing w:after="0" w:line="144"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w:t>
      </w:r>
      <w:r>
        <w:rPr>
          <w:rFonts w:ascii="Times New Roman" w:cs="Times New Roman" w:eastAsia="Times New Roman" w:hAnsi="Times New Roman"/>
          <w:sz w:val="16"/>
          <w:szCs w:val="16"/>
          <w:color w:val="auto"/>
        </w:rPr>
        <w:t>For the years ended December 31, 2018 and 2017, interest expense were approximately $13.8 million and $134,000, respectively.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approximately $13.7 million was entirely due to the interest on the 2023 Notes issued in March 2018. Approximately $11.8 million was non-cash interest expense from the amortization of deferred financing costs and debt discount on the 2023 Notes, and the remainder was cash interest expense.</w:t>
      </w:r>
    </w:p>
    <w:p>
      <w:pPr>
        <w:spacing w:after="0" w:line="1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on Non-recourse Liability Related to Sale of Future Royalties. </w:t>
      </w:r>
      <w:r>
        <w:rPr>
          <w:rFonts w:ascii="Times New Roman" w:cs="Times New Roman" w:eastAsia="Times New Roman" w:hAnsi="Times New Roman"/>
          <w:sz w:val="18"/>
          <w:szCs w:val="18"/>
          <w:color w:val="auto"/>
        </w:rPr>
        <w:t>For the years ended December 31, 2018 and 2017, non-cash interest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our non-recourse royalty liability was $4.3 million and $1.4 million, respectively. The increase of $2.9 million in non-cash expense was primarily due to an expected increase in the Orenitram sales forecast as a result of a favorable settlement of patent litigation for United Therapeutics Corporation (United Therapeutics).</w:t>
      </w:r>
    </w:p>
    <w:p>
      <w:pPr>
        <w:spacing w:after="0" w:line="183"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Extinguishment of Debt. </w:t>
      </w:r>
      <w:r>
        <w:rPr>
          <w:rFonts w:ascii="Times New Roman" w:cs="Times New Roman" w:eastAsia="Times New Roman" w:hAnsi="Times New Roman"/>
          <w:sz w:val="18"/>
          <w:szCs w:val="18"/>
          <w:color w:val="auto"/>
        </w:rPr>
        <w:t>There were no 2023 Notes converted for the year ended December 31, 2018. For the year ended December 31, 2017,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a non-cash loss on extinguishment of debt of approximately $295,000 related to the conversion of $4.6 million aggregate principal amount of our 7.5% Convertible Senior Secured Notes due 2019 (2019 Notes).</w:t>
      </w:r>
    </w:p>
    <w:p>
      <w:pPr>
        <w:spacing w:after="0" w:line="179"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 </w:t>
      </w:r>
      <w:r>
        <w:rPr>
          <w:rFonts w:ascii="Times New Roman" w:cs="Times New Roman" w:eastAsia="Times New Roman" w:hAnsi="Times New Roman"/>
          <w:sz w:val="16"/>
          <w:szCs w:val="16"/>
          <w:color w:val="auto"/>
        </w:rPr>
        <w:t>For the year ended December 31, 2018, we recorded $29.2 million of income tax expense, a decrease of $14.1 million as compared to the year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2017. The decrease in income tax expense is primarily due to a decrease in the effective income tax rate, from 43% in 2017 to 21% in 2018. The decrease in the effective income tax rate was primarily due to the reduction of the statutory U.S. corporate income tax rate from 35% to 21% as a result of the Tax Cuts and Jobs Act (Job Act) passed on December 22, 2017, coupled with the tax benefit from the exercise of employee stock options in 2018.</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Earnings. </w:t>
      </w:r>
      <w:r>
        <w:rPr>
          <w:rFonts w:ascii="Times New Roman" w:cs="Times New Roman" w:eastAsia="Times New Roman" w:hAnsi="Times New Roman"/>
          <w:sz w:val="18"/>
          <w:szCs w:val="18"/>
          <w:color w:val="auto"/>
        </w:rPr>
        <w:t>Net earnings for the year ended December 31, 2018 were $111.0 million, compared to net earnings of $57.3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2017, an increase of $53.7 million. This increase was primarily due to the revenue generated from our two commercial products, Trokendi XR and Oxtellar XR, partially offset by increased R&amp;D and SG&amp;A spending.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2017 and December 31, 2016</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4"/>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w w:val="70"/>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sales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294,097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Licensing revenue</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product sales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on non-recourse liability related to sale of future royalties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Product Sales. </w:t>
      </w:r>
      <w:r>
        <w:rPr>
          <w:rFonts w:ascii="Times New Roman" w:cs="Times New Roman" w:eastAsia="Times New Roman" w:hAnsi="Times New Roman"/>
          <w:sz w:val="18"/>
          <w:szCs w:val="18"/>
          <w:color w:val="auto"/>
        </w:rPr>
        <w:t>The increase in net product sales from 2016 to 2017 was primarily driven by increased prescription volume generated by the launch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migraine indication for Trokendi XR in April 2017. Price increases in 2017 and 2016 also contributed to the increase in net product sales, offset by increases in gross to net deductions.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our net product sales by product, in thousands:</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Net Product Sales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Years Ended</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gridSpan w:val="4"/>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5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Product</w:t>
            </w:r>
          </w:p>
        </w:tc>
        <w:tc>
          <w:tcPr>
            <w:tcW w:w="0" w:type="dxa"/>
            <w:vAlign w:val="bottom"/>
          </w:tcPr>
          <w:p>
            <w:pPr>
              <w:spacing w:after="0"/>
              <w:rPr>
                <w:sz w:val="1"/>
                <w:szCs w:val="1"/>
                <w:color w:val="auto"/>
              </w:rPr>
            </w:pPr>
          </w:p>
        </w:tc>
      </w:tr>
      <w:tr>
        <w:trPr>
          <w:trHeight w:val="31"/>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Sales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3"/>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w w:val="70"/>
              </w:rPr>
              <w:t>thousands)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Trokendi XR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158,384</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Oxtellar XR</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210,078</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Royalty Revenue. </w:t>
      </w:r>
      <w:r>
        <w:rPr>
          <w:rFonts w:ascii="Times New Roman" w:cs="Times New Roman" w:eastAsia="Times New Roman" w:hAnsi="Times New Roman"/>
          <w:sz w:val="18"/>
          <w:szCs w:val="18"/>
          <w:color w:val="auto"/>
        </w:rPr>
        <w:t>Royalty revenue for the years ended December 31, 2017 and 2016 was $6.4 million and $4.7 million, respectively. Royalty revenue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non-cash royalty from the HC Royalty agreement and royalty from collaboration partners. The increase, $1.7 million, is primarily due to royalty earned from collaboration partners.</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Licensing Revenue. </w:t>
      </w:r>
      <w:r>
        <w:rPr>
          <w:rFonts w:ascii="Times New Roman" w:cs="Times New Roman" w:eastAsia="Times New Roman" w:hAnsi="Times New Roman"/>
          <w:sz w:val="18"/>
          <w:szCs w:val="18"/>
          <w:color w:val="auto"/>
        </w:rPr>
        <w:t>Total licensing revenue for the years ended December 31, 2017 and 2016 was $1.8 million and $0.2 million, respectively.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million, is primarily due to milestone revenue received during the year.</w:t>
      </w:r>
    </w:p>
    <w:p>
      <w:pPr>
        <w:spacing w:after="0" w:line="165" w:lineRule="exact"/>
        <w:rPr>
          <w:sz w:val="20"/>
          <w:szCs w:val="20"/>
          <w:color w:val="auto"/>
        </w:rPr>
      </w:pPr>
    </w:p>
    <w:p>
      <w:pPr>
        <w:jc w:val="both"/>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Product Sales. </w:t>
      </w:r>
      <w:r>
        <w:rPr>
          <w:rFonts w:ascii="Times New Roman" w:cs="Times New Roman" w:eastAsia="Times New Roman" w:hAnsi="Times New Roman"/>
          <w:sz w:val="18"/>
          <w:szCs w:val="18"/>
          <w:color w:val="auto"/>
        </w:rPr>
        <w:t>Cost of product sales during the year ended December 31, 2017 was $15.2 million, an increase of $3.2 million or 27%,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$12.0 million for the year ended December 31, 2016. The year over year increase is attributable primarily to increased unit volume.</w:t>
      </w:r>
    </w:p>
    <w:p>
      <w:pPr>
        <w:spacing w:after="0" w:line="16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 </w:t>
      </w:r>
      <w:r>
        <w:rPr>
          <w:rFonts w:ascii="Times New Roman" w:cs="Times New Roman" w:eastAsia="Times New Roman" w:hAnsi="Times New Roman"/>
          <w:sz w:val="18"/>
          <w:szCs w:val="18"/>
          <w:color w:val="auto"/>
        </w:rPr>
        <w:t>R&amp;D expenses during the year ended December 31, 2017 were $49.6 million as compared to $42.8 million in 2016,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of $6.8 million or 16%. This increase was due to ongoing patient recruitment for Phase III trials for SPN-810 and commencement of the four Phase III trials for SPN-812.</w:t>
      </w:r>
    </w:p>
    <w:p>
      <w:pPr>
        <w:spacing w:after="0" w:line="17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 </w:t>
      </w:r>
      <w:r>
        <w:rPr>
          <w:rFonts w:ascii="Times New Roman" w:cs="Times New Roman" w:eastAsia="Times New Roman" w:hAnsi="Times New Roman"/>
          <w:sz w:val="18"/>
          <w:szCs w:val="18"/>
          <w:color w:val="auto"/>
        </w:rPr>
        <w:t>The table below shows the comparison of selling and marketing and general and administrative expenses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ended December 31, 2017 and 2016:</w:t>
      </w:r>
    </w:p>
    <w:p>
      <w:pPr>
        <w:spacing w:after="0" w:line="167"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Selling, General and</w:t>
      </w:r>
    </w:p>
    <w:p>
      <w:pPr>
        <w:jc w:val="center"/>
        <w:ind w:left="3920"/>
        <w:spacing w:after="0" w:line="229" w:lineRule="auto"/>
        <w:rPr>
          <w:sz w:val="20"/>
          <w:szCs w:val="20"/>
          <w:color w:val="auto"/>
        </w:rPr>
      </w:pPr>
      <w:r>
        <w:rPr>
          <w:rFonts w:ascii="Times New Roman" w:cs="Times New Roman" w:eastAsia="Times New Roman" w:hAnsi="Times New Roman"/>
          <w:sz w:val="14"/>
          <w:szCs w:val="14"/>
          <w:b w:val="1"/>
          <w:bCs w:val="1"/>
          <w:color w:val="auto"/>
        </w:rPr>
        <w:t>Administrative</w:t>
      </w:r>
    </w:p>
    <w:p>
      <w:pPr>
        <w:jc w:val="center"/>
        <w:ind w:left="3920"/>
        <w:spacing w:after="0" w:line="222" w:lineRule="auto"/>
        <w:rPr>
          <w:sz w:val="20"/>
          <w:szCs w:val="20"/>
          <w:color w:val="auto"/>
        </w:rPr>
      </w:pPr>
      <w:r>
        <w:rPr>
          <w:rFonts w:ascii="Times New Roman" w:cs="Times New Roman" w:eastAsia="Times New Roman" w:hAnsi="Times New Roman"/>
          <w:sz w:val="14"/>
          <w:szCs w:val="14"/>
          <w:b w:val="1"/>
          <w:bCs w:val="1"/>
          <w:color w:val="auto"/>
        </w:rPr>
        <w:t>Expense</w:t>
      </w:r>
    </w:p>
    <w:p>
      <w:pPr>
        <w:jc w:val="center"/>
        <w:ind w:left="3920"/>
        <w:spacing w:after="0" w:line="221" w:lineRule="auto"/>
        <w:rPr>
          <w:sz w:val="20"/>
          <w:szCs w:val="20"/>
          <w:color w:val="auto"/>
        </w:rPr>
      </w:pPr>
      <w:r>
        <w:rPr>
          <w:rFonts w:ascii="Times New Roman" w:cs="Times New Roman" w:eastAsia="Times New Roman" w:hAnsi="Times New Roman"/>
          <w:sz w:val="14"/>
          <w:szCs w:val="14"/>
          <w:b w:val="1"/>
          <w:bCs w:val="1"/>
          <w:color w:val="auto"/>
        </w:rPr>
        <w:t>Years Ended</w:t>
      </w:r>
    </w:p>
    <w:p>
      <w:pPr>
        <w:jc w:val="center"/>
        <w:ind w:left="3920"/>
        <w:spacing w:after="0" w:line="220"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42"/>
        </w:trPr>
        <w:tc>
          <w:tcPr>
            <w:tcW w:w="5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2"/>
                <w:szCs w:val="12"/>
                <w:color w:val="auto"/>
              </w:rPr>
            </w:pPr>
          </w:p>
        </w:tc>
        <w:tc>
          <w:tcPr>
            <w:tcW w:w="8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3"/>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79,997</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106,010</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and Marketing. </w:t>
      </w:r>
      <w:r>
        <w:rPr>
          <w:rFonts w:ascii="Times New Roman" w:cs="Times New Roman" w:eastAsia="Times New Roman" w:hAnsi="Times New Roman"/>
          <w:sz w:val="18"/>
          <w:szCs w:val="18"/>
          <w:color w:val="auto"/>
        </w:rPr>
        <w:t>The increase in selling and marketing expenses, approximately $24.1 million for the year ended December 31, 2017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was primarily the result of an increase in workforce headcount to support for our commercial products, coupled with development, production, and execution of promotional and marketing programs to support the launch of the migraine indication for Trokendi XR in April 2017. Of this total, approximately $9.2 million is due to increased compensation, benefits and other employee-related expenses associated with increased headcount in our field sales force. Approximately $13.2 million was due to increased expenses for marketing programs, speaker programs, and consulting services to support the launch of the migraine indication for Trokendi XR in 2017.</w:t>
      </w:r>
    </w:p>
    <w:p>
      <w:pPr>
        <w:spacing w:after="0" w:line="18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G&amp;A increased by $7.8 million for the year ended December 31, 2017 as compared to 2016. Approximately $5.6 million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attributable to increased patent amortization expense.</w:t>
      </w:r>
    </w:p>
    <w:p>
      <w:pPr>
        <w:spacing w:after="0" w:line="16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For the years ended December 31, 2017 and 2016, we recognized $2.9 million and $1.5 million, respectively, of interest income earned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cash equivalents and marketable securities. The increase was primarily attributable to an increase in cash, cash equivalents and marketable securities holdings year over year from cash generated by operations.</w:t>
      </w:r>
    </w:p>
    <w:p>
      <w:pPr>
        <w:spacing w:after="0" w:line="17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$0.1 million for the year ended December 31, 2017 as compared to $0.5 million for the year ended December 31,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of $0.4 million was primarily due to a decrease in the principal amount of our outstanding 2019 Notes. As of July 2017, all Notes were converted and were no longer outstanding. For the year ended December 31, 2017, a total of $4.6 million aggregate principal amount of Notes and related accrued interest were converted into 0.9 million shares of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on Non-recourse Liability Related to Sale of Future Royalties. </w:t>
      </w:r>
      <w:r>
        <w:rPr>
          <w:rFonts w:ascii="Times New Roman" w:cs="Times New Roman" w:eastAsia="Times New Roman" w:hAnsi="Times New Roman"/>
          <w:sz w:val="18"/>
          <w:szCs w:val="18"/>
          <w:color w:val="auto"/>
        </w:rPr>
        <w:t>Non-cash interest expense related to our non-recourse royalty liability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 million during the year ended December 31, 2017 as compared to $4.5 million for 2016. The decrease of $3.1 million for this non-cash expense item was primarily due to a reduction in the forecast of future sales of Orenitram.</w:t>
      </w:r>
    </w:p>
    <w:p>
      <w:pPr>
        <w:spacing w:after="0" w:line="17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Fair Value of Derivative Liability. </w:t>
      </w:r>
      <w:r>
        <w:rPr>
          <w:rFonts w:ascii="Times New Roman" w:cs="Times New Roman" w:eastAsia="Times New Roman" w:hAnsi="Times New Roman"/>
          <w:sz w:val="18"/>
          <w:szCs w:val="18"/>
          <w:color w:val="auto"/>
        </w:rPr>
        <w:t>During the year ended December 31, 2017, we recognized a non-cash gain of $76,000 related to a change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fair value of the interest make-whole derivative liability related to the Notes. For the year ended December 31, 2016, we recognized a non-cash gain of $0.4 million related to a change in the estimated fair value of the interest make-whole derivative liability related to the Notes. The "make-whole fundamental change" provision, as defined in the Indenture governing the Notes, expired in May 2017.</w:t>
      </w:r>
    </w:p>
    <w:p>
      <w:pPr>
        <w:spacing w:after="0" w:line="18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Extinguishment of Debt. </w:t>
      </w:r>
      <w:r>
        <w:rPr>
          <w:rFonts w:ascii="Times New Roman" w:cs="Times New Roman" w:eastAsia="Times New Roman" w:hAnsi="Times New Roman"/>
          <w:sz w:val="18"/>
          <w:szCs w:val="18"/>
          <w:color w:val="auto"/>
        </w:rPr>
        <w:t>For the year ended December 31, 2017, we recognized a non-cash loss on extinguishment of debt of $0.3 million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conversion of $4.6 million aggregate principal amount of the Notes. For the year ended December 31, 2016, we recognized a non-cash loss on extinguishment of debt of $0.7 million related to the conversion of $3.9 million aggregate principal amount of Notes.</w:t>
      </w:r>
    </w:p>
    <w:p>
      <w:pPr>
        <w:spacing w:after="0" w:line="17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color w:val="auto"/>
        </w:rPr>
        <w:t>For the year ended December 31, 2017, we recorded $43.3 million of income tax expense, an increase of $84.2 million from the prior year.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driven by the release of all of our valuation allowance on deferred tax assets of $56.0 million in 2016. The 2017 tax provision also included the effect of the write-down of $9.7 million of deferred tax assets to reflect the estimated impact of the Tax Act, effective January 1, 2018. The Tax Act decreased the U.S. statutory corporate income tax rate from 35% to 21%, among other things.</w:t>
      </w:r>
    </w:p>
    <w:p>
      <w:pPr>
        <w:spacing w:after="0" w:line="183" w:lineRule="exact"/>
        <w:rPr>
          <w:sz w:val="20"/>
          <w:szCs w:val="20"/>
          <w:color w:val="auto"/>
        </w:rPr>
      </w:pPr>
    </w:p>
    <w:p>
      <w:pPr>
        <w:jc w:val="both"/>
        <w:ind w:righ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Earnings. </w:t>
      </w:r>
      <w:r>
        <w:rPr>
          <w:rFonts w:ascii="Times New Roman" w:cs="Times New Roman" w:eastAsia="Times New Roman" w:hAnsi="Times New Roman"/>
          <w:sz w:val="18"/>
          <w:szCs w:val="18"/>
          <w:color w:val="auto"/>
        </w:rPr>
        <w:t>Net earnings for the year ended December 31, 2017 was $57.3 million, compared to net earnings of $91.2 million for 2016,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$33.9 million. This decrease was primarily due to the increase in R&amp;D and SG&amp;A spending in 2017, the increase in income tax expense as a result of the elimination of valuation allowance against deferred tax assets in 2016, and the impact of the Tax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our increasing levels of net product sales will be sufficient to finance our operations in 2019 and in subsequent years, including increased R&amp;D expenses, increased expenses to support our commercial products and expenses to support pre-launch activities in anticipation of launching our product candidates. We expect to incur increased R&amp;D expenses to support the development of our product candidates. We expect our SG&amp;A expenses to continue to increase for the foreseeable future, as we continue to invest in the commercialization of Trokendi XR and Oxtellar XR along with completing pre-launch activities for SPN-812 and SPN-810, and in areas such as regulatory compliance, finance, management of our intellectual property portfolio, information technology systems and personnel, in each case, commensurate with the growth of our business.</w:t>
      </w:r>
    </w:p>
    <w:p>
      <w:pPr>
        <w:spacing w:after="0" w:line="19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Our working capital at December 31, 2018 was $332.1 million, an increase of $226.6 million compared to our working capital of $105.5 million at December 31, 2017. In addition, our long term marketable securities at December 31, 2018 were $418.8 million, an increase of $285.2 million as compared to $133.6 million at December 31, 2017. This increase is primarily attributable to the net proceeds generated by the issuance of the 2023 Notes.</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stockholders' equity increased by $185.5 million for the year ended December 31, 2018, primarily as a result of net earnings of $111.0 million, coupled with option exercises, share-based compensation and the issuance of the 2023 Notes and warrants as described above. These increases were partially offset by the purchase of convertible note hedges, as described below.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14, 2018, we issued $402.5 million in aggregate principal amount of 2023 Notes pursuant to an indenture, dated as of March 19, 2018 (the Indenture) between us and Wilmington Trust, National Association, as trustee. The Indenture includes customary terms and covenants, including certain events of default after which the 2023 Notes may be immediately due and payable. Interest on the 2023 Notes, at an annual rate of 0.625%, is payable semi-annually in arrears, on April 1 and October 1 of each year.</w:t>
      </w:r>
    </w:p>
    <w:p>
      <w:pPr>
        <w:spacing w:after="0" w:line="19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As of December 31, 2018, the outstanding aggregate principal amount of 2023 Notes was $402.5 million. We will settle conversions of the 2023 Notes by paying or delivering, as applicable, cash, shares of our common stock or a combination of cash and shares of our common stock, at our election, based on the applicable conversion rate. The initial conversion rate is 16.8545 shares per $1,000 principal amount of the 2023 Notes, which represents an initial conversion price of approximately $59.33 per share, and is subject to adjustments specified in the Indenture. We may not redeem the 2023 Notes at our option before maturity.</w:t>
      </w:r>
    </w:p>
    <w:p>
      <w:pPr>
        <w:spacing w:after="0" w:line="15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We also entered into separately negotiated convertible note hedge transactions (collectively, the Convertible Note Hedge Transactions). The Convertible Note Hedge Transactions cover the number of shares of our common stock underlying the 2023 Notes. Concurrently with entering into the Convertible Note Hedge Transactions on each such date, we also entered into separate, privately negotiated warrant transactions (collectively, the Warrant Transactions) whereby we sold warrants to purchase up to the same number of shares of our common stock. The Convertible Note Hedge Transactions and the Warrant Transactions are separate contracts entered into by the Company. The Convertible Note Hedge Transactions are expected to generally reduce the potential dilution with respect to the Company's common stock upon conversion of the 2023 Notes and/or offset any potential cash payments we are required to make in excess of the principal amount of converted Notes, as the case may be. Although intended to partially offset the cost of the purchased Convertible Note Hedge Transactions, the Warrant Transactions could have a dilutive effect with respect to our common stock to the extent that the market price per share of our common stock, as measured under the terms of the Warrant Transactions, exceeds the strike price of the warrants, or $80.9063 per share of the Company's common stock.</w:t>
      </w:r>
    </w:p>
    <w:p>
      <w:pPr>
        <w:spacing w:after="0" w:line="167" w:lineRule="exact"/>
        <w:rPr>
          <w:sz w:val="20"/>
          <w:szCs w:val="20"/>
          <w:color w:val="auto"/>
        </w:rPr>
      </w:pPr>
    </w:p>
    <w:p>
      <w:pPr>
        <w:ind w:right="540"/>
        <w:spacing w:after="0" w:line="339" w:lineRule="auto"/>
        <w:rPr>
          <w:sz w:val="20"/>
          <w:szCs w:val="20"/>
          <w:color w:val="auto"/>
        </w:rPr>
      </w:pPr>
      <w:r>
        <w:rPr>
          <w:rFonts w:ascii="Times New Roman" w:cs="Times New Roman" w:eastAsia="Times New Roman" w:hAnsi="Times New Roman"/>
          <w:sz w:val="16"/>
          <w:szCs w:val="16"/>
          <w:color w:val="auto"/>
        </w:rPr>
        <w:t>We achieved positive cash flow and profitability from operations in each quarter of 2018 and 2017. While we expect continued profitability in 2019 and in subsequent years as we continue to increase sales, we anticipate there may be significant variability from quarter to quarter in our level of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the periods set forth below summarized,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4"/>
                <w:szCs w:val="14"/>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(413,480)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(86,415)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370,757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20" w:type="dxa"/>
            <w:vAlign w:val="bottom"/>
            <w:vMerge w:val="restart"/>
          </w:tcPr>
          <w:p>
            <w:pPr>
              <w:jc w:val="right"/>
              <w:ind w:right="852"/>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operating activities is comprised of two components: cash provided by operating earnings and cash provided by changes in working capital.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years ended December 31, 2018 and 2017 are summarized below,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earnings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133,720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42,790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provided by working capital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(28,444)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net cash provided by operating activities is primarily driven by increased revenue generated from product sales of Trokendi XR and Oxtellar XR.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certain operating assets and liabilities are, in thousands: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49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Explanation of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2"/>
              <w:spacing w:after="0" w:line="201" w:lineRule="exact"/>
              <w:rPr>
                <w:sz w:val="20"/>
                <w:szCs w:val="20"/>
                <w:color w:val="auto"/>
              </w:rPr>
            </w:pPr>
            <w:r>
              <w:rPr>
                <w:rFonts w:ascii="Times New Roman" w:cs="Times New Roman" w:eastAsia="Times New Roman" w:hAnsi="Times New Roman"/>
                <w:sz w:val="18"/>
                <w:szCs w:val="18"/>
                <w:color w:val="auto"/>
              </w:rPr>
              <w:t>(35,856)</w:t>
            </w:r>
          </w:p>
        </w:tc>
        <w:tc>
          <w:tcPr>
            <w:tcW w:w="2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(24,059)</w:t>
            </w:r>
          </w:p>
        </w:tc>
        <w:tc>
          <w:tcPr>
            <w:tcW w:w="500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rPr>
              <w:t>Increased product sales and higher wholesaler and pharmacy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inventory levels in the fourth quarter of 2018 offset by timing of cash</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collections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(9,355)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Increased inventory volume to support increased product demand.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Prepaid expenses, 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
              <w:spacing w:after="0" w:line="201" w:lineRule="exact"/>
              <w:rPr>
                <w:sz w:val="20"/>
                <w:szCs w:val="20"/>
                <w:color w:val="auto"/>
              </w:rPr>
            </w:pPr>
            <w:r>
              <w:rPr>
                <w:rFonts w:ascii="Times New Roman" w:cs="Times New Roman" w:eastAsia="Times New Roman" w:hAnsi="Times New Roman"/>
                <w:sz w:val="18"/>
                <w:szCs w:val="18"/>
                <w:color w:val="auto"/>
              </w:rPr>
              <w:t>(2,367)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(3,566)</w:t>
            </w:r>
          </w:p>
        </w:tc>
        <w:tc>
          <w:tcPr>
            <w:tcW w:w="500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w w:val="98"/>
              </w:rPr>
              <w:t>Timing differences related to prepayment of drug regulatory fees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assets 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tax payments; progress of clinical trials.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Accounts payable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6,854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7"/>
                <w:szCs w:val="17"/>
                <w:color w:val="auto"/>
              </w:rPr>
            </w:pPr>
          </w:p>
        </w:tc>
        <w:tc>
          <w:tcPr>
            <w:tcW w:w="500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rPr>
              <w:t>Timing of vendor payments.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Accrued sales deductions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38,720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26,400</w:t>
            </w:r>
          </w:p>
        </w:tc>
        <w:tc>
          <w:tcPr>
            <w:tcW w:w="10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Increased accrued sales deductions due to increased product sales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higher wholesaler and pharmacy inventory levels in the fourth quarter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(3,561)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0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Timing of income tax payments.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6,239</w:t>
            </w:r>
          </w:p>
        </w:tc>
        <w:tc>
          <w:tcPr>
            <w:tcW w:w="10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Increased accrual for uncertain tax position in 2017 related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alternative minimum tax and state nexus; timing of bonus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payments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invest excess cash in marketable securities in accordance with our investment policy. Marketable securities consist of investments which mature in four years or less, including U.S. Treasury and various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government agency debt securities, municipal bonds, and investment grade securities in industrial and financial institutions. Fluctuations in investing activities between periods relate exclusively to the timing of marketable securities purchases and the related maturities of these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year ended December 31, 2018 of $413.5 million primarily relates to net purchases of marketable securities of</w:t>
      </w:r>
    </w:p>
    <w:p>
      <w:pPr>
        <w:spacing w:after="0" w:line="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$411.8 million. Net cash used in investing activities for the year ended December 31, 2017 of $86.4 million included net purchases of marketable securities of $73.2 million, patent defense costs of approximately $11.2 million and property and equipment purchases of approximately $2.0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Net cash provided by financing activities totaled $376.4 million and $5.7 million for the years ended December 31, 2018 and 2017, respectively. Cash was generated from issuance of the 2023 Notes and common stock due to stock option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December 31, 2018, except as noted below, in thousands: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4"/>
              </w:rPr>
              <w:t>Fiscal Year 2020 -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4"/>
              </w:rPr>
              <w:t>Fiscal Year 2022 -</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1"/>
              </w:rPr>
              <w:t>Year 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8"/>
              </w:rPr>
              <w:t>Fiscal Year 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8"/>
              </w:rPr>
              <w:t>Fiscal Year 2023</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5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Interest on 2023 Convertible Notes</w:t>
            </w:r>
            <w:r>
              <w:rPr>
                <w:rFonts w:ascii="Times New Roman" w:cs="Times New Roman" w:eastAsia="Times New Roman" w:hAnsi="Times New Roman"/>
                <w:sz w:val="29"/>
                <w:szCs w:val="29"/>
                <w:color w:val="auto"/>
                <w:vertAlign w:val="superscript"/>
              </w:rPr>
              <w:t>(1)</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9"/>
                <w:szCs w:val="29"/>
                <w:color w:val="auto"/>
                <w:vertAlign w:val="superscript"/>
              </w:rPr>
              <w:t>(2)</w:t>
            </w: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9"/>
                <w:szCs w:val="29"/>
                <w:color w:val="auto"/>
                <w:vertAlign w:val="superscript"/>
              </w:rPr>
              <w:t>(3)</w:t>
            </w:r>
          </w:p>
        </w:tc>
        <w:tc>
          <w:tcPr>
            <w:tcW w:w="5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203,318</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205,838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2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8"/>
                <w:szCs w:val="28"/>
                <w:color w:val="auto"/>
                <w:vertAlign w:val="superscript"/>
              </w:rPr>
              <w:t>(4)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405,761</w:t>
            </w:r>
          </w:p>
        </w:tc>
        <w:tc>
          <w:tcPr>
            <w:tcW w:w="5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626,557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0" w:hanging="531"/>
        <w:spacing w:after="0"/>
        <w:tabs>
          <w:tab w:leader="none" w:pos="168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Relates to the 2023 Notes (see Note 9 in the Notes to Consolidated Financial Statements in Part II, Item 8 of this report.)</w:t>
      </w:r>
    </w:p>
    <w:p>
      <w:pPr>
        <w:spacing w:after="0" w:line="217" w:lineRule="exact"/>
        <w:rPr>
          <w:rFonts w:ascii="Times New Roman" w:cs="Times New Roman" w:eastAsia="Times New Roman" w:hAnsi="Times New Roman"/>
          <w:sz w:val="29"/>
          <w:szCs w:val="29"/>
          <w:color w:val="auto"/>
          <w:vertAlign w:val="superscript"/>
        </w:rPr>
      </w:pPr>
    </w:p>
    <w:p>
      <w:pPr>
        <w:ind w:left="1680" w:right="100" w:hanging="531"/>
        <w:spacing w:after="0" w:line="197" w:lineRule="auto"/>
        <w:tabs>
          <w:tab w:leader="none" w:pos="168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commitments for operating leases relate to our leases of office equipment, fleet vehicles and the lease of current headquarters office and laboratory space as of December 31, 2018.</w:t>
      </w:r>
    </w:p>
    <w:p>
      <w:pPr>
        <w:spacing w:after="0" w:line="99" w:lineRule="exact"/>
        <w:rPr>
          <w:rFonts w:ascii="Times New Roman" w:cs="Times New Roman" w:eastAsia="Times New Roman" w:hAnsi="Times New Roman"/>
          <w:sz w:val="29"/>
          <w:szCs w:val="29"/>
          <w:color w:val="auto"/>
          <w:vertAlign w:val="superscript"/>
        </w:rPr>
      </w:pPr>
    </w:p>
    <w:p>
      <w:pPr>
        <w:ind w:left="1680" w:hanging="531"/>
        <w:spacing w:after="0"/>
        <w:tabs>
          <w:tab w:leader="none" w:pos="168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Relates primarily to agreements and purchase orders with contractors and vendors.</w:t>
      </w:r>
    </w:p>
    <w:p>
      <w:pPr>
        <w:spacing w:after="0" w:line="203" w:lineRule="exact"/>
        <w:rPr>
          <w:rFonts w:ascii="Times New Roman" w:cs="Times New Roman" w:eastAsia="Times New Roman" w:hAnsi="Times New Roman"/>
          <w:sz w:val="29"/>
          <w:szCs w:val="29"/>
          <w:color w:val="auto"/>
          <w:vertAlign w:val="superscript"/>
        </w:rPr>
      </w:pPr>
    </w:p>
    <w:p>
      <w:pPr>
        <w:ind w:left="1680" w:right="20" w:hanging="531"/>
        <w:spacing w:after="0" w:line="220" w:lineRule="auto"/>
        <w:tabs>
          <w:tab w:leader="none" w:pos="168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This table does not include (i) any milestone payments which may become payable to third parties under license agreements or contractual agreements regarding our clinical trials, as the timing and likelihood of such payments are not known, (ii) any royalty payments to third parties as the amounts, timing and likelihood of such payments are not known and (iii) contracts that are entered into in the ordinary course of business which are not material in the aggregate in any period presented above.</w:t>
      </w:r>
    </w:p>
    <w:p>
      <w:pPr>
        <w:spacing w:after="0" w:line="219" w:lineRule="exact"/>
        <w:rPr>
          <w:rFonts w:ascii="Times New Roman" w:cs="Times New Roman" w:eastAsia="Times New Roman" w:hAnsi="Times New Roman"/>
          <w:sz w:val="29"/>
          <w:szCs w:val="29"/>
          <w:color w:val="auto"/>
          <w:vertAlign w:val="superscript"/>
        </w:rPr>
      </w:pPr>
    </w:p>
    <w:p>
      <w:pPr>
        <w:ind w:left="1680" w:hanging="531"/>
        <w:spacing w:after="0" w:line="245" w:lineRule="auto"/>
        <w:tabs>
          <w:tab w:leader="none" w:pos="1680" w:val="left"/>
        </w:tabs>
        <w:numPr>
          <w:ilvl w:val="0"/>
          <w:numId w:val="4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table does not include contingent milestones that we may be required to pay to the former Biscayne security holders after the closing of the merger and upon achievement of these milestones. The additional contingent milestone payments include (i) payments of up to approximately $73 million, contingent on achieving certain development milestones with respect to certain pharmaceutical intellectual property assets held by Biscayne prior to the Merger; and (ii) payments of up to approximately $95 million, contingent on achieving certain sales milestones with respect to the marketing of products developed from such assets. We will also pay a low single digit royalty on net product sales to the former security holders of Biscayne and any applicable royalties to third parties for the use of in-licensed intellectual property. The maximum combined royalty that we will pay to all parties is approximately 12%, depending on the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right="80"/>
        <w:spacing w:after="0" w:line="275" w:lineRule="auto"/>
        <w:rPr>
          <w:sz w:val="20"/>
          <w:szCs w:val="20"/>
          <w:color w:val="auto"/>
        </w:rPr>
      </w:pPr>
      <w:r>
        <w:rPr>
          <w:rFonts w:ascii="Times New Roman" w:cs="Times New Roman" w:eastAsia="Times New Roman" w:hAnsi="Times New Roman"/>
          <w:sz w:val="18"/>
          <w:szCs w:val="18"/>
          <w:color w:val="auto"/>
        </w:rPr>
        <w:t>intellectual property covering the marketed product and applicable tiered sales levels. This table does not include any of these milestones and royalty payments, as the timing and likelihood of such payments are not known.</w:t>
      </w:r>
    </w:p>
    <w:p>
      <w:pPr>
        <w:spacing w:after="0" w:line="174" w:lineRule="exact"/>
        <w:rPr>
          <w:sz w:val="20"/>
          <w:szCs w:val="20"/>
          <w:color w:val="auto"/>
        </w:rPr>
      </w:pPr>
    </w:p>
    <w:p>
      <w:pPr>
        <w:ind w:left="1680" w:right="80" w:hanging="531"/>
        <w:spacing w:after="0" w:line="220" w:lineRule="auto"/>
        <w:tabs>
          <w:tab w:leader="none" w:pos="168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As of December 31, 2018, we had 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12 months. Liabilities related to uncertain tax positions are not included in the above table.</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the table above, we are contractually obligated to pay to HC Royalty all royalty payments earned by us under a licensing agreement with United Therapeutics for Orenitram. Although we have recorded a liability of $24.8 million at December 31, 2018 related to this obligation, it is a non-recourse liability for which we have no obligation to make any cash payments to HC Royalty under any circumstances. Accordingly, this obligation will have no impact on our liquidity at any time. The non-recourse liability has not been included in the table above.</w:t>
      </w:r>
    </w:p>
    <w:p>
      <w:pPr>
        <w:spacing w:after="0" w:line="190"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We have obtained exclusive licenses from third parties for proprietary rights to support the product candidates in our psychiatry portfolio. We have two license agreements with Afecta Pharmaceuticals, Inc. (Afecta) pursuant to which we obtained exclusive worldwide rights to selected product candidates, including an exclusive license to SPN-810. We may pay up to $0.3 million upon the achievement of certain milestones. If a product candidate is successfully developed and commercialized, we will be obligated to pay royalties at a low single digit percentage of worldwide net product sales.</w:t>
      </w:r>
    </w:p>
    <w:p>
      <w:pPr>
        <w:spacing w:after="0" w:line="19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We have also entered into a purchase and sale agreement with Rune HealthCare Limited (Rune), where we obtained the exclusive worldwide rights to a product concept from Rune. There are no future milestone payments owing to Rune under this agreement. If we receive approval to market and sell any products based on the Rune product concept for SPN-809, we will be obligated to pay royalties at a low single digit percentage of worldwide net product sales.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new accounting pronouncements, see Note 2 in the Notes to Consolidated Financial Statements in Part II, Item 8 of this report.</w:t>
      </w:r>
    </w:p>
    <w:p>
      <w:pPr>
        <w:spacing w:after="0" w:line="2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or liquidity risk. Our exposure to market risk is confined to investments in cash, cash equivalents, marketable securities and long term marketable securities. As of December 31, 2018, we had unrestricted cash, cash equivalents, marketable securities and long term marketable securities of $774.8 million. We do not engage in any hedging activities against changes in interest rates. Because of the short-term maturities of our cash, cash equivalents, marketable securities and long term marketable securities and because we generally hold these securities to maturity, we do</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believe that an increase in market rates would have any significant impact on the realizable value of our investments.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2023 Notes, we have separately entered into the Convertible Note Hedge Transactions and Warrant Transactions to reduce the potential dilution of the Company's common stock upon conversion of the 2023 notes, and to partially offset the cost of the purchased Convertible Note Hedge Transactions, respectively. We do not have any currency or other derivative financial instruments other than the outstanding warrants to purchase common stock and the convertible note hedges.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contract with CROs and investigational sites globally. Currently, we have one ongoing trial for SPN-817 outside the United States, and no clinical trials for our other product candidates outside the U.S. We do not hedge our foreign currency exchange rate risk. Transactions denominated in currencies other than the U.S. dollar are recorded based on exchange rates at the time such transactions arise. As of December 31, 2018 and December 31, 2017, substantially all of our total liabilities were denominated in the U.S. dollar.</w:t>
      </w:r>
    </w:p>
    <w:p>
      <w:pPr>
        <w:spacing w:after="0" w:line="1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and changing prices had a significant impact on our consolidated results of operations for the years ended December 31, 2018 and 2017.</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884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1"/>
        </w:trPr>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880" w:type="dxa"/>
            <w:vAlign w:val="bottom"/>
            <w:gridSpan w:val="7"/>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7"/>
              </w:rPr>
              <w:t>Supernus Pharmaceuticals, Inc.</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880" w:type="dxa"/>
            <w:vAlign w:val="bottom"/>
            <w:gridSpan w:val="7"/>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7"/>
              </w:rPr>
              <w:t>Consolidated Financial Statements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 ended December 31, 2018, 2017 and 2016</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4"/>
        </w:trPr>
        <w:tc>
          <w:tcPr>
            <w:tcW w:w="1160" w:type="dxa"/>
            <w:vAlign w:val="bottom"/>
          </w:tcPr>
          <w:p>
            <w:pPr>
              <w:spacing w:after="0"/>
              <w:rPr>
                <w:sz w:val="24"/>
                <w:szCs w:val="24"/>
                <w:color w:val="auto"/>
              </w:rPr>
            </w:pPr>
          </w:p>
        </w:tc>
        <w:tc>
          <w:tcPr>
            <w:tcW w:w="41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87">
              <w:r>
                <w:rPr>
                  <w:rFonts w:ascii="Times New Roman" w:cs="Times New Roman" w:eastAsia="Times New Roman" w:hAnsi="Times New Roman"/>
                  <w:sz w:val="18"/>
                  <w:szCs w:val="18"/>
                  <w:color w:val="0000EE"/>
                  <w:w w:val="96"/>
                </w:rPr>
                <w:t>Reports of Independent Registered Public Accounting Firm</w:t>
              </w:r>
            </w:hyperlink>
          </w:p>
        </w:tc>
        <w:tc>
          <w:tcPr>
            <w:tcW w:w="476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7">
              <w:r>
                <w:rPr>
                  <w:rFonts w:ascii="Times New Roman" w:cs="Times New Roman" w:eastAsia="Times New Roman" w:hAnsi="Times New Roman"/>
                  <w:sz w:val="18"/>
                  <w:szCs w:val="18"/>
                  <w:color w:val="0000EE"/>
                  <w:w w:val="88"/>
                </w:rPr>
                <w:t>86</w:t>
              </w:r>
            </w:hyperlink>
          </w:p>
        </w:tc>
        <w:tc>
          <w:tcPr>
            <w:tcW w:w="11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Consolidated Balance Sheets as of December 31, 2018 and 2017</w:t>
              </w:r>
            </w:hyperlink>
          </w:p>
        </w:tc>
        <w:tc>
          <w:tcPr>
            <w:tcW w:w="1320" w:type="dxa"/>
            <w:vAlign w:val="bottom"/>
            <w:gridSpan w:val="2"/>
          </w:tcPr>
          <w:p>
            <w:pPr>
              <w:jc w:val="right"/>
              <w:ind w:right="1140"/>
              <w:spacing w:after="0" w:line="196" w:lineRule="exact"/>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89</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91">
              <w:r>
                <w:rPr>
                  <w:rFonts w:ascii="Times New Roman" w:cs="Times New Roman" w:eastAsia="Times New Roman" w:hAnsi="Times New Roman"/>
                  <w:sz w:val="18"/>
                  <w:szCs w:val="18"/>
                  <w:color w:val="0000EE"/>
                  <w:w w:val="96"/>
                </w:rPr>
                <w:t>Consolidated Statements of Earnings for the Years Ended December 31, 2018, 2017 and 2016</w:t>
              </w:r>
            </w:hyperlink>
          </w:p>
        </w:tc>
        <w:tc>
          <w:tcPr>
            <w:tcW w:w="2360" w:type="dxa"/>
            <w:vAlign w:val="bottom"/>
            <w:gridSpan w:val="4"/>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90</w:t>
              </w:r>
            </w:hyperlink>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Consolidated Statements of Comprehensive Earnings for the Years Ended December 31, 2018, 2017 and 2016</w:t>
              </w:r>
            </w:hyperlink>
          </w:p>
        </w:tc>
        <w:tc>
          <w:tcPr>
            <w:tcW w:w="1320" w:type="dxa"/>
            <w:vAlign w:val="bottom"/>
            <w:gridSpan w:val="2"/>
          </w:tcPr>
          <w:p>
            <w:pPr>
              <w:jc w:val="right"/>
              <w:ind w:right="1140"/>
              <w:spacing w:after="0" w:line="196" w:lineRule="exact"/>
              <w:rPr>
                <w:rFonts w:ascii="Times New Roman" w:cs="Times New Roman" w:eastAsia="Times New Roman" w:hAnsi="Times New Roman"/>
                <w:sz w:val="18"/>
                <w:szCs w:val="18"/>
                <w:color w:val="0000EE"/>
                <w:w w:val="88"/>
              </w:rPr>
            </w:pPr>
            <w:hyperlink w:anchor="page92">
              <w:r>
                <w:rPr>
                  <w:rFonts w:ascii="Times New Roman" w:cs="Times New Roman" w:eastAsia="Times New Roman" w:hAnsi="Times New Roman"/>
                  <w:sz w:val="18"/>
                  <w:szCs w:val="18"/>
                  <w:color w:val="0000EE"/>
                  <w:w w:val="88"/>
                </w:rPr>
                <w:t>91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Consolidated Statements of Changes in Stockholders' Equity for the Years Ended December 31, 2018, 2017 and 2016</w:t>
              </w:r>
            </w:hyperlink>
          </w:p>
        </w:tc>
        <w:tc>
          <w:tcPr>
            <w:tcW w:w="1320" w:type="dxa"/>
            <w:vAlign w:val="bottom"/>
            <w:gridSpan w:val="2"/>
          </w:tcPr>
          <w:p>
            <w:pPr>
              <w:jc w:val="right"/>
              <w:ind w:right="1140"/>
              <w:spacing w:after="0" w:line="196" w:lineRule="exact"/>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92</w:t>
              </w:r>
            </w:hyperlink>
          </w:p>
        </w:tc>
      </w:tr>
      <w:tr>
        <w:trPr>
          <w:trHeight w:val="196"/>
        </w:trPr>
        <w:tc>
          <w:tcPr>
            <w:tcW w:w="116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94">
              <w:r>
                <w:rPr>
                  <w:rFonts w:ascii="Times New Roman" w:cs="Times New Roman" w:eastAsia="Times New Roman" w:hAnsi="Times New Roman"/>
                  <w:sz w:val="18"/>
                  <w:szCs w:val="18"/>
                  <w:color w:val="0000EE"/>
                  <w:w w:val="96"/>
                </w:rPr>
                <w:t>Consolidated Statements of Cash Flows for the Years Ended December 31, 2018, 2017 and 2016</w:t>
              </w:r>
            </w:hyperlink>
          </w:p>
        </w:tc>
        <w:tc>
          <w:tcPr>
            <w:tcW w:w="1460" w:type="dxa"/>
            <w:vAlign w:val="bottom"/>
            <w:tcBorders>
              <w:top w:val="single" w:sz="8" w:color="0000EE"/>
            </w:tcBorders>
            <w:gridSpan w:val="2"/>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94">
              <w:r>
                <w:rPr>
                  <w:rFonts w:ascii="Times New Roman" w:cs="Times New Roman" w:eastAsia="Times New Roman" w:hAnsi="Times New Roman"/>
                  <w:sz w:val="18"/>
                  <w:szCs w:val="18"/>
                  <w:color w:val="0000EE"/>
                  <w:w w:val="88"/>
                </w:rPr>
                <w:t>93</w:t>
              </w:r>
            </w:hyperlink>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Notes to Consolidated Financial Statements</w:t>
              </w:r>
            </w:hyperlink>
          </w:p>
        </w:tc>
        <w:tc>
          <w:tcPr>
            <w:tcW w:w="1320" w:type="dxa"/>
            <w:vAlign w:val="bottom"/>
            <w:gridSpan w:val="2"/>
          </w:tcPr>
          <w:p>
            <w:pPr>
              <w:jc w:val="right"/>
              <w:ind w:right="1140"/>
              <w:spacing w:after="0" w:line="196" w:lineRule="exact"/>
              <w:rPr>
                <w:rFonts w:ascii="Times New Roman" w:cs="Times New Roman" w:eastAsia="Times New Roman" w:hAnsi="Times New Roman"/>
                <w:sz w:val="18"/>
                <w:szCs w:val="18"/>
                <w:color w:val="0000EE"/>
                <w:w w:val="88"/>
              </w:rPr>
            </w:pPr>
            <w:hyperlink w:anchor="page95">
              <w:r>
                <w:rPr>
                  <w:rFonts w:ascii="Times New Roman" w:cs="Times New Roman" w:eastAsia="Times New Roman" w:hAnsi="Times New Roman"/>
                  <w:sz w:val="18"/>
                  <w:szCs w:val="18"/>
                  <w:color w:val="0000EE"/>
                  <w:w w:val="88"/>
                </w:rPr>
                <w:t>94</w:t>
              </w:r>
            </w:hyperlink>
          </w:p>
        </w:tc>
      </w:tr>
      <w:tr>
        <w:trPr>
          <w:trHeight w:val="451"/>
        </w:trPr>
        <w:tc>
          <w:tcPr>
            <w:tcW w:w="1160" w:type="dxa"/>
            <w:vAlign w:val="bottom"/>
          </w:tcPr>
          <w:p>
            <w:pPr>
              <w:spacing w:after="0"/>
              <w:rPr>
                <w:sz w:val="24"/>
                <w:szCs w:val="24"/>
                <w:color w:val="auto"/>
              </w:rPr>
            </w:pPr>
          </w:p>
        </w:tc>
        <w:tc>
          <w:tcPr>
            <w:tcW w:w="3060" w:type="dxa"/>
            <w:vAlign w:val="bottom"/>
            <w:tcBorders>
              <w:top w:val="single" w:sz="8" w:color="0000EE"/>
            </w:tcBorders>
            <w:gridSpan w:val="2"/>
          </w:tcPr>
          <w:p>
            <w:pPr>
              <w:spacing w:after="0"/>
              <w:rPr>
                <w:sz w:val="24"/>
                <w:szCs w:val="24"/>
                <w:color w:val="auto"/>
              </w:rPr>
            </w:pPr>
          </w:p>
        </w:tc>
        <w:tc>
          <w:tcPr>
            <w:tcW w:w="35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Supernus Pharmaceuticals, Inc. and subsidiaries (the Company) as of December 31, 2018 and 2017, the related consolidated statements of earnings, comprehensive earnings, changes in stockholders' equity,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 2019 expressed an unqualified opinion on the effectiveness of the Company's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Principal</w:t>
      </w:r>
    </w:p>
    <w:p>
      <w:pPr>
        <w:spacing w:after="0" w:line="227"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 xml:space="preserve">As discussed in Note 2 to the consolidated financial statements, effective January 1, 2018, the Company adopted Financial Accounting Standards Board (FASB) Accounting Standards Codification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This change was adopted using the modified retrospective method.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6"/>
          <w:szCs w:val="16"/>
          <w:color w:val="auto"/>
        </w:rPr>
        <w:t xml:space="preserve">We have audited Supernus Pharmaceuticals, Inc. and subsidiaries (the Company) internal control over financial reporting as of December 31, 2018, based on criteria established </w:t>
      </w:r>
      <w:r>
        <w:rPr>
          <w:rFonts w:ascii="Times New Roman" w:cs="Times New Roman" w:eastAsia="Times New Roman" w:hAnsi="Times New Roman"/>
          <w:sz w:val="16"/>
          <w:szCs w:val="16"/>
          <w:i w:val="1"/>
          <w:iCs w:val="1"/>
          <w:color w:val="auto"/>
        </w:rPr>
        <w:t>in Internal Control—Integrated Framework (2013)</w:t>
      </w:r>
      <w:r>
        <w:rPr>
          <w:rFonts w:ascii="Times New Roman" w:cs="Times New Roman" w:eastAsia="Times New Roman" w:hAnsi="Times New Roman"/>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6"/>
          <w:szCs w:val="16"/>
          <w:i w:val="1"/>
          <w:iCs w:val="1"/>
          <w:color w:val="auto"/>
        </w:rPr>
        <w:t>Internal Control—Integrated Framework (2013)</w:t>
      </w:r>
      <w:r>
        <w:rPr>
          <w:rFonts w:ascii="Times New Roman" w:cs="Times New Roman" w:eastAsia="Times New Roman" w:hAnsi="Times New Roman"/>
          <w:sz w:val="16"/>
          <w:szCs w:val="16"/>
          <w:color w:val="auto"/>
        </w:rPr>
        <w:t xml:space="preserve"> issued by the Committee of Sponsoring Organizations of the Treadway Commission.</w:t>
      </w:r>
    </w:p>
    <w:p>
      <w:pPr>
        <w:spacing w:after="0" w:line="1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earnings, comprehensive earnings, changes in stockholders' equity, and cash flows for each of the years in the three-year period ended December 31, 2018, and the related notes (collectively, the consolidated financial statements), and our report dated March 1, 2019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65"/>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424,464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sales deductions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 current portion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licensing revenue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licensing revenue, net of current portion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notes,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 long term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156,984</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w w:val="99"/>
              </w:rPr>
              <w:t>Common stock, $0.001 par value, 130,000,000 shares authorized at December 31, 2018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2017; 52,316,583 and 51,314,850 shares issued and outstanding at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2018 and December 31, 2017, respectively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(26,823)</w:t>
            </w: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267,480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977,811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424,464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product sales</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399,871</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294,097</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Royalty revenue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Licensing revenue</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Interest expense on non-recourse liability related to sale of future</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royalties</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51,989,824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50,756,603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49,472,434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54,098,872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53,301,150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51,708,983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91,575</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20" w:type="dxa"/>
            <w:vAlign w:val="bottom"/>
            <w:gridSpan w:val="3"/>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20" w:type="dxa"/>
            <w:vAlign w:val="bottom"/>
          </w:tcPr>
          <w:p>
            <w:pPr>
              <w:spacing w:after="0"/>
              <w:rPr>
                <w:sz w:val="6"/>
                <w:szCs w:val="6"/>
                <w:color w:val="auto"/>
              </w:rPr>
            </w:pPr>
          </w:p>
        </w:tc>
        <w:tc>
          <w:tcPr>
            <w:tcW w:w="9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Earnings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49,004,674</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263,955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(488)</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(175,509)</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88,007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employee stock purchase plan shares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109,244</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85,694</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issued on conversion of convertible notes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771,655</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91,221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91,221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4"/>
                <w:szCs w:val="14"/>
                <w:color w:val="auto"/>
              </w:rPr>
              <w:t>Unrealized gain on marketable securities, net of</w:t>
            </w:r>
          </w:p>
        </w:tc>
        <w:tc>
          <w:tcPr>
            <w:tcW w:w="7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2016</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49,971,267</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276,127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(84,288)</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191,755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of adoption of ASU 2016-09</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Balance at January 1, 2017</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49,971,267</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276,338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(84,107)</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192,147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employee stock purchase plan shares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71,256</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407,477</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issued on conversion of convertible notes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864,850</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4"/>
                <w:szCs w:val="14"/>
                <w:color w:val="auto"/>
              </w:rPr>
              <w:t>Unrealized loss on marketable securities, net of</w:t>
            </w:r>
          </w:p>
        </w:tc>
        <w:tc>
          <w:tcPr>
            <w:tcW w:w="7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2017</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51,314,850</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294,999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267,480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of adoption of ASC 606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Balance at January 1, 2018</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51,314,850</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294,999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269,802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employee stock purchase plan shares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71,250</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930,483</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component of convertible notes, net of tax</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convertible note hedges, net of tax</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(70,137)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warrants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110,993</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Unrealized loss on marketable securities, net of</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(2,411)</w:t>
            </w:r>
          </w:p>
        </w:tc>
        <w:tc>
          <w:tcPr>
            <w:tcW w:w="12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52,316,583</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369,637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(3,158)</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86,492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453,023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25" w:right="139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110,993</w:t>
            </w:r>
          </w:p>
        </w:tc>
        <w:tc>
          <w:tcPr>
            <w:tcW w:w="100" w:type="dxa"/>
            <w:vAlign w:val="bottom"/>
          </w:tcPr>
          <w:p>
            <w:pPr>
              <w:spacing w:after="0"/>
              <w:rPr>
                <w:sz w:val="12"/>
                <w:szCs w:val="12"/>
                <w:color w:val="auto"/>
              </w:rPr>
            </w:pPr>
          </w:p>
        </w:tc>
        <w:tc>
          <w:tcPr>
            <w:tcW w:w="20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57,284</w:t>
            </w:r>
          </w:p>
        </w:tc>
        <w:tc>
          <w:tcPr>
            <w:tcW w:w="100" w:type="dxa"/>
            <w:vAlign w:val="bottom"/>
          </w:tcPr>
          <w:p>
            <w:pPr>
              <w:spacing w:after="0"/>
              <w:rPr>
                <w:sz w:val="12"/>
                <w:szCs w:val="12"/>
                <w:color w:val="auto"/>
              </w:rPr>
            </w:pPr>
          </w:p>
        </w:tc>
        <w:tc>
          <w:tcPr>
            <w:tcW w:w="180" w:type="dxa"/>
            <w:vAlign w:val="bottom"/>
            <w:gridSpan w:val="2"/>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91,221</w:t>
            </w:r>
          </w:p>
        </w:tc>
        <w:tc>
          <w:tcPr>
            <w:tcW w:w="160" w:type="dxa"/>
            <w:vAlign w:val="bottom"/>
          </w:tcPr>
          <w:p>
            <w:pPr>
              <w:spacing w:after="0"/>
              <w:rPr>
                <w:sz w:val="12"/>
                <w:szCs w:val="12"/>
                <w:color w:val="auto"/>
              </w:rPr>
            </w:pPr>
          </w:p>
        </w:tc>
      </w:tr>
      <w:tr>
        <w:trPr>
          <w:trHeight w:val="311"/>
        </w:trPr>
        <w:tc>
          <w:tcPr>
            <w:tcW w:w="2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(448)</w:t>
            </w:r>
          </w:p>
        </w:tc>
      </w:tr>
      <w:tr>
        <w:trPr>
          <w:trHeight w:val="149"/>
        </w:trPr>
        <w:tc>
          <w:tcPr>
            <w:tcW w:w="20" w:type="dxa"/>
            <w:vAlign w:val="bottom"/>
          </w:tcPr>
          <w:p>
            <w:pPr>
              <w:spacing w:after="0"/>
              <w:rPr>
                <w:sz w:val="12"/>
                <w:szCs w:val="12"/>
                <w:color w:val="auto"/>
              </w:rPr>
            </w:pPr>
          </w:p>
        </w:tc>
        <w:tc>
          <w:tcPr>
            <w:tcW w:w="5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Realized gains/losses on sales of securities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and debt discount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premium/discount on marketable securities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Non-cash interest expense on non-recourse liability related to sale of future royalties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Non-cash royalty revenue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(5,914)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(5,283)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(4,686)</w:t>
            </w:r>
          </w:p>
        </w:tc>
      </w:tr>
      <w:tr>
        <w:trPr>
          <w:trHeight w:val="149"/>
        </w:trPr>
        <w:tc>
          <w:tcPr>
            <w:tcW w:w="20" w:type="dxa"/>
            <w:vAlign w:val="bottom"/>
          </w:tcPr>
          <w:p>
            <w:pPr>
              <w:spacing w:after="0"/>
              <w:rPr>
                <w:sz w:val="12"/>
                <w:szCs w:val="12"/>
                <w:color w:val="auto"/>
              </w:rPr>
            </w:pPr>
          </w:p>
        </w:tc>
        <w:tc>
          <w:tcPr>
            <w:tcW w:w="5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 (benefit) provision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(4,167)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(41,787)</w:t>
            </w:r>
          </w:p>
        </w:tc>
      </w:tr>
      <w:tr>
        <w:trPr>
          <w:trHeight w:val="149"/>
        </w:trPr>
        <w:tc>
          <w:tcPr>
            <w:tcW w:w="20" w:type="dxa"/>
            <w:vAlign w:val="bottom"/>
          </w:tcPr>
          <w:p>
            <w:pPr>
              <w:spacing w:after="0"/>
              <w:rPr>
                <w:sz w:val="12"/>
                <w:szCs w:val="12"/>
                <w:color w:val="auto"/>
              </w:rPr>
            </w:pPr>
          </w:p>
        </w:tc>
        <w:tc>
          <w:tcPr>
            <w:tcW w:w="5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(35,856)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(24,059)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(15,619)</w:t>
            </w: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(9,355)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(4,214)</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sales deductions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38,720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licensing revenue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(334)</w:t>
            </w:r>
          </w:p>
        </w:tc>
      </w:tr>
      <w:tr>
        <w:trPr>
          <w:trHeight w:val="142"/>
        </w:trPr>
        <w:tc>
          <w:tcPr>
            <w:tcW w:w="20" w:type="dxa"/>
            <w:vAlign w:val="bottom"/>
          </w:tcPr>
          <w:p>
            <w:pPr>
              <w:spacing w:after="0"/>
              <w:rPr>
                <w:sz w:val="12"/>
                <w:szCs w:val="12"/>
                <w:color w:val="auto"/>
              </w:rPr>
            </w:pPr>
          </w:p>
        </w:tc>
        <w:tc>
          <w:tcPr>
            <w:tcW w:w="5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128,986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114,640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66,812</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(491,654)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(101,889)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(47,364)</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79,827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31,824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(1,603)</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legal fees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(11,154)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(18,821)</w:t>
            </w:r>
          </w:p>
        </w:tc>
      </w:tr>
      <w:tr>
        <w:trPr>
          <w:trHeight w:val="142"/>
        </w:trPr>
        <w:tc>
          <w:tcPr>
            <w:tcW w:w="20" w:type="dxa"/>
            <w:vAlign w:val="bottom"/>
          </w:tcPr>
          <w:p>
            <w:pPr>
              <w:spacing w:after="0"/>
              <w:rPr>
                <w:sz w:val="12"/>
                <w:szCs w:val="12"/>
                <w:color w:val="auto"/>
              </w:rPr>
            </w:pPr>
          </w:p>
        </w:tc>
        <w:tc>
          <w:tcPr>
            <w:tcW w:w="5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(413,480)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(86,415)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(35,964)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notes issuance financing costs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(10,435)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warrants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convertible note hedges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(92,897)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376,438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2,052</w:t>
            </w:r>
          </w:p>
        </w:tc>
        <w:tc>
          <w:tcPr>
            <w:tcW w:w="160" w:type="dxa"/>
            <w:vAlign w:val="bottom"/>
            <w:shd w:val="clear" w:color="auto" w:fill="CCEEFF"/>
          </w:tcPr>
          <w:p>
            <w:pPr>
              <w:spacing w:after="0"/>
              <w:rPr>
                <w:sz w:val="12"/>
                <w:szCs w:val="12"/>
                <w:color w:val="auto"/>
              </w:rPr>
            </w:pPr>
          </w:p>
        </w:tc>
      </w:tr>
      <w:tr>
        <w:trPr>
          <w:trHeight w:val="142"/>
        </w:trPr>
        <w:tc>
          <w:tcPr>
            <w:tcW w:w="5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91,944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33,906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32,900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33,498</w:t>
            </w:r>
          </w:p>
        </w:tc>
        <w:tc>
          <w:tcPr>
            <w:tcW w:w="160" w:type="dxa"/>
            <w:vAlign w:val="bottom"/>
            <w:shd w:val="clear" w:color="auto" w:fill="CCEEFF"/>
          </w:tcPr>
          <w:p>
            <w:pPr>
              <w:spacing w:after="0"/>
              <w:rPr>
                <w:sz w:val="12"/>
                <w:szCs w:val="12"/>
                <w:color w:val="auto"/>
              </w:rPr>
            </w:pPr>
          </w:p>
        </w:tc>
      </w:tr>
      <w:tr>
        <w:trPr>
          <w:trHeight w:val="142"/>
        </w:trPr>
        <w:tc>
          <w:tcPr>
            <w:tcW w:w="5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80" w:type="dxa"/>
            <w:vAlign w:val="bottom"/>
          </w:tcPr>
          <w:p>
            <w:pPr>
              <w:spacing w:after="0"/>
              <w:rPr>
                <w:sz w:val="12"/>
                <w:szCs w:val="12"/>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192,248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66,398</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cash flow information: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interest on convertible notes</w:t>
            </w:r>
          </w:p>
        </w:tc>
        <w:tc>
          <w:tcPr>
            <w:tcW w:w="102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100" w:type="dxa"/>
            <w:vAlign w:val="bottom"/>
          </w:tcPr>
          <w:p>
            <w:pPr>
              <w:spacing w:after="0"/>
              <w:rPr>
                <w:sz w:val="12"/>
                <w:szCs w:val="12"/>
                <w:color w:val="auto"/>
              </w:rPr>
            </w:pPr>
          </w:p>
        </w:tc>
        <w:tc>
          <w:tcPr>
            <w:tcW w:w="20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180" w:type="dxa"/>
            <w:vAlign w:val="bottom"/>
            <w:gridSpan w:val="2"/>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Biscayne acquisition</w:t>
            </w:r>
          </w:p>
        </w:tc>
        <w:tc>
          <w:tcPr>
            <w:tcW w:w="1020" w:type="dxa"/>
            <w:vAlign w:val="bottom"/>
            <w:gridSpan w:val="2"/>
            <w:shd w:val="clear" w:color="auto" w:fill="CCEEFF"/>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102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34,772</w:t>
            </w:r>
          </w:p>
        </w:tc>
        <w:tc>
          <w:tcPr>
            <w:tcW w:w="100" w:type="dxa"/>
            <w:vAlign w:val="bottom"/>
          </w:tcPr>
          <w:p>
            <w:pPr>
              <w:spacing w:after="0"/>
              <w:rPr>
                <w:sz w:val="12"/>
                <w:szCs w:val="12"/>
                <w:color w:val="auto"/>
              </w:rPr>
            </w:pPr>
          </w:p>
        </w:tc>
        <w:tc>
          <w:tcPr>
            <w:tcW w:w="20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w:t>
            </w:r>
          </w:p>
        </w:tc>
        <w:tc>
          <w:tcPr>
            <w:tcW w:w="100" w:type="dxa"/>
            <w:vAlign w:val="bottom"/>
          </w:tcPr>
          <w:p>
            <w:pPr>
              <w:spacing w:after="0"/>
              <w:rPr>
                <w:sz w:val="12"/>
                <w:szCs w:val="12"/>
                <w:color w:val="auto"/>
              </w:rPr>
            </w:pPr>
          </w:p>
        </w:tc>
        <w:tc>
          <w:tcPr>
            <w:tcW w:w="180" w:type="dxa"/>
            <w:vAlign w:val="bottom"/>
            <w:gridSpan w:val="2"/>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activity:</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and interest make-whole</w:t>
            </w:r>
          </w:p>
        </w:tc>
        <w:tc>
          <w:tcPr>
            <w:tcW w:w="102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4,548</w:t>
            </w:r>
          </w:p>
        </w:tc>
        <w:tc>
          <w:tcPr>
            <w:tcW w:w="100" w:type="dxa"/>
            <w:vAlign w:val="bottom"/>
          </w:tcPr>
          <w:p>
            <w:pPr>
              <w:spacing w:after="0"/>
              <w:rPr>
                <w:sz w:val="12"/>
                <w:szCs w:val="12"/>
                <w:color w:val="auto"/>
              </w:rPr>
            </w:pPr>
          </w:p>
        </w:tc>
        <w:tc>
          <w:tcPr>
            <w:tcW w:w="180" w:type="dxa"/>
            <w:vAlign w:val="bottom"/>
            <w:gridSpan w:val="2"/>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legal fees included in accounts payable and accrued expenses</w:t>
            </w:r>
          </w:p>
        </w:tc>
        <w:tc>
          <w:tcPr>
            <w:tcW w:w="1020" w:type="dxa"/>
            <w:vAlign w:val="bottom"/>
            <w:gridSpan w:val="2"/>
            <w:shd w:val="clear" w:color="auto" w:fill="CCEEFF"/>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5,122</w:t>
            </w:r>
          </w:p>
        </w:tc>
        <w:tc>
          <w:tcPr>
            <w:tcW w:w="1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Unsettled purchase of marketable securities included in accrued expenses</w:t>
            </w: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5"/>
                <w:szCs w:val="15"/>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Supernus Pharmaceuticals, Inc. (the Company) was incorporated in Delaware and commenced operations in 2005. The Company is a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The Company has several proprietary product candidates in clinical development that address the CNS market.</w:t>
      </w:r>
    </w:p>
    <w:p>
      <w:pPr>
        <w:spacing w:after="0" w:line="19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Company launched Oxtellar XR and Trokendi XR in 2013 for the treatment of epilepsy and launched Trokendi XR for the prophylaxis of migraine headache in adolescents and adults in April 2017.</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4, 2018, the Company acquired Biscayne Neurotherapeutics, Inc. (Biscayne). Supernus obtained worldwide rights, excluding certain markets in Asia where rights have been out-licensed, to Biscayne's product candidate, hurpezine A, that is in Phase I clinical development. This product candidate has received an Orphan Drug designation from the U.S. Food and Drug Administration (FDA) for the treatment of Dravet Syndrome, a severe form of childhood epilepsy. Supernus obtained rights to all the product candidate's underlying and related intellectual property (IP). (See Note 18.)</w:t>
      </w:r>
    </w:p>
    <w:p>
      <w:pPr>
        <w:spacing w:after="0" w:line="188" w:lineRule="exact"/>
        <w:rPr>
          <w:sz w:val="20"/>
          <w:szCs w:val="20"/>
          <w:color w:val="auto"/>
        </w:rPr>
      </w:pPr>
    </w:p>
    <w:p>
      <w:pPr>
        <w:ind w:right="7900" w:firstLine="8"/>
        <w:spacing w:after="0" w:line="502" w:lineRule="auto"/>
        <w:tabs>
          <w:tab w:leader="none" w:pos="17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780"/>
        <w:spacing w:after="0" w:line="275"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(U.S. GAAP).</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Supernus Pharmaceuticals, Inc., Supernus Europe Ltd., and Biscayne Neurotherapeutics, Inc. and its wholly-owned subsidiary, Biscayne Neurotherapeutics Australia Pty Ltd, collectively referred to herein as "Supernus" or "the Company." All significant intercompany transactions and balances have been eliminated in consolidation. The financial results of Biscayne have been included in the consolidated financial statements from date of acquisition.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its principal business in the U.S. and operates in one operating segment.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liabilities, revenue and expenses, as well as related disclosure of contingent assets and liabilities. Actual results could differ materially from the Company's estimates. To the extent that there are material differences between these estimates and actual results, the Company's financial condition or operating results will be affected. The Company bases its estimates on: historical experience; various forecasts; information received from its service providers; and other assumptions that the Company believes are reasonable under the circumstances. The Company evaluates the methodology employed and the judgment and assumptions used in its estimates on an ongoing basis.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ind w:right="6960" w:firstLine="8"/>
        <w:spacing w:after="0" w:line="502" w:lineRule="auto"/>
        <w:tabs>
          <w:tab w:leader="none" w:pos="17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Cash and Cash Equivalents</w:t>
      </w:r>
    </w:p>
    <w:p>
      <w:pPr>
        <w:spacing w:after="0"/>
        <w:rPr>
          <w:sz w:val="20"/>
          <w:szCs w:val="20"/>
          <w:color w:val="auto"/>
        </w:rPr>
      </w:pPr>
      <w:r>
        <w:rPr>
          <w:rFonts w:ascii="Times New Roman" w:cs="Times New Roman" w:eastAsia="Times New Roman" w:hAnsi="Times New Roman"/>
          <w:sz w:val="18"/>
          <w:szCs w:val="18"/>
          <w:color w:val="auto"/>
        </w:rPr>
        <w:t>The Company considers all investments in highly liquid financial instruments with an original maturity of three months or less to be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Marketable securities consist of investments in U.S. Treasury bills and notes, certificates of deposit, various U.S. governmental agency debt securities, corporate and municipal bonds and other fixed income securities. The Company places all investments with government, industrial or financial institutions whose debt is rated as investment grade. The Company classifies all available-for-sale marketable securities with maturities greater than one year from the balance sheet date as non-current assets.</w:t>
      </w:r>
    </w:p>
    <w:p>
      <w:pPr>
        <w:spacing w:after="0" w:line="19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Company's investments are classified as available-for-sale and are carried at fair value. Any unrealized holding gains or losses on debt securities are reported net of any tax effects as a component of other comprehensive earnings (loss) in the consolidated statement of comprehensive earnings.</w:t>
      </w:r>
    </w:p>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Declines in value judged to be other-than-temporary, if any, are included in consolidated statement of earnings. A decline in the market value of any available-for-sale security below cost that is deemed to be other-than-temporary results in a reduction in fair value, with that reduction charged to earnings in that period. A new cost basis for the security is then established.</w:t>
      </w:r>
    </w:p>
    <w:p>
      <w:pPr>
        <w:spacing w:after="0" w:line="18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Dividend and interest income is recognized when earned. Premiums and discounts on marketable securities are amortized and accreted, respectively, to maturity and included in interest income in the consolidated statement of earnings. Realized gains and losses are also included in interest income and are determined using the specific identification method for determining the cost of securities sold.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Accounts receivable are reported on the consolidated balance sheets at outstanding amounts due from customers, less an allowance for doubtful accounts and sales discounts and allowances. The Company extends credit without requiring collateral. 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 Payment terms for receivables are based on customary commercial terms and are generally less than one year.</w:t>
      </w:r>
    </w:p>
    <w:p>
      <w:pPr>
        <w:spacing w:after="0" w:line="193" w:lineRule="exact"/>
        <w:rPr>
          <w:sz w:val="20"/>
          <w:szCs w:val="20"/>
          <w:color w:val="auto"/>
        </w:rPr>
      </w:pPr>
    </w:p>
    <w:p>
      <w:pPr>
        <w:jc w:val="both"/>
        <w:ind w:right="660"/>
        <w:spacing w:after="0" w:line="275" w:lineRule="auto"/>
        <w:rPr>
          <w:sz w:val="20"/>
          <w:szCs w:val="20"/>
          <w:color w:val="auto"/>
        </w:rPr>
      </w:pPr>
      <w:r>
        <w:rPr>
          <w:rFonts w:ascii="Times New Roman" w:cs="Times New Roman" w:eastAsia="Times New Roman" w:hAnsi="Times New Roman"/>
          <w:sz w:val="18"/>
          <w:szCs w:val="18"/>
          <w:color w:val="auto"/>
        </w:rPr>
        <w:t>The Company recorded approximately $0.1 million, zero and $0.4 million for doubtful accounts for the years ended December 31, 2018, 2017 and 2016, respectively. There was no receivable write-off recorded for the years ended December 31, 2018, 2017 and 2016.</w:t>
      </w:r>
    </w:p>
    <w:p>
      <w:pPr>
        <w:spacing w:after="0" w:line="174" w:lineRule="exact"/>
        <w:rPr>
          <w:sz w:val="20"/>
          <w:szCs w:val="20"/>
          <w:color w:val="auto"/>
        </w:rPr>
      </w:pPr>
    </w:p>
    <w:p>
      <w:pPr>
        <w:jc w:val="both"/>
        <w:ind w:right="640"/>
        <w:spacing w:after="0" w:line="262" w:lineRule="auto"/>
        <w:rPr>
          <w:sz w:val="20"/>
          <w:szCs w:val="20"/>
          <w:color w:val="auto"/>
        </w:rPr>
      </w:pPr>
      <w:r>
        <w:rPr>
          <w:rFonts w:ascii="Times New Roman" w:cs="Times New Roman" w:eastAsia="Times New Roman" w:hAnsi="Times New Roman"/>
          <w:sz w:val="18"/>
          <w:szCs w:val="18"/>
          <w:color w:val="auto"/>
        </w:rPr>
        <w:t>The Company recorded an allowance of approximately $11.5 million and $8.9 million for expected sales discounts and allowances related to prompt pay discounts and contractual fee for service arrangements to pharmaceutical wholesalers and distributors, as of December 31, 2018 and December 31, 2017, respectively.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ind w:right="6880" w:firstLine="8"/>
        <w:spacing w:after="0" w:line="502" w:lineRule="auto"/>
        <w:tabs>
          <w:tab w:leader="none" w:pos="17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Concentration of Credit Risk</w:t>
      </w:r>
    </w:p>
    <w:p>
      <w:pPr>
        <w:ind w:right="80"/>
        <w:spacing w:after="0" w:line="27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accounts receivable and marketable securities. The counterparties are various corporations and financial institutions of high credit standing, as described above.</w:t>
      </w:r>
    </w:p>
    <w:p>
      <w:pPr>
        <w:spacing w:after="0" w:line="1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Substantially all of the Company's cash and cash equivalents and marketable securities are maintained in U.S. government agency debt and debt of well-known, investment grade corporations. Deposits held with banks may exceed the amount of insurance provided on such deposits. Generally, these deposits may be redeemed upon demand and, therefore, these bear minimal default risk.</w:t>
      </w:r>
    </w:p>
    <w:p>
      <w:pPr>
        <w:spacing w:after="0" w:line="18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table includes the Company's customers, who are pharmaceutical wholesalers and distributors, that represent more than 10% of total net product sales for the years ended December 31, 2018, 2017 and 2016.</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2"/>
              </w:rPr>
              <w:t>Years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620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each major customer that represented more than 10% of accounts receivable, net as of December 31, 2018 and 2017:</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72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7"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Inventories, which are recorded at the lower of cost or net realizable value, include materials, labor and other direct and indirect costs and are valued using the first-in, first-out method. The Company typically capitalizes inventories produced in preparation for commercial launches when the related product candidates have received regulatory approval and it is probable that the related costs will be recoverable through the commercial sale of the product.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Intangible assets consist of patent defense costs, which are deferred legal fees that have been incurred in connection with legal proceedings related to the defense of patents for Oxtellar XR and</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Trokendi XR. Patent defense costs will be charged to expense in the event of an unsuccessful outcome of the litigation. Patents are carried at cost less accumulated amortization, which is calculated on a straight line basis over the estimated useful lives of the patents. Amortization commences in the quarter after the costs are incurred. The amortization period is based initially upon the remaining patent life and is adjusted, if necessary, for any subsequent settlements or other changes to the expected useful life of the patent. The carrying value of the patents is assessed for impairment annually during the fourth quarter of each year, or more frequently if impairment indicators exist.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Long-lived assets consist primarily of property and equipment and patent defense costs.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value to determine whether the asset's value is recoverable. Evaluating for impairment requires judgment, including the estimation of future cash flows, future growth rates and profitability, and the expected life over which cash flows will occur. Changes in the Company's business strategy or adverse changes in market conditions could affect impairment analyses and require recognition of an impairment charge equal to the excess of the carrying value of the long-lived asset over its estimated fair value at the time at which that determination is made.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Deferred financing costs were incurred by the Company in connection with the Company's sale of $402.5 million of 0.625% Convertible Senior Notes due 2023 (2023 Notes). (See Note 9). The Company amortizes deferred financing costs over the term of the debt, using the effective interest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Study and Clinical Trial Accruals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estimates preclinical study and clinical trial expenses based on the services performed pursuant to contracts with research institutions, clinical investigators, clinical research organizations (CROs) and other service providers that conduct activities on our behalf. In recording service fees, the Company estimates the time period over which the related services will be performed and compares the level of effort expended through the end of each period to the cumulative expenses recorded and payments made for such services. As appropriate, the Company accrues additional service fees or defers any non-refundable advance payments until the related services are performed. If the actual timing of the performance of services or the level of effort varies from the estimate, the Company will adjust its accrued expenses or deferred advance payments accordingly. If the Company later determines that it no longer expects the services associated with a nonrefundable advance payment to be rendered, the remaining portion of that advance payment will be charged to expense in the period in which such determination is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color w:val="auto"/>
        </w:rPr>
        <w:t>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Company recognizes revenue when control of promised goods or services is transferred to the Company's customers in an</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amount that reflects the consideration the Company expects to be entitled to in exchange for those goods or services. (See Note 17 for disaggregation of revenue by nature.) The Company does not adjust revenue for effects of significant financing component for contracts where the Company expects the period between the transfer of the goods or service and collection to be less than one year.</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Incremental costs for obtaining a contract include only those costs that the Company would not have incurred if the contract had not been obtained; e.g., sales commissions. As a practical expedient, the Company expenses incremental costs in obtaining a contract if the expected amortization period of the contract would have been a year or less, or if the amount is immaterial. These costs are recorded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 of earnings. Costs to fulfill a contract are expensed as incurred and recorded in </w:t>
      </w:r>
      <w:r>
        <w:rPr>
          <w:rFonts w:ascii="Times New Roman" w:cs="Times New Roman" w:eastAsia="Times New Roman" w:hAnsi="Times New Roman"/>
          <w:sz w:val="18"/>
          <w:szCs w:val="18"/>
          <w:i w:val="1"/>
          <w:iCs w:val="1"/>
          <w:color w:val="auto"/>
        </w:rPr>
        <w:t>Cost of product sales</w:t>
      </w:r>
      <w:r>
        <w:rPr>
          <w:rFonts w:ascii="Times New Roman" w:cs="Times New Roman" w:eastAsia="Times New Roman" w:hAnsi="Times New Roman"/>
          <w:sz w:val="18"/>
          <w:szCs w:val="18"/>
          <w:color w:val="auto"/>
        </w:rPr>
        <w:t xml:space="preserve"> in the consolidated statement of earnings. There were no contract assets or liabilities recorded as of January 1, 2018 or December 31,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Product Sales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products are distributed through a third party fulfillment center. The Company's customers purchase product to fulfill orders from retail pharmacy chains and independent pharmacies of varying size and buying power. The Company's customers take control of the products, including title and ownership, upon physical receipt of these products at their facilities.</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Company recognizes gross revenue when its products are shipped from its fulfillment center to its customers, who are primarily pharmaceutical wholesalers and distributors and the customers take control of the products. Product sales are recorded net of various forms of variable consideration, including estimated rebates, discounts, allowances, and an estimated liability for product returns (collectively, "sales deductions").</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Variability in the net transaction price for the Company's products primarily arises from sales deductions, which require significant judgment. The Company considers: historical experience; current contract prices under applicable programs; unbilled claims; processing time lags; and inventory levels in the distribution channel in arriving at these estimates. The Company adjusts its estimates of revenue at the earlier of when the most likely amount of consideration it expects to receive changes or when the consideration becomes fixed.</w:t>
      </w:r>
    </w:p>
    <w:p>
      <w:pPr>
        <w:spacing w:after="0" w:line="1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If actual results in the future vary from estimates, the Company adjusts these estimates. These adjustments could materially affect net product sales and earnings in the period that such variances become known.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Deductions</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Sales deductions are primarily comprised of rebates, product returns and sales discounts and allowances. The Company records product sales net of the following sales deductions:</w:t>
      </w:r>
    </w:p>
    <w:p>
      <w:pPr>
        <w:spacing w:after="0" w:line="185"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Rebates are discounts which the Company pays under either private sector or public sector health care programs. Public sector rebate</w:t>
      </w:r>
    </w:p>
    <w:p>
      <w:pPr>
        <w:spacing w:after="0" w:line="23" w:lineRule="exact"/>
        <w:rPr>
          <w:rFonts w:ascii="Times New Roman" w:cs="Times New Roman" w:eastAsia="Times New Roman" w:hAnsi="Times New Roman"/>
          <w:sz w:val="18"/>
          <w:szCs w:val="18"/>
          <w:color w:val="auto"/>
        </w:rPr>
      </w:pPr>
    </w:p>
    <w:p>
      <w:pPr>
        <w:ind w:left="1080" w:right="6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encompass: Medicaid Drug Rebate Programs; Medicare Coverage Gap Programs; and programs covering public health service institutions and government entities that purchase drugs under the Federal Supply Schedule,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left="1080" w:right="200"/>
        <w:spacing w:after="0" w:line="256" w:lineRule="auto"/>
        <w:rPr>
          <w:sz w:val="20"/>
          <w:szCs w:val="20"/>
          <w:color w:val="auto"/>
        </w:rPr>
      </w:pPr>
      <w:r>
        <w:rPr>
          <w:rFonts w:ascii="Times New Roman" w:cs="Times New Roman" w:eastAsia="Times New Roman" w:hAnsi="Times New Roman"/>
          <w:sz w:val="18"/>
          <w:szCs w:val="18"/>
          <w:color w:val="auto"/>
        </w:rPr>
        <w:t>encompassing all federal employees and agencies. Private sector rebate programs include contractual agreements with managed care providers, under which the Company pays fees to gain access to that provider's patient drug formulary and Company sponsored programs under which the Company defrays or eliminates patient co-payment charges that the patient would otherwise pay to their managed care provider. Rebates paid under public sector programs are generally mandated under law, whereas private sector rebates are generally contractually negotiated by the Company with managed care providers.</w:t>
      </w:r>
    </w:p>
    <w:p>
      <w:pPr>
        <w:spacing w:after="0" w:line="193"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8"/>
          <w:szCs w:val="18"/>
          <w:color w:val="auto"/>
        </w:rPr>
        <w:t>Rebates are owed upon dispensing product to a patient; i.e., filling a prescription. Our accrual balance consists of three components. First, because rebates are generally invoiced and paid quarterly in arrears, the accrual balance consists of an estimate of the amount expected to be incurred for prescriptions dispensed in the current quarter. Second, the accrual balance also includes accrual for known or estimated prior quarters' unpaid rebates to cover prescriptions dispensed in past quarters. Third, the accrual balance includes an estimate for rebates that will be owed for prescriptions filled in future quarters; i.e., for product which has been sold to our customers, and which resides either as wholesaler/distributor inventory, or is held as inventory at pharmacies. This product will be used prospectively to fill prescriptions.</w:t>
      </w:r>
    </w:p>
    <w:p>
      <w:pPr>
        <w:spacing w:after="0" w:line="193" w:lineRule="exact"/>
        <w:rPr>
          <w:sz w:val="20"/>
          <w:szCs w:val="20"/>
          <w:color w:val="auto"/>
        </w:rPr>
      </w:pPr>
    </w:p>
    <w:p>
      <w:pPr>
        <w:ind w:left="1080" w:right="80"/>
        <w:spacing w:after="0" w:line="256" w:lineRule="auto"/>
        <w:rPr>
          <w:sz w:val="20"/>
          <w:szCs w:val="20"/>
          <w:color w:val="auto"/>
        </w:rPr>
      </w:pPr>
      <w:r>
        <w:rPr>
          <w:rFonts w:ascii="Times New Roman" w:cs="Times New Roman" w:eastAsia="Times New Roman" w:hAnsi="Times New Roman"/>
          <w:sz w:val="18"/>
          <w:szCs w:val="18"/>
          <w:color w:val="auto"/>
        </w:rPr>
        <w:t>Because the period from the date on which the prescription is filled to the date the Company receives and pays the invoice varies, the Company's estimates of expected rebate claims vary by program and by type of customer. For each of its products, the Company bases its estimates of expected rebate claims using multiple factors including historical levels of deductions; contractual terms with managed care providers; actual and anticipated changes in product price; prospective changes in managed care fee for service contractual agreements; prospective changes in co-pay assistance programs; and anticipated changes in program utilization rates (i.e., patient participation rates).</w:t>
      </w:r>
    </w:p>
    <w:p>
      <w:pPr>
        <w:spacing w:after="0" w:line="193" w:lineRule="exact"/>
        <w:rPr>
          <w:sz w:val="20"/>
          <w:szCs w:val="20"/>
          <w:color w:val="auto"/>
        </w:rPr>
      </w:pPr>
    </w:p>
    <w:p>
      <w:pPr>
        <w:ind w:left="1080" w:right="40"/>
        <w:spacing w:after="0" w:line="256" w:lineRule="auto"/>
        <w:rPr>
          <w:sz w:val="20"/>
          <w:szCs w:val="20"/>
          <w:color w:val="auto"/>
        </w:rPr>
      </w:pPr>
      <w:r>
        <w:rPr>
          <w:rFonts w:ascii="Times New Roman" w:cs="Times New Roman" w:eastAsia="Times New Roman" w:hAnsi="Times New Roman"/>
          <w:sz w:val="18"/>
          <w:szCs w:val="18"/>
          <w:color w:val="auto"/>
        </w:rPr>
        <w:t xml:space="preserve">The sensitivity of the Company's estimates can vary by program and by type of customer. If actual rebates vary from estimated amounts, the Company may need to adjust the balances of such rebates to reflect actual expenditures with respect to these programs. These changes could materially affect net product sales and earnings in the period of adjustment. The Company records an estimated liability for rebates at the time the customer takes title to the product (i.e., at the time of sale to wholesalers/distributors) as a reduction to gross product sales and an increase in </w:t>
      </w:r>
      <w:r>
        <w:rPr>
          <w:rFonts w:ascii="Times New Roman" w:cs="Times New Roman" w:eastAsia="Times New Roman" w:hAnsi="Times New Roman"/>
          <w:sz w:val="18"/>
          <w:szCs w:val="18"/>
          <w:i w:val="1"/>
          <w:iCs w:val="1"/>
          <w:color w:val="auto"/>
        </w:rPr>
        <w:t xml:space="preserve">Accrued Sales Deductions </w:t>
      </w:r>
      <w:r>
        <w:rPr>
          <w:rFonts w:ascii="Times New Roman" w:cs="Times New Roman" w:eastAsia="Times New Roman" w:hAnsi="Times New Roman"/>
          <w:sz w:val="18"/>
          <w:szCs w:val="18"/>
          <w:color w:val="auto"/>
        </w:rPr>
        <w:t>in current liabilities.</w:t>
      </w:r>
    </w:p>
    <w:p>
      <w:pPr>
        <w:spacing w:after="0" w:line="204" w:lineRule="exact"/>
        <w:rPr>
          <w:sz w:val="20"/>
          <w:szCs w:val="20"/>
          <w:color w:val="auto"/>
        </w:rPr>
      </w:pPr>
    </w:p>
    <w:p>
      <w:pPr>
        <w:ind w:left="1080" w:right="100" w:hanging="532"/>
        <w:spacing w:after="0" w:line="259"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Returns: </w:t>
      </w:r>
      <w:r>
        <w:rPr>
          <w:rFonts w:ascii="Times New Roman" w:cs="Times New Roman" w:eastAsia="Times New Roman" w:hAnsi="Times New Roman"/>
          <w:sz w:val="18"/>
          <w:szCs w:val="18"/>
          <w:color w:val="auto"/>
        </w:rPr>
        <w:t>Sales of the Company's products are not subject to a general right of return. Product that has been used to fill patient prescriptions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subject to any right of return. However, the Company will accept the return of product that is damaged or defective when shipped from its warehouse. In addition, the Company will accept return of expired product six months prior to and up to 12 months subsequent to the product's expiry date. Expired or defective returned product cannot be re-sold and are destroyed.</w:t>
      </w:r>
    </w:p>
    <w:p>
      <w:pPr>
        <w:spacing w:after="0" w:line="189" w:lineRule="exact"/>
        <w:rPr>
          <w:sz w:val="20"/>
          <w:szCs w:val="20"/>
          <w:color w:val="auto"/>
        </w:rPr>
      </w:pPr>
    </w:p>
    <w:p>
      <w:pPr>
        <w:jc w:val="both"/>
        <w:ind w:left="1080" w:right="100"/>
        <w:spacing w:after="0" w:line="262" w:lineRule="auto"/>
        <w:rPr>
          <w:sz w:val="20"/>
          <w:szCs w:val="20"/>
          <w:color w:val="auto"/>
        </w:rPr>
      </w:pPr>
      <w:r>
        <w:rPr>
          <w:rFonts w:ascii="Times New Roman" w:cs="Times New Roman" w:eastAsia="Times New Roman" w:hAnsi="Times New Roman"/>
          <w:sz w:val="18"/>
          <w:szCs w:val="18"/>
          <w:color w:val="auto"/>
        </w:rPr>
        <w:t>The Company estimates liability for returns based on the actual returns experience for its two commercial products, in conjunction with industry return experience for similar products; i.e., ambient temperature storage for oral formulations. Because the Company's products have not reached maturity, the return rate of its products has and is expected to continue to vary. The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left="1080" w:right="20"/>
        <w:spacing w:after="0" w:line="275" w:lineRule="auto"/>
        <w:rPr>
          <w:sz w:val="20"/>
          <w:szCs w:val="20"/>
          <w:color w:val="auto"/>
        </w:rPr>
      </w:pPr>
      <w:r>
        <w:rPr>
          <w:rFonts w:ascii="Times New Roman" w:cs="Times New Roman" w:eastAsia="Times New Roman" w:hAnsi="Times New Roman"/>
          <w:sz w:val="18"/>
          <w:szCs w:val="18"/>
          <w:color w:val="auto"/>
        </w:rPr>
        <w:t xml:space="preserve">Company records an estimated liability for product returns at the time the customer takes title to the product (i.e., at time of sale) as a reduction to gross product sales and an increase in </w:t>
      </w:r>
      <w:r>
        <w:rPr>
          <w:rFonts w:ascii="Times New Roman" w:cs="Times New Roman" w:eastAsia="Times New Roman" w:hAnsi="Times New Roman"/>
          <w:sz w:val="18"/>
          <w:szCs w:val="18"/>
          <w:i w:val="1"/>
          <w:iCs w:val="1"/>
          <w:color w:val="auto"/>
        </w:rPr>
        <w:t>Accrued Sales Deductions</w:t>
      </w:r>
      <w:r>
        <w:rPr>
          <w:rFonts w:ascii="Times New Roman" w:cs="Times New Roman" w:eastAsia="Times New Roman" w:hAnsi="Times New Roman"/>
          <w:sz w:val="18"/>
          <w:szCs w:val="18"/>
          <w:color w:val="auto"/>
        </w:rPr>
        <w:t xml:space="preserve"> in current liabilities.</w:t>
      </w:r>
    </w:p>
    <w:p>
      <w:pPr>
        <w:spacing w:after="0" w:line="17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Company's estimated liability for product returns is also affected by price increases. The Company's products have a shelf life of 36 to</w:t>
      </w:r>
    </w:p>
    <w:p>
      <w:pPr>
        <w:spacing w:after="0" w:line="21" w:lineRule="exact"/>
        <w:rPr>
          <w:sz w:val="20"/>
          <w:szCs w:val="20"/>
          <w:color w:val="auto"/>
        </w:rPr>
      </w:pPr>
    </w:p>
    <w:p>
      <w:pPr>
        <w:ind w:left="1080" w:right="40"/>
        <w:spacing w:after="0" w:line="252" w:lineRule="auto"/>
        <w:rPr>
          <w:sz w:val="20"/>
          <w:szCs w:val="20"/>
          <w:color w:val="auto"/>
        </w:rPr>
      </w:pPr>
      <w:r>
        <w:rPr>
          <w:rFonts w:ascii="Times New Roman" w:cs="Times New Roman" w:eastAsia="Times New Roman" w:hAnsi="Times New Roman"/>
          <w:sz w:val="18"/>
          <w:szCs w:val="18"/>
          <w:color w:val="auto"/>
        </w:rPr>
        <w:t>48 months from date of manufacture. Because of the extended shelf life and its return policy, there typically is a significant time lag between the time at which the product is sold and when the Company issues credit on expired product. The Company's policy permits product returns to be processed at current wholesaler price rather than historical price. Therefore, price increase(s) taken during the current period increases the provision for product returns and therefore affects its estimated liability for product returns for both sales made in the current period as well as sales made in prior periods. Accordingly, the Company may have to adjust its estimates, favorably or unfavorably, which would have an effect on product sales and earnings in the period of adjustment.</w:t>
      </w:r>
    </w:p>
    <w:p>
      <w:pPr>
        <w:spacing w:after="0" w:line="208" w:lineRule="exact"/>
        <w:rPr>
          <w:sz w:val="20"/>
          <w:szCs w:val="20"/>
          <w:color w:val="auto"/>
        </w:rPr>
      </w:pPr>
    </w:p>
    <w:p>
      <w:pPr>
        <w:ind w:left="1080" w:right="100" w:hanging="532"/>
        <w:spacing w:after="0" w:line="259"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discounts and allowances</w:t>
      </w:r>
      <w:r>
        <w:rPr>
          <w:rFonts w:ascii="Times New Roman" w:cs="Times New Roman" w:eastAsia="Times New Roman" w:hAnsi="Times New Roman"/>
          <w:sz w:val="18"/>
          <w:szCs w:val="18"/>
          <w:color w:val="auto"/>
        </w:rPr>
        <w:t>: Distributors and wholesalers of pharmaceutical products are generally offered various forms of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allowances, service fees and prompt payment discounts, as consideration for distributing products. Distributor and wholesaler allowances and service fees arise from contractual agreements and are estimated as a percentage of the price at which the Company sells product to them. In addition, they are offered a prompt pay discount for payment within a specified period.</w:t>
      </w:r>
    </w:p>
    <w:p>
      <w:pPr>
        <w:spacing w:after="0" w:line="188" w:lineRule="exact"/>
        <w:rPr>
          <w:rFonts w:ascii="Times New Roman" w:cs="Times New Roman" w:eastAsia="Times New Roman" w:hAnsi="Times New Roman"/>
          <w:sz w:val="18"/>
          <w:szCs w:val="18"/>
          <w:color w:val="auto"/>
        </w:rPr>
      </w:pPr>
    </w:p>
    <w:p>
      <w:pPr>
        <w:ind w:left="1080"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accounts for these discounts at the time of sale as a reduction to gross product sales and records these amounts as a reduction to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080" w:right="120"/>
        <w:spacing w:after="0" w:line="275" w:lineRule="auto"/>
        <w:rPr>
          <w:sz w:val="20"/>
          <w:szCs w:val="20"/>
          <w:color w:val="auto"/>
        </w:rPr>
      </w:pPr>
      <w:r>
        <w:rPr>
          <w:rFonts w:ascii="Times New Roman" w:cs="Times New Roman" w:eastAsia="Times New Roman" w:hAnsi="Times New Roman"/>
          <w:sz w:val="18"/>
          <w:szCs w:val="18"/>
          <w:color w:val="auto"/>
        </w:rPr>
        <w:t>Customer orders are generally fulfilled within a few days of receipt, resulting in minimal order backlog. Open purchase orders for products from customers are expected to be fulfilled within the next twelve months. There are no minimum product purchase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Agreements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entered into collaboration agreements to commercialize both Oxtellar XR and Trokendi XR outside of the U.S., which involve the right to use the Company's intellectual property as a functional license. These agreements generally include an up-front license fee and ongoing milestone payments upon the achievement of specific events. These agreements may also require minimum royalty payments based on in-country sales of products developed from the applicable intellectual property.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Up-front license fees are recognized once the license has been delivered to the customer.</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Milestones are a form of variable consideration that are recognized when either the underlying events have been achieved (event-based milestone) or the sales-based targets have been met by the collaborative partner (sales-based milestone). Both types of milestone payments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such as: likelihood of regulatory success; availability of third party information; and expected duration of time until achievement of event. These factors are evaluated based on the specific facts and circumstances. If it is probable that a significant revenue reversal would not occur, the value of the associated milestone is included in the transaction price.</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Event-based milestones are recognized in the period that the related event, such as regulatory approval, occurs. Milestone payments that are not within the control of the Company, such as approval from regulatory authorities or where attainment of the specified event is dependent on the development activities of a third-party, are not considered probable of being achieved until the specified event occurs. Sales-based milestones are recognized as revenue when the target is achieved. Revenue is recognized from the satisfaction of performance obligations in the amount billable to the customer.</w:t>
      </w:r>
    </w:p>
    <w:p>
      <w:pPr>
        <w:spacing w:after="0" w:line="19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Revenue associated with future milestones will be recognized when the related event occurs or sales-based target is achieved. There are no guaranteed minimum amounts owed to the Company related to license and collaboration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Revenue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recognizes non-cash royalty revenue for royalty amounts earned pursuant to a royalty agreement with United Therapeutics Corporation that involves the right to use the Company's intellectual property as a functional license. In 2014, the Company sold certain of these royalty rights to Healthcare Royalty Partners III, L.P. (HC Royalty) (see Note 16). Accordingly, the Company records non-cash royalty revenue based on estimated product sales of Orenitram by United Therapeutics that result in Royalty payments made from United Therapeutics to HC Royalty in connection with these agreements.</w:t>
      </w:r>
    </w:p>
    <w:p>
      <w:pPr>
        <w:spacing w:after="0" w:line="190" w:lineRule="exact"/>
        <w:rPr>
          <w:sz w:val="20"/>
          <w:szCs w:val="20"/>
          <w:color w:val="auto"/>
        </w:rPr>
      </w:pPr>
    </w:p>
    <w:p>
      <w:pPr>
        <w:jc w:val="both"/>
        <w:ind w:right="540"/>
        <w:spacing w:after="0" w:line="262" w:lineRule="auto"/>
        <w:rPr>
          <w:sz w:val="20"/>
          <w:szCs w:val="20"/>
          <w:color w:val="auto"/>
        </w:rPr>
      </w:pPr>
      <w:r>
        <w:rPr>
          <w:rFonts w:ascii="Times New Roman" w:cs="Times New Roman" w:eastAsia="Times New Roman" w:hAnsi="Times New Roman"/>
          <w:sz w:val="18"/>
          <w:szCs w:val="18"/>
          <w:color w:val="auto"/>
        </w:rPr>
        <w:t>Royalty revenue also includes royalty amounts received from collaboration partners, including from Shire Plc (Shire), based on net product sales of Shire's product, Mydayis, in the current period. Royalty revenue is only recognized when the underlying product sale by Shire occurs. The Shire arrangement also involves the right to use the Company's intellectual property as a functional license.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guaranteed minimum amounts owed to the Company related to royalty revenue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 Sales</w:t>
      </w:r>
    </w:p>
    <w:p>
      <w:pPr>
        <w:spacing w:after="0" w:line="22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cost of product sales consists primarily of materials, third-party manufacturing costs, freight and distribution costs, allocation of labor, quality control and assurance, and other manufacturing overhead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primarily of: employee-related expenses, including salaries and benefits; share-based compensation expense; expenses incurred under agreements with CROs; fees paid to clinical investigators who are participating in our clinical trials; fees paid to consultants and other vendors that assist in the conduct of the Company's clinical trials; the cost of acquiring and manufacturing clinical trial materials; the cost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of manufacturing materials used in process validation, but only to the extent that those materials are manufactured prior to receiving regulatory approval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 Assets acquired that are used for research and development and have no future alternative use are expensed as in-process research and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22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Advertising expense includes costs of promotional materials and activities, such as marketing materials, marketing programs and speaker programs. The costs of the Company's advertising efforts are expensed as incurred.</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The Company incurred approximately $43.3 million, $33.8 million and $21.9 million in advertising costs for the years ended December 31, 2018, 2017 and 2016, respectively. These expenses are recorded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 of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recognizes share-based compensation expense over the service period using the straight-line method. Employee share-based compensation is measured based on estimated fair value as of the grant date. The Company uses the Black-Scholes option-pricing model in calculating the grant date fair value of option awards. The Company uses the following assumptions for estimating fair value of option grants:</w:t>
      </w:r>
    </w:p>
    <w:p>
      <w:pPr>
        <w:spacing w:after="0" w:line="184"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common stock underlying the option grants was determined based on observable market prices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—Volatility is a measure of the amount by which a variable such as a share price has fluctuated (historical volatility) or is expected to fluctuate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volatility) during a period. The Company has identified several public entities of similar size, complexity, and stage of development. Accordingly, historical volatility has been estimated using the volatility of the stock of these companies, as well as taking into consideration the Company's actual volatility since our IPO in 2012. As the Company's historical experience is not sufficient to calculate volatility for the option grants, the Company will continue to use the guideline peer group volatility information until the historical volatility of its own common stock is sufficiently mature on its own to measure expected volatility for future option grants.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has never declared or paid dividends, and has no plans to do so in the foreseeable future.</w:t>
      </w:r>
    </w:p>
    <w:p>
      <w:pPr>
        <w:spacing w:after="0" w:line="225"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—This is the period of time that the options granted are expected to remain unexercised. Options granted have a maximum term of ten years.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determines the average expected life of stock options according to the "simplified method" as described in Staff Accounting Bulletin 110, which is the mid-point between the vesting date and the end of the contractual term.</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time, management will track actual experience with the option term, so that estimates will approximate actual experience.</w:t>
      </w:r>
    </w:p>
    <w:p>
      <w:pPr>
        <w:spacing w:after="0" w:line="223"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—This is the U.S. Treasury note rate during the week each option grant was issued during that year, with a term that most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resembles the expected term of the option.</w:t>
      </w:r>
    </w:p>
    <w:p>
      <w:pPr>
        <w:spacing w:after="0" w:line="170"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8"/>
          <w:szCs w:val="18"/>
          <w:i w:val="1"/>
          <w:iCs w:val="1"/>
          <w:color w:val="auto"/>
        </w:rPr>
        <w:t>Expected Forfeiture Rate</w:t>
      </w:r>
      <w:r>
        <w:rPr>
          <w:rFonts w:ascii="Times New Roman" w:cs="Times New Roman" w:eastAsia="Times New Roman" w:hAnsi="Times New Roman"/>
          <w:sz w:val="18"/>
          <w:szCs w:val="18"/>
          <w:color w:val="auto"/>
        </w:rPr>
        <w:t>—Prior to 2017, the forfeiture rate was the estimated percentage of options granted that were anticipated to be forfeited or canceled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becoming fully vested. Following the Company's adoption of ASU 2016-09, "</w:t>
      </w:r>
      <w:r>
        <w:rPr>
          <w:rFonts w:ascii="Times New Roman" w:cs="Times New Roman" w:eastAsia="Times New Roman" w:hAnsi="Times New Roman"/>
          <w:sz w:val="18"/>
          <w:szCs w:val="18"/>
          <w:i w:val="1"/>
          <w:iCs w:val="1"/>
          <w:color w:val="auto"/>
        </w:rPr>
        <w:t>Compensation—Stock Compensation (Topic 718):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Employee Share-Based Payment Accounting," </w:t>
      </w:r>
      <w:r>
        <w:rPr>
          <w:rFonts w:ascii="Times New Roman" w:cs="Times New Roman" w:eastAsia="Times New Roman" w:hAnsi="Times New Roman"/>
          <w:sz w:val="18"/>
          <w:szCs w:val="18"/>
          <w:color w:val="auto"/>
        </w:rPr>
        <w:t>at January 1, 2017, forfeitures are accounted for as they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its consolidated financial statements when it is more-likely-than-not that the position will be sustained upon examination by the tax authorities. Such tax positions must initially and subsequently be estimated as the largest amount of tax benefit that has a greater than 50% likelihood of being realized upon ultimate settlement with the tax authorities, assuming full knowledge of the position and relevant facts. The Company's policy is to recognize any interest and penalties related to income taxes as income tax expense in the relevant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 in 2018</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has subsequently issued a number of amendments to ASU 2014-09. ASU 2014-09 and all the related amendments are codified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New Revenue Standard). The New Revenue Standard provides a comprehensive model to be used in the accounting for revenue arising from contracts with customers and supersedes current revenue recognition guidance, including industry-specific guidance.</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1, 2018, the Company adopted the New Revenue Standard using the modified retrospective method and applied this method to those contracts which had not been completed as of January 1, 2018. While results for reporting periods beginning after January 1, 2018 are presented under the new guidance, prior period amounts were not adjusted and continue to be reported under the accounting standards in effect for the prior periods. The Company recognized the cumulative effect of initially applying the New Revenue Standard as an adjustment to the opening balance of retained earnings.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adoption of the New Revenue standard was as follows: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4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January 1, 2018</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65,586</w:t>
            </w: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67,206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Deferred licensing revenue</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licensing revenue, net of current portion</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(asset)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20,843</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20,109</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26,823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24,501</w:t>
            </w:r>
          </w:p>
        </w:tc>
      </w:tr>
    </w:tbl>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recorded a decrease of $2.3 million to the accumulated deficit as of January 1, 2018 due to the cumulative impact of adopting the New Revenue Standard. The adoption of the New Revenue Standard resulted to the acceleration of both up-front licensing fees from license and collaboration agreements and the acceleration of royalties from sales of licensed product. Under the New Revenue Standard, up-front licensing fees are recognized when the license is delivered to the customer. Royalties from the sale of licensed product will be recognized as the underlying sales of product occur by the licensee. There were no changes in the timing of revenue recognition related to net product sales.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of the New Revenue Standard had no material impact on the Company's consolidated financial statements.</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May 2017, the FASB issued ASU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a change in terms or conditions. ASU 2017-09 is effective after December 15, 2017 for all annual periods, and interim periods within those annual periods, with early adoption permitted. The adoption of this guidance did not have a material impact on the Company's consolidated financial statements.</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August 2016, the FASB issued ASU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The standard eliminates diversity in the practice of how certain cash receipts and cash payments are presented and classified in the statement of cash flows. ASU 2016-15 is effective after December 15, 2017 for annual reporting periods and interim periods therein. The adoption of this guidance did not have a material impact on the Company's consolidated financial statements.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w:t>
      </w:r>
      <w:r>
        <w:rPr>
          <w:rFonts w:ascii="Times New Roman" w:cs="Times New Roman" w:eastAsia="Times New Roman" w:hAnsi="Times New Roman"/>
          <w:sz w:val="18"/>
          <w:szCs w:val="18"/>
          <w:i w:val="1"/>
          <w:iCs w:val="1"/>
          <w:color w:val="auto"/>
        </w:rPr>
        <w:t>Business Combination (Topic 805): Clarifying the Definition of a Business</w:t>
      </w:r>
      <w:r>
        <w:rPr>
          <w:rFonts w:ascii="Times New Roman" w:cs="Times New Roman" w:eastAsia="Times New Roman" w:hAnsi="Times New Roman"/>
          <w:sz w:val="18"/>
          <w:szCs w:val="18"/>
          <w:color w:val="auto"/>
        </w:rPr>
        <w:t>," which clarifies the definition of a business to assist entities with evaluating whether transactions should be accounted for as acquisitions or disposals of assets or businesses. The standard introduces a screen for determining when assets acquired are not a business. The guidance requires that if substantially all of the fair value of gross assets acquired or disposed of is concentrated in a single asset or group of similar identifiable assets, the assets would not represent a business. The guidance also clarifies that a business must include, at a minimum, an input and a substantive process that contribute to an output to be considered a business. The Company adopted the new standard 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2018 and will apply the new guidance prospectively to transactions occurring after adoption, including the Biscayne acquisition (see Note 18).</w:t>
      </w:r>
    </w:p>
    <w:p>
      <w:pPr>
        <w:spacing w:after="0" w:line="22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In August 2018, the U.S. Securities and Exchange Commission (SEC) adopted the final rule under SEC Release No. 33-10532, </w:t>
      </w:r>
      <w:r>
        <w:rPr>
          <w:rFonts w:ascii="Times New Roman" w:cs="Times New Roman" w:eastAsia="Times New Roman" w:hAnsi="Times New Roman"/>
          <w:sz w:val="16"/>
          <w:szCs w:val="16"/>
          <w:i w:val="1"/>
          <w:iCs w:val="1"/>
          <w:color w:val="auto"/>
        </w:rPr>
        <w:t>"Disclosure Update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Simplification." </w:t>
      </w:r>
      <w:r>
        <w:rPr>
          <w:rFonts w:ascii="Times New Roman" w:cs="Times New Roman" w:eastAsia="Times New Roman" w:hAnsi="Times New Roman"/>
          <w:sz w:val="16"/>
          <w:szCs w:val="16"/>
          <w:color w:val="auto"/>
        </w:rPr>
        <w:t>This final rule amends certain disclosure requirements that are redundant, duplicative, overlapping, outdated or superseded. In addition,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amendments expand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final rule is effective for all filings made on or after November 5, 2018. The SEC staff clarified that the first presentation of the changes in shareholders' equity may be included in the first Form 10-Q for the quarter that begins after the effective date of the amendments. The adoption of the final rule did not have a material impact on the Company's consolidated financial statements. The Company will change its presentation of statement of shareholders' equity in the first quarter of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and its related amendments (the New Lease Standard). The New Lease Standard requires a lessee to recognize a right-of-use asset and a lease liability on the balance sheet. The New Lease Standard is effective after December 15, 2018 for fiscal years, and interim periods within those years. The Company will adopt this ASU on January 1, 2019 using the modified retrospective approach transition method. The adoption will result in an immaterial cumulative adjustment to retained earnings at the beginning of the adoption period. Results for reporting periods beginning after January 1, 2019 will be presented under the New Lease Standard while prior period amounts are not adjusted and continue to be reported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Hence, this will result in a balance sheet presentation that will not be comparable to the prior period in the first year of adoption. The Company expects to elect certain practical expedients permitted under the transition guidance.</w:t>
      </w:r>
    </w:p>
    <w:p>
      <w:pPr>
        <w:spacing w:after="0" w:line="19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adoption of this ASU will result in the recognition of right-of-use assets and lease liabilities of approximately $4.0 million. The New Lease Standard is also expected to result in enhanced quantitative and qualitative lease-related disclosures. The Company does not expect the New Lease Standard to have a material impact on the consolidated financial statements.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which requires credit losses on financial assets measured at amortized cost basis to be presented at the net amount expected to be collected, not based on incurred losses. Further, credit losses on available-for-sale debt securities should be recorded through an allowance for credit losses, limited to the amount by which fair value is below amortized cost. The new standard also requires enhanced disclosure of credit risk associated with respective assets. The standard is effective after December 15, 2019, for interim and annual periods within those years, with early adoption permitted. The Company is currently assessing the impact of this new standard. The Company does not expect it to have a material impact.</w:t>
      </w:r>
    </w:p>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has evaluated all other ASUs issued through the date the consolidated financials were issued in this Annual Report on Form 10-K and believes that no other ASU will have a material impact on the Company's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market participants. Such transactions to sell an asset or transfer a liability are assumed to occur in the principal or most advantageous market for the asset or liability. Accordingly, fair value is determined based on a hypothetical transaction at the measurement date, considered from the perspective of a market participant rather than from a reporting entity's perspective.</w:t>
      </w:r>
    </w:p>
    <w:p>
      <w:pPr>
        <w:spacing w:after="0" w:line="1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Company reports assets and liabilities that are measured at fair value using a three 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1080" w:right="38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unadjusted quoted prices that the Company has the ability to access at the measurement date for identical assets traded in active markets.</w:t>
      </w:r>
    </w:p>
    <w:p>
      <w:pPr>
        <w:spacing w:after="0" w:line="200" w:lineRule="exact"/>
        <w:rPr>
          <w:rFonts w:ascii="Times New Roman" w:cs="Times New Roman" w:eastAsia="Times New Roman" w:hAnsi="Times New Roman"/>
          <w:sz w:val="18"/>
          <w:szCs w:val="18"/>
          <w:color w:val="auto"/>
        </w:rPr>
      </w:pPr>
    </w:p>
    <w:p>
      <w:pPr>
        <w:jc w:val="both"/>
        <w:ind w:left="1080" w:right="120" w:hanging="532"/>
        <w:spacing w:after="0" w:line="310" w:lineRule="auto"/>
        <w:tabs>
          <w:tab w:leader="none" w:pos="10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2—Inputs are quoted prices for similar assets and liabilities in active markets, or quoted prices for identical or similar assets or liabilities in markets that are not active, or inputs other than quoted prices that are observable for the asset or liability (interest rates, yield curves, etc.). Inputs are derived principally from or corroborated by observable market data or by correlation or other means (market corroborated inputs).</w:t>
      </w:r>
    </w:p>
    <w:p>
      <w:pPr>
        <w:spacing w:after="0" w:line="164" w:lineRule="exact"/>
        <w:rPr>
          <w:rFonts w:ascii="Times New Roman" w:cs="Times New Roman" w:eastAsia="Times New Roman" w:hAnsi="Times New Roman"/>
          <w:sz w:val="16"/>
          <w:szCs w:val="16"/>
          <w:color w:val="auto"/>
        </w:rPr>
      </w:pPr>
    </w:p>
    <w:p>
      <w:pPr>
        <w:ind w:left="108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reflect the Company's own assumptions, based on the best information available, including the Company's own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assets that are required to be measured at fair value on a recurring basis were as follows, in thousands of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40" w:type="dxa"/>
            <w:vAlign w:val="bottom"/>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2018 Using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7"/>
              </w:rPr>
              <w:t>Quoted Prices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Fair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 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3"/>
          </w:tcPr>
          <w:p>
            <w:pPr>
              <w:jc w:val="center"/>
              <w:ind w:right="1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60" w:type="dxa"/>
            <w:vAlign w:val="bottom"/>
          </w:tcPr>
          <w:p>
            <w:pPr>
              <w:spacing w:after="0"/>
              <w:rPr>
                <w:sz w:val="12"/>
                <w:szCs w:val="12"/>
                <w:color w:val="auto"/>
              </w:rPr>
            </w:pPr>
          </w:p>
        </w:tc>
        <w:tc>
          <w:tcPr>
            <w:tcW w:w="2260" w:type="dxa"/>
            <w:vAlign w:val="bottom"/>
            <w:gridSpan w:val="4"/>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Indentical Assests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3"/>
          </w:tcPr>
          <w:p>
            <w:pPr>
              <w:jc w:val="center"/>
              <w:ind w:right="1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securities—restricted (SERP)</w:t>
            </w: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775,142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582,203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6"/>
              </w:rPr>
              <w:t>106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2017 Using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7"/>
              </w:rPr>
              <w:t>Quoted Prices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Fair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 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Indentical Assests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securities—restricted (SERP)</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274,013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171,143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assets include cash held at banks, certificates of deposit, money market funds, investment grade corporate and government debt securities.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Level 2 assets include the SERP (Supplemental Executive Retirement Plan) assets, commercial paper and investment grade corporate and government debt securities and other fixed income securities. Level 2 securities are valued using third-party pricing sources that apply applicable inputs and other relevant data in their models to estimate fair value. The fair value of the restricted marketable securities is included within other non-current assets in the consolidated balance sheets.</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carrying value, face value and estimated fair value of the 2023 Notes were approximately $329.5 million, $402.5 million and $375.8 million, respectively, as of December 31, 2018. The fair value was estimated based on actual trade information as well as quoted prices provided by bond traders and are characterized within Level 2 of the fair value hierarchy.</w:t>
      </w:r>
    </w:p>
    <w:p>
      <w:pPr>
        <w:spacing w:after="0" w:line="18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and accrued expenses approximate fair value due to their short-term maturities.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marketable securities held by the Company were as follows, in thousands of dollars: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Gains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60" w:type="dxa"/>
            <w:vAlign w:val="bottom"/>
          </w:tcPr>
          <w:p>
            <w:pPr>
              <w:spacing w:after="0"/>
              <w:rPr>
                <w:sz w:val="14"/>
                <w:szCs w:val="14"/>
                <w:color w:val="auto"/>
              </w:rPr>
            </w:pPr>
          </w:p>
        </w:tc>
        <w:tc>
          <w:tcPr>
            <w:tcW w:w="266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government debt securities</w:t>
            </w:r>
          </w:p>
        </w:tc>
        <w:tc>
          <w:tcPr>
            <w:tcW w:w="1580" w:type="dxa"/>
            <w:vAlign w:val="bottom"/>
            <w:gridSpan w:val="2"/>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rPr>
              <w:t>$  586,726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582,568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2017:</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Gains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government debt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174,235</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173,374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contractual maturities of the unrestricted available for sale marketable securities held by the Company were as follows, in thousands of dollars:</w:t>
      </w:r>
    </w:p>
    <w:p>
      <w:pPr>
        <w:spacing w:after="0" w:line="24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-7620</wp:posOffset>
            </wp:positionV>
            <wp:extent cx="6089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ind w:left="1720"/>
        <w:spacing w:after="0"/>
        <w:rPr>
          <w:sz w:val="20"/>
          <w:szCs w:val="20"/>
          <w:color w:val="auto"/>
        </w:rPr>
      </w:pPr>
      <w:r>
        <w:rPr>
          <w:rFonts w:ascii="Times New Roman" w:cs="Times New Roman" w:eastAsia="Times New Roman" w:hAnsi="Times New Roman"/>
          <w:sz w:val="18"/>
          <w:szCs w:val="18"/>
          <w:color w:val="auto"/>
        </w:rPr>
        <w:t>Less Than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8"/>
          <w:szCs w:val="18"/>
          <w:color w:val="auto"/>
        </w:rPr>
        <w:t>1 year to 2 years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2 year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8"/>
          <w:szCs w:val="18"/>
          <w:color w:val="auto"/>
        </w:rPr>
        <w:t>3 years to 4 years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Greater Than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8"/>
          <w:szCs w:val="18"/>
          <w:color w:val="auto"/>
        </w:rPr>
        <w:t>Total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not experienced any other-than-temporary losses on its marketable securities.</w:t>
      </w:r>
    </w:p>
    <w:p>
      <w:pPr>
        <w:spacing w:after="0" w:line="20" w:lineRule="exact"/>
        <w:rPr>
          <w:sz w:val="20"/>
          <w:szCs w:val="20"/>
          <w:color w:val="auto"/>
        </w:rPr>
      </w:pPr>
      <w:r>
        <w:rPr>
          <w:sz w:val="20"/>
          <w:szCs w:val="20"/>
          <w:color w:val="auto"/>
        </w:rPr>
        <w:br w:type="column"/>
      </w:r>
    </w:p>
    <w:p>
      <w:pPr>
        <w:ind w:left="396" w:hanging="396"/>
        <w:spacing w:after="0"/>
        <w:tabs>
          <w:tab w:leader="none" w:pos="39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163,770</w:t>
      </w:r>
    </w:p>
    <w:p>
      <w:pPr>
        <w:spacing w:after="0" w:line="30" w:lineRule="exact"/>
        <w:rPr>
          <w:rFonts w:ascii="Times New Roman" w:cs="Times New Roman" w:eastAsia="Times New Roman" w:hAnsi="Times New Roman"/>
          <w:sz w:val="16"/>
          <w:szCs w:val="16"/>
          <w:color w:val="auto"/>
        </w:rPr>
      </w:pPr>
    </w:p>
    <w:p>
      <w:pPr>
        <w:ind w:left="39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166,482</w:t>
      </w:r>
    </w:p>
    <w:p>
      <w:pPr>
        <w:spacing w:after="0" w:line="32" w:lineRule="exact"/>
        <w:rPr>
          <w:rFonts w:ascii="Times New Roman" w:cs="Times New Roman" w:eastAsia="Times New Roman" w:hAnsi="Times New Roman"/>
          <w:sz w:val="16"/>
          <w:szCs w:val="16"/>
          <w:color w:val="auto"/>
        </w:rPr>
      </w:pPr>
    </w:p>
    <w:p>
      <w:pPr>
        <w:ind w:left="39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163,687</w:t>
      </w:r>
    </w:p>
    <w:p>
      <w:pPr>
        <w:spacing w:after="0" w:line="32" w:lineRule="exact"/>
        <w:rPr>
          <w:rFonts w:ascii="Times New Roman" w:cs="Times New Roman" w:eastAsia="Times New Roman" w:hAnsi="Times New Roman"/>
          <w:sz w:val="16"/>
          <w:szCs w:val="16"/>
          <w:color w:val="auto"/>
        </w:rPr>
      </w:pPr>
    </w:p>
    <w:p>
      <w:pPr>
        <w:ind w:left="47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88,629</w:t>
      </w:r>
    </w:p>
    <w:p>
      <w:pPr>
        <w:spacing w:after="0" w:line="32" w:lineRule="exact"/>
        <w:rPr>
          <w:rFonts w:ascii="Times New Roman" w:cs="Times New Roman" w:eastAsia="Times New Roman" w:hAnsi="Times New Roman"/>
          <w:sz w:val="16"/>
          <w:szCs w:val="16"/>
          <w:color w:val="auto"/>
        </w:rPr>
      </w:pPr>
    </w:p>
    <w:p>
      <w:pPr>
        <w:ind w:left="77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p>
    <w:p>
      <w:pPr>
        <w:spacing w:after="0" w:line="10" w:lineRule="exact"/>
        <w:rPr>
          <w:sz w:val="20"/>
          <w:szCs w:val="20"/>
          <w:color w:val="auto"/>
        </w:rPr>
      </w:pPr>
    </w:p>
    <w:p>
      <w:pPr>
        <w:ind w:left="396" w:hanging="396"/>
        <w:spacing w:after="0"/>
        <w:tabs>
          <w:tab w:leader="none" w:pos="396" w:val="left"/>
        </w:tabs>
        <w:numPr>
          <w:ilvl w:val="0"/>
          <w:numId w:val="54"/>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582,568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089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6089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7864" w:space="720"/>
            <w:col w:w="2836"/>
          </w:cols>
          <w:pgMar w:left="240" w:top="125"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 of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40" w:type="dxa"/>
            <w:vAlign w:val="bottom"/>
            <w:vMerge w:val="restart"/>
          </w:tcPr>
          <w:p>
            <w:pPr>
              <w:jc w:val="right"/>
              <w:ind w:right="15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 of dollars: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65"/>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(9,346)</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approximately $1.9 million, $1.2 million, and $1.1 million for the years ended December 31, 2018, 2017 and 2016,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indicators of impairment were identified.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27"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Intangible assets consist of patent defense costs, which are legal fees incurred in conjunction with defending patents for Oxtellar XR and Trokendi XR. We amortize those costs over the useful life of the respective patents.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gross carrying amount and related accumulated amortization of the intangible assets, in thousands of dollars: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00" w:type="dxa"/>
            <w:vAlign w:val="bottom"/>
            <w:gridSpan w:val="3"/>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42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Average Life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4.00 - 8.25 years  $</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44,185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(8,166)</w:t>
            </w:r>
          </w:p>
        </w:tc>
      </w:tr>
      <w:tr>
        <w:trPr>
          <w:trHeight w:val="20"/>
        </w:trPr>
        <w:tc>
          <w:tcPr>
            <w:tcW w:w="4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31,368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36,019</w:t>
            </w:r>
          </w:p>
        </w:tc>
      </w:tr>
      <w:tr>
        <w:trPr>
          <w:trHeight w:val="20"/>
        </w:trPr>
        <w:tc>
          <w:tcPr>
            <w:tcW w:w="4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March 2017, the Company entered into two settlements with several companies related to Trokendi XR patent litigation, which effectively reduced the remaining life of the Trokendi XR patents. The remaining unamortized aggregate capitalized patent defense costs for Trokendi XR have subsequently been amortized over the reduced remaining useful life of the patents at issue, or January 1, 2023. This is the date the Company is obligated under the settlements to grant a non-exclusive license to the patents at issue.</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Amortization expense on intangible assets was approximately $5.2 million, $6.9 million and $1.3 million for the years ended December 31, 2018, 2017 and 2016,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annual amortization expense on intangible assets for each of the next four years from, 2019 to 2022, is approximately $5.2 million per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annual amortization expense on intangible assets for the fifth year, 2023, is approximately $2.5 million.</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indicators of impairment were identified.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are comprised of the following, in thousands of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and clinical supply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14,034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6,996</w:t>
            </w: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10,279</w:t>
            </w: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costs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6,414</w:t>
            </w: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27,305</w:t>
            </w:r>
          </w:p>
        </w:tc>
      </w:tr>
      <w:tr>
        <w:trPr>
          <w:trHeight w:val="42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Sales Deductions</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sales deductions are comprised of the following, in thousands of dollars: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0"/>
        </w:trPr>
        <w:tc>
          <w:tcPr>
            <w:tcW w:w="17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85,003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49,460</w:t>
            </w: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returns</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18,883</w:t>
            </w: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107,063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68,343</w:t>
            </w: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Senior Secured Notes</w:t>
      </w:r>
    </w:p>
    <w:p>
      <w:pPr>
        <w:spacing w:after="0" w:line="22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On March 14, 2018, the Company entered into a Purchase Agreement (the Purchase Agreement) with Jefferies LLC, J.P. Morgan Securities LLC and Cowen and Company, LLC, as the initial purchasers (collectively, the Initial Purchasers), in connection with the offering and sale of $350 million aggregate principal amount of 2023 Notes. The Company also granted the Initial Purchasers an over-allotment option to purchase, within a 30-day period, up to an additional $52.5 million principal amount of additional 2023 Notes on the same terms and conditions, which the Initial Purchasers exercised in full on March 15, 2018.</w:t>
      </w:r>
    </w:p>
    <w:p>
      <w:pPr>
        <w:spacing w:after="0" w:line="15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On March 19, 2018, the sale of the 2023 Notes was settled and the 2023 Notes were issued pursuant to an Indenture, dated as of March 19, 2018 (the Indenture), between the Company and Wilmington Trust, National Association, as trustee. The Indenture includes customary terms and covenants, including certain events of default upon which the 2023 Notes may be due and payable immediately. The Indenture governing the 2023 Notes does not contain any financial or operating covenants or any restrictions on the payment of dividends, the issuance of other indebtedness or the issuance or repurchase of securities by the Company.</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Senior Secured Notes (Continued)</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Company will pay interest on the 2023 Notes at an annual rate of 0.625%, payable semi-annually in arrears on April 1 and October 1 of each year, beginning on October 1, 2018. The 2023 Notes will mature on April 1, 2023, unless earlier converted or repurchased by the Company.</w:t>
      </w:r>
    </w:p>
    <w:p>
      <w:pPr>
        <w:spacing w:after="0" w:line="17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6"/>
          <w:szCs w:val="16"/>
          <w:color w:val="auto"/>
        </w:rPr>
        <w:t>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 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w:t>
      </w:r>
    </w:p>
    <w:p>
      <w:pPr>
        <w:spacing w:after="0" w:line="173"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not redeem the 2023 Notes at its option before maturity.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conversion, if converted in cash, holders would forgo all future interest payments, any unpaid accrued interest and the possibility of further stock price appreciation. Upon the receipt of conversion requests, the settlement of the 2023 Notes will be paid pursuant to the terms of the Indenture. In the event that all of the 2023 Notes are converted, the Company would be required to repay the $402.5 million in principal value and any conversion premium in cash, shares or any combination of cash and shares of its common stock (at the Company's option).</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2023 Notes are the Company's senior, unsecured obligations and will be equal in right of payment with the Company's future senior, unsecured indebtedness. The 2023 Notes are senior in right of payment to the Company's future indebtedness that is expressly subordinated to the 2023 Notes. The 2023 Notes are effectively subordinated to the Company's future secured indebtedness, to the extent of the value of the collateral securing that indebtedness. The 2023 Notes will be structurally subordinated to all future indebtedness and other liabilities, including trade payables.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Senior Secured Notes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Hedge and Warrant Transactions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Contemporaneously with the pricing of the 2023 Notes on March 14, 2018, and in connection with the exercise of the over-allotment option by the Initial Purchasers on March 15, 2018, the Company entered into separate privately negotiated convertible note hedge transactions (collectively, the Convertible Note Hedge Transactions) with each of the call spread counterparties. The Convertible Note Hedge Transactions cover, subject to customary anti-dilution adjustments substantially similar to those applicable to the 2023 Notes, the number of shares of the Company's common stock underlying the 2023 Notes, as described above. The Company issued 402,500 convertible note hedge options, including options purchased on the exercise of the overallotment option. In the event that shares or cash are deliverable to holders of the 2023 Notes upon conversion at limits defined in the Indenture, counterparties to the convertible note hedges will be required to deliver up to approximately 6.8 million shares of the Company's common stock or pay cash to the Company in an amount approximately equivalent to the value that the Company delivers to the holders of the 2023 Notes, based on a conversion price of $59.33 per share. The total cost of the convertible note hedge transactions was $92.9 million.</w:t>
      </w:r>
    </w:p>
    <w:p>
      <w:pPr>
        <w:spacing w:after="0" w:line="19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Concurrently with entering into the Convertible Note Hedge Transactions on each such date, the Company also entered into separate privately negotiated warrant transactions (collectively, the Warrant Transactions) with each of the call spread counterparties whereby the Company sold to the call spread counterparties warrants to purchase, subject to customary anti-dilution adjustments, up to the same number of shares of the Company's common stock.</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Convertible Note Hedge Transactions and the Warrant Transactions are separate contracts entered into by the Company with the Call Spread Counterparties, and are not part of the terms of the 2023 Notes and will not affect the noteholders' rights under the 2023 Notes. Holders of the 2023 Notes will not have any rights with respect to the Convertible Note Hedge Transactions or the Warrant Transactions. The Company issued a total of 6,783,939 warrants. The warrants entitle the holder to one share per warrant at an initial strike price of $80.9063 per share of the Company's common stock (subject to adjustment). The Company received proceeds of approximately $65.7 million from the sale of these warrants.</w:t>
      </w:r>
    </w:p>
    <w:p>
      <w:pPr>
        <w:spacing w:after="0" w:line="193"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Convertible Note Hedge Transactions are expected to generally reduce the potential dilution with respect to the Company's common stock upon conversion of the 2023 Notes and/or offset any potential cash payments the Company is required to make in excess of the principal amount of converted 2023 Notes, as the case may be.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As these transactions meet certain accounting criteria under ASC 815-40-25, the convertible note hedges and warrants are recorded in stockholders' equity and are not accounted for as derivatives. The net cost incurred in connection with the convertible note hedges and warrant transactions was recorded as a reduction to additional paid-in capital.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Senior Secured Notes (Continued)</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accordance with accounting guidance on embedded conversion features, the Company valued and bifurcated the conversion option associated with the 2023 Notes from the respective host debt instrument, which is referred to as debt discount. The Company initially recorded the conversion option of $76.4 million in additional paid-in capital. The resulting debt discount $76.4 million on the 2023 Notes is being amortized to interest expense at an effective interest rate of 5.41% over the contractual term of the 2023 Notes.</w:t>
      </w:r>
    </w:p>
    <w:p>
      <w:pPr>
        <w:spacing w:after="0" w:line="190"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auto"/>
        </w:rPr>
        <w:t>The Company incurred approximately $10.4 million of debt financing costs. Approximately $2.0 million of this amount is allocated to the additional paid-in capital. The remaining $8.4 million is recorded as deferred costs and is being amortized to interest expense over the contractual term of the 2023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liability component of the 2023 Notes consisted of the following, in thousands of dollars: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5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 of the 2023 Notes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402,500</w:t>
            </w: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discount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(76,434)</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(8,452)</w:t>
            </w: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debt discount and deferred financing costs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11,848</w:t>
            </w:r>
          </w:p>
        </w:tc>
      </w:tr>
      <w:tr>
        <w:trPr>
          <w:trHeight w:val="20"/>
        </w:trPr>
        <w:tc>
          <w:tcPr>
            <w:tcW w:w="5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 carrying value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329,462</w:t>
            </w:r>
          </w:p>
        </w:tc>
      </w:tr>
      <w:tr>
        <w:trPr>
          <w:trHeight w:val="20"/>
        </w:trPr>
        <w:tc>
          <w:tcPr>
            <w:tcW w:w="5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2023 Notes were converted as of December 31,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common stock are entitled to one vote for each share of common stock held.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adopted the Supernus Pharmaceuticals, Inc. 2012 Equity Incentive Plan, as amended (the 2012 Plan), which is stockholder approved. This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The 2012 Plan is administered by the Company's Board of Directors and the Company's Compensation Committee of the Board and provides for the issuance of up to 8 million shares of the Company's common stock. Option awards are granted with an exercise price equal to the closing price of the Company's common stock at the grant date. Option awards granted to employees, consultants and advisors generally vest in four equivalent annual installments, starting on the first anniversary of the date of the grant. Awards have ten-year contractual terms. Option awards granted to the directors generally vest over a one year term and have ten year contractual terms.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Company has adopted the Supernus Pharmaceuticals, Inc. 2012 Employee Stock Purchase Plan, as amended (the ESPP). The ESPP allows eligible employees the opportunity to acquire shares of the Company's common stock at periodic intervals through accumulated payroll deductions. These deductions will be applied at the semi-annual purchase dates of June 30 and December 31 to purchase shares of common stock at a discount. Eligible employees may purchase shares at the lower of 85% of the fair market value at either the first day of the purchase period or the fair market value at the end of the purchase period. The ESPP provides for issuance of up to 700,000 shares of the Company's common stock. The Company records compensation expense related to its ESPP.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was as follows, in thousands of dollars: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2"/>
                <w:szCs w:val="12"/>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4,819</w:t>
            </w:r>
          </w:p>
        </w:tc>
      </w:tr>
      <w:tr>
        <w:trPr>
          <w:trHeight w:val="20"/>
        </w:trPr>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5,926</w:t>
            </w:r>
          </w:p>
        </w:tc>
      </w:tr>
      <w:tr>
        <w:trPr>
          <w:trHeight w:val="20"/>
        </w:trPr>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each option award is estimated on the date of grant using the Black-Scholes option-pricing model and the assumptions in the following table:</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$58.15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$41.00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$22.80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- 60.56%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- 60.60%   60.89%</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- 64.54%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1"/>
              </w:rPr>
              <w:t>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6.25 years</w:t>
            </w:r>
          </w:p>
        </w:tc>
        <w:tc>
          <w:tcPr>
            <w:tcW w:w="16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6.25 years</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6.25 years</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- 2.18%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- 2.15%</w:t>
            </w: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gridSpan w:val="3"/>
          </w:tcPr>
          <w:p>
            <w:pPr>
              <w:jc w:val="center"/>
              <w:ind w:left="56"/>
              <w:spacing w:after="0"/>
              <w:rPr>
                <w:sz w:val="20"/>
                <w:szCs w:val="20"/>
                <w:color w:val="auto"/>
              </w:rPr>
            </w:pPr>
            <w:r>
              <w:rPr>
                <w:rFonts w:ascii="Times New Roman" w:cs="Times New Roman" w:eastAsia="Times New Roman" w:hAnsi="Times New Roman"/>
                <w:sz w:val="18"/>
                <w:szCs w:val="18"/>
                <w:color w:val="auto"/>
                <w:w w:val="91"/>
              </w:rPr>
              <w:t>0%</w:t>
            </w:r>
          </w:p>
        </w:tc>
        <w:tc>
          <w:tcPr>
            <w:tcW w:w="16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bl>
    <w:p>
      <w:pPr>
        <w:spacing w:after="0" w:line="18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As of December 31, 2018 and 2017, total unrecognized compensation expense was approximately $22.4 million and $17.6 million, respectively, which the Company expects to recognize over a weighted-average period of 2.65 years and 2.8 years, respectively.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and SAR activity:</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Term (in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3,644,088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1,130,155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(407,477)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(86,096)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2017</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4,280,670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762,915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(930,483)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(196,139)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3,916,963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of December 31, 2018:</w:t>
            </w: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3,916,963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Exercisable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1,889,947</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weighted-average grant-date fair value of options which were granted for the years ended December 31, 2018, 2017 and 2016 was $23.43, $14.35 and $7.66 per share, respectively.</w:t>
      </w:r>
    </w:p>
    <w:p>
      <w:pPr>
        <w:spacing w:after="0" w:line="17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total fair value of the underlying common stock related to shares that vested during the years ended December 31, 2018, 2017, and 2016 was approximately $8.3 million, $5.4 million and $3.9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7"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Basic earnings per share is calculated using the weighted-average number of common shares outstanding. Diluted earnings per share is calculated using the weighted-average number of common shares, as per the treasury stock method under the dilutive effect of the Company's stock option grants, SAR, warrants, ESPP awards and the 2023 Notes, as determined.</w:t>
      </w:r>
    </w:p>
    <w:p>
      <w:pPr>
        <w:spacing w:after="0" w:line="18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following common stock equivalents were excluded in the calculation of diluted earnings per share because their inclusion would be anti-dilutive, as applied to the earnings from continuing operations, and as applicable to common stockholders, for the years ended December 31, 2018, 2017 and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28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1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3,949,743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87,215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hedges</w:t>
            </w:r>
          </w:p>
        </w:tc>
        <w:tc>
          <w:tcPr>
            <w:tcW w:w="3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228"/>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SAR and ESPP awards</w:t>
            </w:r>
          </w:p>
        </w:tc>
        <w:tc>
          <w:tcPr>
            <w:tcW w:w="3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199,982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22,944</w:t>
            </w:r>
          </w:p>
        </w:tc>
        <w:tc>
          <w:tcPr>
            <w:tcW w:w="1720" w:type="dxa"/>
            <w:vAlign w:val="bottom"/>
          </w:tcPr>
          <w:p>
            <w:pPr>
              <w:spacing w:after="0"/>
              <w:rPr>
                <w:sz w:val="19"/>
                <w:szCs w:val="19"/>
                <w:color w:val="auto"/>
              </w:rPr>
            </w:pPr>
          </w:p>
        </w:tc>
      </w:tr>
      <w:tr>
        <w:trPr>
          <w:trHeight w:val="418"/>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14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115</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 (Continued)</w:t>
      </w:r>
    </w:p>
    <w:p>
      <w:pPr>
        <w:spacing w:after="0" w:line="22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per share for the years ended December 31, 2018, 2017 and 2016, in thousands of dollars, except share and per share amounts: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in thousands: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 used for calculation of basic EPS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on convertible debt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outstanding debt, as if converted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adjustments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0"/>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 used for calculation of diluted EPS</w:t>
            </w: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51,989,824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50,756,603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49,472,434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underlying Convertible Senior Notes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1,222,363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issuable to settle interest make-whole derivatives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 and SAR</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2,109,048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2,252,278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942,649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dilutive potential common shares</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2,109,048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2,236,549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54,098,872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53,301,150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51,708,983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earings per share, basic</w:t>
            </w:r>
          </w:p>
        </w:tc>
        <w:tc>
          <w:tcPr>
            <w:tcW w:w="7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diluted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income tax expense (benefit) for the years ended December 31, 2018, 2017 and 2016 is as follows, in thousands of dollars: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2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40" w:type="dxa"/>
            <w:vAlign w:val="bottom"/>
            <w:vMerge w:val="restart"/>
          </w:tcPr>
          <w:p>
            <w:pPr>
              <w:jc w:val="right"/>
              <w:ind w:right="1112"/>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7"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A reconciliation of income tax expense at the U.S. Federal statutory income tax rate to provision for income taxes at the Company's effective tax rate is as follows, in thousands of dollars: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198"/>
        </w:trPr>
        <w:tc>
          <w:tcPr>
            <w:tcW w:w="5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computed at U.S. Federal statutory income tax</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8"/>
        </w:trPr>
        <w:tc>
          <w:tcPr>
            <w:tcW w:w="5020" w:type="dxa"/>
            <w:vAlign w:val="bottom"/>
            <w:gridSpan w:val="2"/>
            <w:shd w:val="clear" w:color="auto" w:fill="CCEEFF"/>
          </w:tcPr>
          <w:p>
            <w:pPr>
              <w:ind w:left="180"/>
              <w:spacing w:after="0" w:line="267" w:lineRule="exact"/>
              <w:rPr>
                <w:sz w:val="20"/>
                <w:szCs w:val="20"/>
                <w:color w:val="auto"/>
              </w:rPr>
            </w:pPr>
            <w:r>
              <w:rPr>
                <w:rFonts w:ascii="Times New Roman" w:cs="Times New Roman" w:eastAsia="Times New Roman" w:hAnsi="Times New Roman"/>
                <w:sz w:val="18"/>
                <w:szCs w:val="18"/>
                <w:color w:val="auto"/>
              </w:rPr>
              <w:t>rate</w:t>
            </w:r>
            <w:r>
              <w:rPr>
                <w:rFonts w:ascii="Times New Roman" w:cs="Times New Roman" w:eastAsia="Times New Roman" w:hAnsi="Times New Roman"/>
                <w:sz w:val="29"/>
                <w:szCs w:val="29"/>
                <w:color w:val="auto"/>
                <w:vertAlign w:val="superscript"/>
              </w:rPr>
              <w:t>(1)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35,217</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17,629</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w:t>
            </w:r>
          </w:p>
        </w:tc>
      </w:tr>
      <w:tr>
        <w:trPr>
          <w:trHeight w:val="257"/>
        </w:trPr>
        <w:tc>
          <w:tcPr>
            <w:tcW w:w="5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Permanent items</w:t>
            </w:r>
            <w:r>
              <w:rPr>
                <w:rFonts w:ascii="Times New Roman" w:cs="Times New Roman" w:eastAsia="Times New Roman" w:hAnsi="Times New Roman"/>
                <w:sz w:val="29"/>
                <w:szCs w:val="29"/>
                <w:color w:val="auto"/>
                <w:vertAlign w:val="superscript"/>
              </w:rPr>
              <w:t>(3)</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(2,196)</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(3,199)</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(2,196)</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income tax position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r>
      <w:tr>
        <w:trPr>
          <w:trHeight w:val="257"/>
        </w:trPr>
        <w:tc>
          <w:tcPr>
            <w:tcW w:w="5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Effect of rate changes</w:t>
            </w:r>
            <w:r>
              <w:rPr>
                <w:rFonts w:ascii="Times New Roman" w:cs="Times New Roman" w:eastAsia="Times New Roman" w:hAnsi="Times New Roman"/>
                <w:sz w:val="29"/>
                <w:szCs w:val="29"/>
                <w:color w:val="auto"/>
                <w:vertAlign w:val="superscript"/>
              </w:rPr>
              <w:t>(2)</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Change in valuation allowance</w:t>
            </w:r>
            <w:r>
              <w:rPr>
                <w:rFonts w:ascii="Times New Roman" w:cs="Times New Roman" w:eastAsia="Times New Roman" w:hAnsi="Times New Roman"/>
                <w:sz w:val="29"/>
                <w:szCs w:val="29"/>
                <w:color w:val="auto"/>
                <w:vertAlign w:val="superscript"/>
              </w:rPr>
              <w:t>(4)</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(56,019)</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(40,852)</w:t>
            </w:r>
          </w:p>
        </w:tc>
      </w:tr>
      <w:tr>
        <w:trPr>
          <w:trHeight w:val="20"/>
        </w:trPr>
        <w:tc>
          <w:tcPr>
            <w:tcW w:w="2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2" w:lineRule="exact"/>
        <w:rPr>
          <w:sz w:val="20"/>
          <w:szCs w:val="20"/>
          <w:color w:val="auto"/>
        </w:rPr>
      </w:pPr>
    </w:p>
    <w:p>
      <w:pPr>
        <w:ind w:left="2260" w:right="80" w:hanging="540"/>
        <w:spacing w:after="0" w:line="197" w:lineRule="auto"/>
        <w:tabs>
          <w:tab w:leader="none" w:pos="226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the effect of the Tax Cuts and Jobs Act, which lowered the U.S. corporate income tax rate from 35 percent to 21 percent effective January 1, 2018.</w:t>
      </w:r>
    </w:p>
    <w:p>
      <w:pPr>
        <w:spacing w:after="0" w:line="218" w:lineRule="exact"/>
        <w:rPr>
          <w:rFonts w:ascii="Times New Roman" w:cs="Times New Roman" w:eastAsia="Times New Roman" w:hAnsi="Times New Roman"/>
          <w:sz w:val="29"/>
          <w:szCs w:val="29"/>
          <w:color w:val="auto"/>
          <w:vertAlign w:val="superscript"/>
        </w:rPr>
      </w:pPr>
    </w:p>
    <w:p>
      <w:pPr>
        <w:ind w:left="2260" w:hanging="540"/>
        <w:spacing w:after="0" w:line="197" w:lineRule="auto"/>
        <w:tabs>
          <w:tab w:leader="none" w:pos="226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Relates to the remeasurement of existing deferred taxes as a result of the change to the U.S. corporate income tax rate. The impact was a reduction in value of deferred taxes.</w:t>
      </w:r>
    </w:p>
    <w:p>
      <w:pPr>
        <w:spacing w:after="0" w:line="99" w:lineRule="exact"/>
        <w:rPr>
          <w:rFonts w:ascii="Times New Roman" w:cs="Times New Roman" w:eastAsia="Times New Roman" w:hAnsi="Times New Roman"/>
          <w:sz w:val="29"/>
          <w:szCs w:val="29"/>
          <w:color w:val="auto"/>
          <w:vertAlign w:val="superscript"/>
        </w:rPr>
      </w:pPr>
    </w:p>
    <w:p>
      <w:pPr>
        <w:ind w:left="2260" w:hanging="540"/>
        <w:spacing w:after="0"/>
        <w:tabs>
          <w:tab w:leader="none" w:pos="226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Primarily relates to tax benefit from the exercise of employee stock options.</w:t>
      </w:r>
    </w:p>
    <w:p>
      <w:pPr>
        <w:spacing w:after="0" w:line="160" w:lineRule="exact"/>
        <w:rPr>
          <w:rFonts w:ascii="Times New Roman" w:cs="Times New Roman" w:eastAsia="Times New Roman" w:hAnsi="Times New Roman"/>
          <w:sz w:val="29"/>
          <w:szCs w:val="29"/>
          <w:color w:val="auto"/>
          <w:vertAlign w:val="superscript"/>
        </w:rPr>
      </w:pPr>
    </w:p>
    <w:p>
      <w:pPr>
        <w:ind w:left="2260" w:hanging="540"/>
        <w:spacing w:after="0" w:line="195" w:lineRule="auto"/>
        <w:tabs>
          <w:tab w:leader="none" w:pos="226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Reduction in the 2016 valuation allowances was attributable to profitable results of operations.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income tax assets (liabilities) were as follow, in thousands of dollars: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bond hedge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sales deductions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stock based compensation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5,072</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Alternative Minimum Tax (AMT) credit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35,805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35,805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discount on 2023 Notes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Infringement legal costs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(10,557)</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481(a)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(4,141)</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20,843</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income tax assets, management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and tax credit carryforwards are available. Management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management had determined it is more-likely-than-not to realize such net deferred tax assets.</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NOL and other tax credit carryforwards in several jurisdictions. The use of the Company's U.S. Federal and State NOL carryforwards and research and development credits are restricted in annual use due to changes in the Company's ownership. The Company's state NOLs have a similar limitations on the use of NOLs. In addition, states may also impose other future limitations through state legislation or similar measures. Despite the NOL carryforwards, the Company may incur higher state income tax expense in the future.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As of December 31, 2018, the U.S. Federal and state NOL carryforwards amounted to approximately $20.6 million and $9.2 million, respectively, and will expire in various years beginning in 2033. For the year ended December 31, 2018, the Company utilized NOLs of approximately $18.4 million and expects the remaining $20.6 million of Federal NOL carryforwards to become available in the future years.</w:t>
      </w:r>
    </w:p>
    <w:p>
      <w:pPr>
        <w:spacing w:after="0" w:line="18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As of December 31, 2018, the Company has available research and development credit carryforwards of approximately $4.2 million, which will become available in 2020 and will expire, if unused, starting in 2026.</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Due to NOL and research and development credit carryforwards, all U.S. Federal and state income tax returns filed by the Company are subject to examination by the taxing jurisdictions.</w:t>
      </w:r>
    </w:p>
    <w:p>
      <w:pPr>
        <w:spacing w:after="0" w:line="17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uncertain income tax positions pursuant to the guidance in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recognizes interest and penalties related to uncertain tax positions, if any, in income tax expense. Some uncertain income tax position liabilities have been recorded against the Company's deferred income tax assets to offset such tax attribute carryforwards and other positions that can't be offset by tax attributes until a liability has been booked.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 in thousands of dollars: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11"/>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9,341</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decreases related to current year tax positions</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increases related to prior year tax positions</w:t>
            </w:r>
          </w:p>
        </w:tc>
        <w:tc>
          <w:tcPr>
            <w:tcW w:w="14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decreases related to prior year tax positions</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rates</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2018, 2017 and 2016, the Company recorded $0.6 million of tax benefit, zero and $0.5 million of current tax expense on setting up an uncertain tax position related to the AMT. The $0.6 million current tax benefit was caused by the expiration of statute of limitation on 2014 AMT. The Company also recorded a $0.3 million expense on setting up an uncertain tax position related to 2018 research and development tax credit. The Company does not anticipate a significant increase or decrease in the uncertain income tax benefits within the next 12 months.</w:t>
      </w:r>
    </w:p>
    <w:p>
      <w:pPr>
        <w:spacing w:after="0" w:line="19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December 22, 2017, the U.S. enacted the Tax Cuts and Jobs Act (Tax Act), resulting in significant modifications to existing law. The Tax Act, among other things, lowered the U.S. corporate income tax rate from 35 percent to 21 percent effective January 1, 2018. The Tax Act also enhanced and extended through 2026 the option to claim accelerated depreciation on qualified property and expanded limitations on the deductibility of executive compensation. As of December 31, 2018, the Company has completed the accounting for all of the enactment date income tax effects of the Tax Act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that no adjustments are need to be recognized to the provisional amounts recorded at December 31,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The Company has concurrent leases for office and lab space that extend through April 2020. The Company may elect to extend the term of the leases for an additional five-year term. The leases provide for a tenant improvement allowance of approximately $2.1 million in aggregate. As of December 31, 2018, $0.4 million is available for tenant improvements.</w:t>
      </w:r>
    </w:p>
    <w:p>
      <w:pPr>
        <w:spacing w:after="0" w:line="18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Rent expense for the leased facilities and leased vehicles for the years ended December 31, 2018, 2017 and 2016 was approximately, $3.6 million, $2.7 million and $2.7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2018 are as follows, in thousands of dollars:</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1,840</w:t>
            </w:r>
          </w:p>
        </w:tc>
      </w:tr>
      <w:tr>
        <w:trPr>
          <w:trHeight w:val="20"/>
        </w:trPr>
        <w:tc>
          <w:tcPr>
            <w:tcW w:w="4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7,527</w:t>
            </w:r>
          </w:p>
        </w:tc>
      </w:tr>
      <w:tr>
        <w:trPr>
          <w:trHeight w:val="20"/>
        </w:trPr>
        <w:tc>
          <w:tcPr>
            <w:tcW w:w="4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27, 2018, the Company and Rockside-700 LLC (Rockside) entered into a Lease Agreement (the Lease) for the Company's new headquarters to be located at 700 Quince Orchard Road, Gaithersburg, Maryland. On December 13, 2018 (the Termination Date), the Company and Rockside terminated the Lease. As of the Termination Date, the term of the Lease had not commenced and the Company had not occupied the building. The Company has not incurred any material termination penalties in connection with termination of the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227" w:lineRule="exact"/>
        <w:rPr>
          <w:sz w:val="20"/>
          <w:szCs w:val="20"/>
          <w:color w:val="auto"/>
        </w:rPr>
      </w:pPr>
    </w:p>
    <w:p>
      <w:pPr>
        <w:jc w:val="both"/>
        <w:ind w:right="80"/>
        <w:spacing w:after="0" w:line="301" w:lineRule="auto"/>
        <w:rPr>
          <w:sz w:val="20"/>
          <w:szCs w:val="20"/>
          <w:color w:val="auto"/>
        </w:rPr>
      </w:pPr>
      <w:r>
        <w:rPr>
          <w:rFonts w:ascii="Times New Roman" w:cs="Times New Roman" w:eastAsia="Times New Roman" w:hAnsi="Times New Roman"/>
          <w:sz w:val="16"/>
          <w:szCs w:val="16"/>
          <w:color w:val="auto"/>
        </w:rPr>
        <w:t>The Company has obtained exclusive licenses from third parties for proprietary rights to support the product candidates in the Company's psychiatry portfolio. Under license agreements with Afecta Pharmaceuticals, Inc. (Afecta), the Company has exclusive worldwide rights to selected product candidates, including an exclusive license to SPN-810 (molindone hydrochloride). We may pay up to $0.3 million upon the achievement of certain milestones, none of which is owed as of December 31, 2018. The Company is obligated to pay royalties to Afecta at a low single digit percentage of worldwide net product sales.</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has also entered into a purchase and sale agreement with Rune HealthCare Limited (Rune), where the Company obtained the exclusive worldwide rights to a product concept from Rune. There are no future milestone payments due to Rune under this agreement. If the Company receives approval to market and sell any products based on the Rune product concept, for SPN-809 (viloxazine</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hydrochloride), the Company is obligated to pay royalties to Rune at a low single digit percentage of worldwide net product sales.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2006, the Company established the Supernus Pharmaceuticals, Inc. 401(k) Profit Sharing Plan (the 401(k) Plan) for its employees under</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401(k) of the Internal Revenue Code (Code). Under the 401(k) Plan, all full-time employees who are at least 18 years old are eligible to participate in the 401(k) Plan. Employees may participate starting on the first day of the month following employment. Employees may contribute up to the lesser of 90% of eligible compensation, or the applicable limit, as established by the Code.</w:t>
      </w:r>
    </w:p>
    <w:p>
      <w:pPr>
        <w:spacing w:after="0" w:line="192"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Company matches 100% of a participant's contribution for the first 3% of their salary deferral, and matches 50% of the next 2% of their salary deferral. As determined by the Board, the Company may elect to make a discretionary contribution not exceeding 60% of the annual compensation paid to all participating employees. The Company's contributions to the 401(k) Plan were approximately $2.1 million, $1.8 million, and $1.6 million for the years ended December 31, 2018, 2017 and 2016,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Royalty Agreements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third quarter of 2014, the Company received a $30.0 million payment pursuant to a Royalty Interest Acquisition Agreement related to the purchase by HC Royalty of certain of the Company's rights under the Company's agreement with United Therapeutics related to the commercialization of Orenitram (treprostinil) Extended-Release Tablets. The Company will retain full ownership of the royalty rights if and when a certain cumulative payment threshold is reached per the terms of the agreement. The Company recorded a non-recourse liability related to this transaction, and amortizes this amount as non-cash royalty revenue. Revenue recognition is based on estimated net product sales by United Therapeutics of Orenitram that result in payments made from United Therapeutics to HC Royalty.</w:t>
      </w:r>
    </w:p>
    <w:p>
      <w:pPr>
        <w:spacing w:after="0" w:line="19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also recognizes non-cash interest expense related to this liability and accrues at an effective interest rate. That rate is determined based on projections of HC Royalty's rate of return. The Company recognized non-cash interest expense of $4.3 million, $1.4 million and $4.5 million for the years ended December 31, 2018, 2017 and 2016, respectively.</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Disaggregated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disaggregation of revenue by nature:</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3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10"/>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Trokendi XR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315,295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226,518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158,384</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Oxtellar XR</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84,576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51,694</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 Sales</w:t>
            </w:r>
          </w:p>
        </w:tc>
        <w:tc>
          <w:tcPr>
            <w:tcW w:w="1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210,078</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3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408,897</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302,238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215,003</w:t>
            </w:r>
          </w:p>
        </w:tc>
      </w:tr>
      <w:tr>
        <w:trPr>
          <w:trHeight w:val="20"/>
        </w:trPr>
        <w:tc>
          <w:tcPr>
            <w:tcW w:w="3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Company recognized non-cash royalty revenue of $5.9 million, $5.3 million and $4.7 million for the years ended December 31, 2018, 2017 and 2016, respectively.</w:t>
      </w:r>
    </w:p>
    <w:p>
      <w:pPr>
        <w:spacing w:after="0" w:line="17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Licensing revenue included $0.75 million and $1.5 million of milestone revenue for the years ended December 31, 2018 and 2017, respectively. No milestone revenue was recorded during the year ended December 31, 2016.</w:t>
      </w:r>
    </w:p>
    <w:p>
      <w:pPr>
        <w:spacing w:after="0" w:line="17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2018, revenue recognized from performance obligations related to prior periods (for example, due to changes in transaction price) was not material in the aggregate to Net Product Sales, License Revenue and Royalty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Biscayne Acquisition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4, 2018, the Company acquired Biscayne, a privately-held company developing a novel treatment for epilepsy. The Company obtained worldwide rights, excluding certain markets in Asia where rights have been out-licensed, to Biscayne's product candidate, huperzine A (SPN-817). Huperzine A is in clinical development and has received an Orphan Drug designation from the U.S. Food and Drug Administration for the treatment of Dravet Syndrome, a severe form of childhood epilepsy.</w:t>
      </w:r>
    </w:p>
    <w:p>
      <w:pPr>
        <w:spacing w:after="0" w:line="190"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6"/>
          <w:szCs w:val="16"/>
          <w:color w:val="auto"/>
        </w:rPr>
        <w:t>The Company made an upfront cash payment of $15 million as of the acquisition date. Upon the achievement of certain specified development and sales milestones, The Company may be required to make additional cash payments to the former Biscayne security holders. These additional payments include:</w:t>
      </w:r>
    </w:p>
    <w:p>
      <w:pPr>
        <w:spacing w:after="0" w:line="1" w:lineRule="exact"/>
        <w:rPr>
          <w:sz w:val="20"/>
          <w:szCs w:val="20"/>
          <w:color w:val="auto"/>
        </w:rPr>
      </w:pPr>
    </w:p>
    <w:p>
      <w:pPr>
        <w:jc w:val="both"/>
        <w:ind w:firstLine="8"/>
        <w:spacing w:after="0" w:line="292" w:lineRule="auto"/>
        <w:tabs>
          <w:tab w:leader="none" w:pos="21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of up to approximately $73 million, contingent on the Company achieving certain development milestones by utilizing the acquired pharmaceutical intellectual property assets and (ii) payments of up to approximately $95 million, contingent on the Company achieving certain net product sales milestones with respect to the marketing of products developed from such assets. The Company will also pay a low single digit royalty on net sales to the former security holders of Biscayne, and any applicable royalties to third parties for the use of in-licensed intellectual property. The maximum combined royalty the Company will pay to all parties is approximately 12%, depending on the intellectual property covering the marketed product and applicable tiered net product sales levels.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Acquisitions (Continued)</w:t>
      </w:r>
    </w:p>
    <w:p>
      <w:pPr>
        <w:spacing w:after="0" w:line="22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As a result of the acquisition, the Company added SPN-817 to its product development pipeline. The Company plans on studying SPN-817 initially in severe pediatric epilepsy disorders such as Dravet Syndrome.</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ASU 2017-01, the acquisition of Biscayne was accounted for as an asset acquisition as substantially all of the fair value of the gross assets acquired was concentrated in a single asset, SPN-817. Net assets acquired included the in-process research and development asset, SPN-817, which is in early Phase I clinical development for the treatment of Dravet Syndrome, and deferred tax assets from net operating loss carryovers. Due to the stage of development of this asset, significant development risk remains. It is not yet probable that there is future economic benefit from this asset. Absent successful clinical results and regulatory approval for the asset, there is no alternative future use associated with SPN-817. Accordingly, approximately $14 million of the $15 million cash payment was recorded as research and development expense in the consolidated statement of earnings at the time of acquisition, as SPN-817 has not yet reached technological feasibility. The Company also recorded approximately $1 million related to the deferred tax assets acquired.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Financial Information (unaudited), see accompanying accountants'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financial information for fiscal 2018 and 2017 are presented in the following table, in thousands of dollars, except per share data:</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1</w:t>
            </w:r>
            <w:r>
              <w:rPr>
                <w:rFonts w:ascii="Times New Roman" w:cs="Times New Roman" w:eastAsia="Times New Roman" w:hAnsi="Times New Roman"/>
                <w:sz w:val="22"/>
                <w:szCs w:val="22"/>
                <w:b w:val="1"/>
                <w:bCs w:val="1"/>
                <w:color w:val="auto"/>
                <w:w w:val="94"/>
                <w:vertAlign w:val="superscript"/>
              </w:rPr>
              <w:t>st</w:t>
            </w:r>
            <w:r>
              <w:rPr>
                <w:rFonts w:ascii="Times New Roman" w:cs="Times New Roman" w:eastAsia="Times New Roman" w:hAnsi="Times New Roman"/>
                <w:sz w:val="14"/>
                <w:szCs w:val="14"/>
                <w:b w:val="1"/>
                <w:bCs w:val="1"/>
                <w:color w:val="auto"/>
                <w:w w:val="94"/>
              </w:rPr>
              <w:t xml:space="preserve"> Quarter</w:t>
            </w:r>
          </w:p>
        </w:tc>
        <w:tc>
          <w:tcPr>
            <w:tcW w:w="1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w:t>
            </w:r>
            <w:r>
              <w:rPr>
                <w:rFonts w:ascii="Times New Roman" w:cs="Times New Roman" w:eastAsia="Times New Roman" w:hAnsi="Times New Roman"/>
                <w:sz w:val="22"/>
                <w:szCs w:val="22"/>
                <w:b w:val="1"/>
                <w:bCs w:val="1"/>
                <w:color w:val="auto"/>
                <w:w w:val="92"/>
                <w:vertAlign w:val="superscript"/>
              </w:rPr>
              <w:t>nd</w:t>
            </w:r>
            <w:r>
              <w:rPr>
                <w:rFonts w:ascii="Times New Roman" w:cs="Times New Roman" w:eastAsia="Times New Roman" w:hAnsi="Times New Roman"/>
                <w:sz w:val="14"/>
                <w:szCs w:val="14"/>
                <w:b w:val="1"/>
                <w:bCs w:val="1"/>
                <w:color w:val="auto"/>
                <w:w w:val="92"/>
              </w:rPr>
              <w:t xml:space="preserve"> Quarter</w:t>
            </w:r>
          </w:p>
        </w:tc>
        <w:tc>
          <w:tcPr>
            <w:tcW w:w="1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3</w:t>
            </w:r>
            <w:r>
              <w:rPr>
                <w:rFonts w:ascii="Times New Roman" w:cs="Times New Roman" w:eastAsia="Times New Roman" w:hAnsi="Times New Roman"/>
                <w:sz w:val="22"/>
                <w:szCs w:val="22"/>
                <w:b w:val="1"/>
                <w:bCs w:val="1"/>
                <w:color w:val="auto"/>
                <w:w w:val="94"/>
                <w:vertAlign w:val="superscript"/>
              </w:rPr>
              <w:t>rd</w:t>
            </w:r>
            <w:r>
              <w:rPr>
                <w:rFonts w:ascii="Times New Roman" w:cs="Times New Roman" w:eastAsia="Times New Roman" w:hAnsi="Times New Roman"/>
                <w:sz w:val="14"/>
                <w:szCs w:val="14"/>
                <w:b w:val="1"/>
                <w:bCs w:val="1"/>
                <w:color w:val="auto"/>
                <w:w w:val="94"/>
              </w:rPr>
              <w:t xml:space="preserve"> Quarter</w:t>
            </w:r>
          </w:p>
        </w:tc>
        <w:tc>
          <w:tcPr>
            <w:tcW w:w="160" w:type="dxa"/>
            <w:vAlign w:val="bottom"/>
          </w:tcPr>
          <w:p>
            <w:pPr>
              <w:spacing w:after="0"/>
              <w:rPr>
                <w:sz w:val="22"/>
                <w:szCs w:val="22"/>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Quarter</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jc w:val="right"/>
              <w:ind w:right="3372"/>
              <w:spacing w:after="0"/>
              <w:rPr>
                <w:sz w:val="20"/>
                <w:szCs w:val="20"/>
                <w:color w:val="auto"/>
              </w:rPr>
            </w:pPr>
            <w:r>
              <w:rPr>
                <w:rFonts w:ascii="Times New Roman" w:cs="Times New Roman" w:eastAsia="Times New Roman" w:hAnsi="Times New Roman"/>
                <w:sz w:val="18"/>
                <w:szCs w:val="18"/>
                <w:color w:val="auto"/>
                <w:w w:val="88"/>
              </w:rPr>
              <w:t>2018</w:t>
            </w:r>
          </w:p>
        </w:tc>
        <w:tc>
          <w:tcPr>
            <w:tcW w:w="1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basic</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diluted</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shd w:val="clear" w:color="auto" w:fill="CCEEFF"/>
          </w:tcPr>
          <w:p>
            <w:pPr>
              <w:spacing w:after="0"/>
              <w:rPr>
                <w:sz w:val="18"/>
                <w:szCs w:val="18"/>
                <w:color w:val="auto"/>
              </w:rPr>
            </w:pPr>
          </w:p>
        </w:tc>
      </w:tr>
      <w:tr>
        <w:trPr>
          <w:trHeight w:val="430"/>
        </w:trPr>
        <w:tc>
          <w:tcPr>
            <w:tcW w:w="3820" w:type="dxa"/>
            <w:vAlign w:val="bottom"/>
            <w:gridSpan w:val="2"/>
          </w:tcPr>
          <w:p>
            <w:pPr>
              <w:jc w:val="right"/>
              <w:ind w:right="3372"/>
              <w:spacing w:after="0"/>
              <w:rPr>
                <w:sz w:val="20"/>
                <w:szCs w:val="20"/>
                <w:color w:val="auto"/>
              </w:rPr>
            </w:pPr>
            <w:r>
              <w:rPr>
                <w:rFonts w:ascii="Times New Roman" w:cs="Times New Roman" w:eastAsia="Times New Roman" w:hAnsi="Times New Roman"/>
                <w:sz w:val="18"/>
                <w:szCs w:val="18"/>
                <w:color w:val="auto"/>
                <w:w w:val="94"/>
              </w:rPr>
              <w:t>2017</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57,576</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basic</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diluted</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w:t>
      </w:r>
    </w:p>
    <w:p>
      <w:pPr>
        <w:spacing w:after="0" w:line="227"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The Company has entered into a new lease agreement, effective January 31, 2019, with Advent Key West, LLC (Landlord), for its new headquarters in Rockville, MD (Premises). The term of the new lease commences upon Landlord tendering possession of the Premises. The term of this lease commenced on February 1, 2019 (the Commencement Date) and shall continue until April 30, 2034, unless earlier terminated in accordance with the terms of the Lease (the Lease Term).</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Years ended December 31, 2018,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 (Continued)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Fixed rent with respect to the Premises shall commence on the Commencement Date. The initial fixed rental rate is approximately $195,000 per month for the first 12 months, which rate will automatically increase by 2% on each anniversary of the Commencement Date. Under the terms of the Lease, the Company provided a security deposit of approximately $195,000 and will be required to pay all utility charges for the Premises and its pro rata share of any operating expenses and real estate taxes.</w:t>
      </w:r>
    </w:p>
    <w:p>
      <w:pPr>
        <w:spacing w:after="0" w:line="1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Attached to this Annual Report on Form 10-K as Exhibits 31.1 and 31.2 there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that is referred to in the Section 302 Certifications. This information should be read in conjunction with the Section 302 Certifications for a more complete understanding of the topics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93"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December 31, 2018, the end of the period covered by this report. Based on that evaluation, under the supervision and with the participation of our management, including our CEO and CFO, we concluded that our disclosure controls and procedures were effective as of December 31,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6"/>
          <w:szCs w:val="16"/>
          <w:color w:val="auto"/>
        </w:rPr>
        <w:t>Our management, under the supervision and with the participation of the CEO and CFO, is responsible for establishing and maintaining adequate internal control over financial reporting for the Company. Internal control over financial reporting is defined in Exchange Act Rule 13a-15(f) as a process designed to provide reasonable assurance regarding the reliability of financial reporting and the preparation of financial statements for external purposes in accordance with</w:t>
      </w:r>
    </w:p>
    <w:p>
      <w:pPr>
        <w:spacing w:after="0" w:line="1"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6"/>
          <w:szCs w:val="16"/>
          <w:color w:val="auto"/>
        </w:rPr>
        <w:t>U.S. GAAP. The Company's internal control over financial reporting includes those policies and procedures that (1) pertain to the management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CEO and CFO, we conducted an evaluation of the effectiveness of our internal control over financial reporting as of December 31, 2018 based on criteria related to internal control over financial reporting described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2013 Framework).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assessment using these criteria, management concluded that the Company's internal control over financial reporting was effective as of December 31, 2018.</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KPMG LLP, an independent registered public accounting firm, has audited the Company's consolidated financial statements included in this Annual Report on Form 10-K and their opinion with respect to the fairness of the presentation of the financial statements is included in this Annual Report on Form 10-K. KPMG has also audited the Company's internal control over financial reporting as of December 31, 2018. Their responsibility is to evaluate whether internal controls over financial reporting was designed and operating effectively. KPMG issued an unqualified opinion on the effectiveness of the Company's internal control over financial reporting as of December 31, 2018 which is included in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management, including our CEO and CFO, evaluated changes in our internal control over financial reporting that occurred during the quarterly period ended December 31, 2018. There were no changes in our internal control over financial reporting identified in connection with the evaluation required by paragraph (d) of Exchange Act Rule 13a-15 that occurred during the quarter ended December 31, 2018,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2019 Annual Meeting to be filed with the Securities and Exchange Commission not later than 120 days after December 31, 2018.</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2019 Annual Meeting to be filed with the Securities and Exchange Commission not later than 120 days after December 31, 2018.</w:t>
      </w:r>
    </w:p>
    <w:p>
      <w:pPr>
        <w:spacing w:after="0" w:line="172" w:lineRule="exact"/>
        <w:rPr>
          <w:sz w:val="20"/>
          <w:szCs w:val="20"/>
          <w:color w:val="auto"/>
        </w:rPr>
      </w:pPr>
    </w:p>
    <w:p>
      <w:pPr>
        <w:ind w:right="800"/>
        <w:spacing w:after="0" w:line="27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below. The remainder of the information required by this Item 12 is incorporated by reference to our definitive proxy statement for our 2019 Annual Meeting to be filed with the Securities and Exchange Commission not later than 120 days after December 31, 2018.</w:t>
      </w:r>
    </w:p>
    <w:p>
      <w:pPr>
        <w:spacing w:after="0" w:line="186"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The following table shows the number of securities that may be issued pursuant to our equity compensation plans (including individual compensation arrangements) as of December 31, 2018:</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be issued upon</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Weighted-average exercise</w:t>
            </w: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 outstanding</w:t>
            </w: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 warrants and</w:t>
            </w: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reflected in the first</w:t>
            </w:r>
          </w:p>
        </w:tc>
        <w:tc>
          <w:tcPr>
            <w:tcW w:w="0" w:type="dxa"/>
            <w:vAlign w:val="bottom"/>
          </w:tcPr>
          <w:p>
            <w:pPr>
              <w:spacing w:after="0"/>
              <w:rPr>
                <w:sz w:val="1"/>
                <w:szCs w:val="1"/>
                <w:color w:val="auto"/>
              </w:rPr>
            </w:pPr>
          </w:p>
        </w:tc>
      </w:tr>
      <w:tr>
        <w:trPr>
          <w:trHeight w:val="165"/>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 rights(1)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rights(1)</w:t>
            </w:r>
          </w:p>
        </w:tc>
        <w:tc>
          <w:tcPr>
            <w:tcW w:w="160" w:type="dxa"/>
            <w:vAlign w:val="bottom"/>
          </w:tcPr>
          <w:p>
            <w:pPr>
              <w:spacing w:after="0"/>
              <w:rPr>
                <w:sz w:val="14"/>
                <w:szCs w:val="14"/>
                <w:color w:val="auto"/>
              </w:rPr>
            </w:pP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column(2))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7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holders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3,916,963</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2,776,656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security holders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3,916,963</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that may be issued are shares of the Company's Common Stock, issuable upon conversion of outstanding stock options.</w:t>
      </w:r>
    </w:p>
    <w:p>
      <w:pPr>
        <w:spacing w:after="0" w:line="25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that remain available for future issuance are issuable pursuant to the 2012 Equity Incentive Plan.</w:t>
      </w:r>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2019 Annual Meeting to be filed with the Securities and Exchange Commission not later than 120 days after December 31, 2018.</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2019 Annual Meeting to be filed with the Securities and Exchange Commission not later than 120 days after December 31, 2018.</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227" w:lineRule="exact"/>
        <w:rPr>
          <w:sz w:val="20"/>
          <w:szCs w:val="20"/>
          <w:color w:val="auto"/>
        </w:rPr>
      </w:pPr>
    </w:p>
    <w:p>
      <w:pPr>
        <w:ind w:left="540"/>
        <w:spacing w:after="0"/>
        <w:tabs>
          <w:tab w:leader="none" w:pos="14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Index to consolidated Financial Statements</w:t>
      </w:r>
    </w:p>
    <w:p>
      <w:pPr>
        <w:spacing w:after="0" w:line="22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Financial Statements listed in the Index to Consolidated Financial Statements are filed as part of this Annual Report on Form 10-K. See Part II, Item 8, "Financial Statement and Supplementary Data."</w:t>
      </w:r>
    </w:p>
    <w:p>
      <w:pPr>
        <w:spacing w:after="0" w:line="174" w:lineRule="exact"/>
        <w:rPr>
          <w:sz w:val="20"/>
          <w:szCs w:val="20"/>
          <w:color w:val="auto"/>
        </w:rPr>
      </w:pPr>
    </w:p>
    <w:p>
      <w:pPr>
        <w:ind w:left="540"/>
        <w:spacing w:after="0"/>
        <w:tabs>
          <w:tab w:leader="none" w:pos="14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Other financial statement schedules for the years ended December 31, 2018 and 2017 have been omitted since they are either not required, not applicable, or the information is otherwise included in the consolidated financial statements or the notes to consolidated financial statements.</w:t>
      </w:r>
    </w:p>
    <w:p>
      <w:pPr>
        <w:spacing w:after="0" w:line="174" w:lineRule="exact"/>
        <w:rPr>
          <w:sz w:val="20"/>
          <w:szCs w:val="20"/>
          <w:color w:val="auto"/>
        </w:rPr>
      </w:pPr>
    </w:p>
    <w:p>
      <w:pPr>
        <w:ind w:left="540"/>
        <w:spacing w:after="0"/>
        <w:tabs>
          <w:tab w:leader="none" w:pos="14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attached and incorporated herein by reference and filed as part of this report.</w:t>
      </w:r>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960" w:type="dxa"/>
            <w:vAlign w:val="bottom"/>
            <w:gridSpan w:val="2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0"/>
        </w:trPr>
        <w:tc>
          <w:tcPr>
            <w:tcW w:w="11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5"/>
        </w:trPr>
        <w:tc>
          <w:tcPr>
            <w:tcW w:w="1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gridSpan w:val="21"/>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tcPr>
          <w:p>
            <w:pPr>
              <w:spacing w:after="0"/>
              <w:rPr>
                <w:sz w:val="14"/>
                <w:szCs w:val="14"/>
                <w:color w:val="auto"/>
              </w:rPr>
            </w:pPr>
          </w:p>
        </w:tc>
      </w:tr>
      <w:tr>
        <w:trPr>
          <w:trHeight w:val="169"/>
        </w:trPr>
        <w:tc>
          <w:tcPr>
            <w:tcW w:w="1160" w:type="dxa"/>
            <w:vAlign w:val="bottom"/>
          </w:tcPr>
          <w:p>
            <w:pPr>
              <w:spacing w:after="0"/>
              <w:rPr>
                <w:sz w:val="14"/>
                <w:szCs w:val="14"/>
                <w:color w:val="auto"/>
              </w:rPr>
            </w:pPr>
          </w:p>
        </w:tc>
        <w:tc>
          <w:tcPr>
            <w:tcW w:w="114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0000EE"/>
            </w:tcBorders>
          </w:tcPr>
          <w:p>
            <w:pPr>
              <w:spacing w:after="0"/>
              <w:rPr>
                <w:sz w:val="14"/>
                <w:szCs w:val="14"/>
                <w:color w:val="auto"/>
              </w:rPr>
            </w:pPr>
          </w:p>
        </w:tc>
        <w:tc>
          <w:tcPr>
            <w:tcW w:w="7560" w:type="dxa"/>
            <w:vAlign w:val="bottom"/>
            <w:tcBorders>
              <w:bottom w:val="single" w:sz="8" w:color="0000EE"/>
            </w:tcBorders>
            <w:gridSpan w:val="12"/>
          </w:tcPr>
          <w:p>
            <w:pPr>
              <w:spacing w:after="0" w:line="170" w:lineRule="exact"/>
              <w:rPr>
                <w:rFonts w:ascii="Times New Roman" w:cs="Times New Roman" w:eastAsia="Times New Roman" w:hAnsi="Times New Roman"/>
                <w:sz w:val="18"/>
                <w:szCs w:val="18"/>
                <w:color w:val="0000EE"/>
                <w:w w:val="96"/>
              </w:rPr>
            </w:pPr>
            <w:hyperlink r:id="rId159">
              <w:r>
                <w:rPr>
                  <w:rFonts w:ascii="Times New Roman" w:cs="Times New Roman" w:eastAsia="Times New Roman" w:hAnsi="Times New Roman"/>
                  <w:sz w:val="18"/>
                  <w:szCs w:val="18"/>
                  <w:color w:val="0000EE"/>
                  <w:w w:val="96"/>
                </w:rPr>
                <w:t>Agreement and Plan of Merger, dated September 12, 2018, by and between Supernus Pharmaceuticals, Inc.,</w:t>
              </w:r>
            </w:hyperlink>
          </w:p>
        </w:tc>
        <w:tc>
          <w:tcPr>
            <w:tcW w:w="400" w:type="dxa"/>
            <w:vAlign w:val="bottom"/>
            <w:gridSpan w:val="12"/>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Supernus Merger Sub, Inc. Biscayne Neurotherapeutics, Inc. and Reich Consulting Group, Inc., as amended by</w:t>
              </w:r>
            </w:hyperlink>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Amendment No. 1, dated September 21, 2018 (incorporated by reference to Exhibit 2.1 to the Form 10-Q filed</w:t>
              </w:r>
            </w:hyperlink>
          </w:p>
        </w:tc>
        <w:tc>
          <w:tcPr>
            <w:tcW w:w="132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59">
              <w:r>
                <w:rPr>
                  <w:rFonts w:ascii="Times New Roman" w:cs="Times New Roman" w:eastAsia="Times New Roman" w:hAnsi="Times New Roman"/>
                  <w:sz w:val="18"/>
                  <w:szCs w:val="18"/>
                  <w:color w:val="0000EE"/>
                  <w:w w:val="96"/>
                </w:rPr>
                <w:t>on November 9, 2018, File No. 001-35518).</w:t>
              </w:r>
            </w:hyperlink>
          </w:p>
        </w:tc>
        <w:tc>
          <w:tcPr>
            <w:tcW w:w="4660" w:type="dxa"/>
            <w:vAlign w:val="bottom"/>
            <w:tcBorders>
              <w:top w:val="single" w:sz="8" w:color="0000EE"/>
            </w:tcBorders>
            <w:gridSpan w:val="13"/>
          </w:tcPr>
          <w:p>
            <w:pPr>
              <w:spacing w:after="0"/>
              <w:rPr>
                <w:sz w:val="17"/>
                <w:szCs w:val="17"/>
                <w:color w:val="auto"/>
              </w:rPr>
            </w:pPr>
          </w:p>
        </w:tc>
        <w:tc>
          <w:tcPr>
            <w:tcW w:w="1360" w:type="dxa"/>
            <w:vAlign w:val="bottom"/>
            <w:gridSpan w:val="10"/>
          </w:tcPr>
          <w:p>
            <w:pPr>
              <w:spacing w:after="0"/>
              <w:rPr>
                <w:sz w:val="17"/>
                <w:szCs w:val="17"/>
                <w:color w:val="auto"/>
              </w:rPr>
            </w:pPr>
          </w:p>
        </w:tc>
      </w:tr>
      <w:tr>
        <w:trPr>
          <w:trHeight w:val="412"/>
        </w:trPr>
        <w:tc>
          <w:tcPr>
            <w:tcW w:w="2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9120" w:type="dxa"/>
            <w:vAlign w:val="bottom"/>
            <w:gridSpan w:val="26"/>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Amended and Restated Certificate of Incorporation of the Registrant (incorporated by reference to Exhibit 3.1 to</w:t>
              </w:r>
            </w:hyperlink>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the Company's Registration Statement on Form S-1, File No. 333-184930, as amended on November 14, 2012).</w:t>
              </w:r>
            </w:hyperlink>
          </w:p>
        </w:tc>
        <w:tc>
          <w:tcPr>
            <w:tcW w:w="40" w:type="dxa"/>
            <w:vAlign w:val="bottom"/>
            <w:tcBorders>
              <w:top w:val="single" w:sz="8" w:color="0000EE"/>
            </w:tcBorders>
            <w:gridSpan w:val="2"/>
          </w:tcPr>
          <w:p>
            <w:pPr>
              <w:spacing w:after="0"/>
              <w:rPr>
                <w:sz w:val="17"/>
                <w:szCs w:val="17"/>
                <w:color w:val="auto"/>
              </w:rPr>
            </w:pPr>
          </w:p>
        </w:tc>
        <w:tc>
          <w:tcPr>
            <w:tcW w:w="1220" w:type="dxa"/>
            <w:vAlign w:val="bottom"/>
            <w:gridSpan w:val="3"/>
          </w:tcPr>
          <w:p>
            <w:pPr>
              <w:spacing w:after="0"/>
              <w:rPr>
                <w:sz w:val="17"/>
                <w:szCs w:val="17"/>
                <w:color w:val="auto"/>
              </w:rPr>
            </w:pPr>
          </w:p>
        </w:tc>
      </w:tr>
      <w:tr>
        <w:trPr>
          <w:trHeight w:val="412"/>
        </w:trPr>
        <w:tc>
          <w:tcPr>
            <w:tcW w:w="2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9120" w:type="dxa"/>
            <w:vAlign w:val="bottom"/>
            <w:gridSpan w:val="26"/>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Amended and Restated By-laws of the Registrant (incorporated by reference to Exhibit 3.2 to the Company's</w:t>
              </w:r>
            </w:hyperlink>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Registration Statement on Form S-1, File No. 333-184930, as amended on November 26, 2012).</w:t>
              </w:r>
            </w:hyperlink>
          </w:p>
        </w:tc>
        <w:tc>
          <w:tcPr>
            <w:tcW w:w="1480" w:type="dxa"/>
            <w:vAlign w:val="bottom"/>
            <w:gridSpan w:val="12"/>
          </w:tcPr>
          <w:p>
            <w:pPr>
              <w:spacing w:after="0"/>
              <w:rPr>
                <w:sz w:val="17"/>
                <w:szCs w:val="17"/>
                <w:color w:val="auto"/>
              </w:rPr>
            </w:pPr>
          </w:p>
        </w:tc>
      </w:tr>
      <w:tr>
        <w:trPr>
          <w:trHeight w:val="20"/>
        </w:trPr>
        <w:tc>
          <w:tcPr>
            <w:tcW w:w="2300" w:type="dxa"/>
            <w:vAlign w:val="bottom"/>
            <w:gridSpan w:val="3"/>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78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r:id="rId162">
              <w:r>
                <w:rPr>
                  <w:rFonts w:ascii="Times New Roman" w:cs="Times New Roman" w:eastAsia="Times New Roman" w:hAnsi="Times New Roman"/>
                  <w:sz w:val="18"/>
                  <w:szCs w:val="18"/>
                  <w:color w:val="0000EE"/>
                  <w:w w:val="97"/>
                </w:rPr>
                <w:t>Specimen Stock Certificate evidencing the shares of common stock (incorporated by reference to Exhibit 4.1 to</w:t>
              </w:r>
            </w:hyperlink>
          </w:p>
        </w:tc>
        <w:tc>
          <w:tcPr>
            <w:tcW w:w="128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the Company's Registration Statement on Form S-1, File No. 333-171375, as amended on March 16, 2012).</w:t>
              </w:r>
            </w:hyperlink>
          </w:p>
        </w:tc>
      </w:tr>
      <w:tr>
        <w:trPr>
          <w:trHeight w:val="20"/>
        </w:trPr>
        <w:tc>
          <w:tcPr>
            <w:tcW w:w="2300" w:type="dxa"/>
            <w:vAlign w:val="bottom"/>
            <w:gridSpan w:val="3"/>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9120" w:type="dxa"/>
            <w:vAlign w:val="bottom"/>
            <w:gridSpan w:val="26"/>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Indenture, dated as of March 19, 2018, between Supernus Pharmaceuticals, Inc. and Wilmington Trust, National</w:t>
              </w:r>
            </w:hyperlink>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Association, as trustee (incorporated by reference to Exhibit 4.2 to the Form 8-K filed on March 20, 2018, File</w:t>
              </w:r>
            </w:hyperlink>
          </w:p>
        </w:tc>
        <w:tc>
          <w:tcPr>
            <w:tcW w:w="124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No. 001-35518).</w:t>
              </w:r>
            </w:hyperlink>
          </w:p>
        </w:tc>
        <w:tc>
          <w:tcPr>
            <w:tcW w:w="1360" w:type="dxa"/>
            <w:vAlign w:val="bottom"/>
            <w:gridSpan w:val="10"/>
          </w:tcPr>
          <w:p>
            <w:pPr>
              <w:spacing w:after="0"/>
              <w:rPr>
                <w:sz w:val="17"/>
                <w:szCs w:val="17"/>
                <w:color w:val="auto"/>
              </w:rPr>
            </w:pPr>
          </w:p>
        </w:tc>
      </w:tr>
      <w:tr>
        <w:trPr>
          <w:trHeight w:val="20"/>
        </w:trPr>
        <w:tc>
          <w:tcPr>
            <w:tcW w:w="2300" w:type="dxa"/>
            <w:vAlign w:val="bottom"/>
            <w:gridSpan w:val="3"/>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54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r:id="rId163">
              <w:r>
                <w:rPr>
                  <w:rFonts w:ascii="Times New Roman" w:cs="Times New Roman" w:eastAsia="Times New Roman" w:hAnsi="Times New Roman"/>
                  <w:sz w:val="18"/>
                  <w:szCs w:val="18"/>
                  <w:color w:val="0000EE"/>
                  <w:w w:val="97"/>
                </w:rPr>
                <w:t>Form of 0.625% Convertible Senior Note due 2023 (included in Exhibit 4.2).</w:t>
              </w:r>
            </w:hyperlink>
          </w:p>
        </w:tc>
        <w:tc>
          <w:tcPr>
            <w:tcW w:w="3700" w:type="dxa"/>
            <w:vAlign w:val="bottom"/>
            <w:gridSpan w:val="20"/>
          </w:tcPr>
          <w:p>
            <w:pPr>
              <w:spacing w:after="0"/>
              <w:rPr>
                <w:sz w:val="24"/>
                <w:szCs w:val="24"/>
                <w:color w:val="auto"/>
              </w:rPr>
            </w:pPr>
          </w:p>
        </w:tc>
      </w:tr>
      <w:tr>
        <w:trPr>
          <w:trHeight w:val="412"/>
        </w:trPr>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7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164">
              <w:r>
                <w:rPr>
                  <w:rFonts w:ascii="Times New Roman" w:cs="Times New Roman" w:eastAsia="Times New Roman" w:hAnsi="Times New Roman"/>
                  <w:sz w:val="18"/>
                  <w:szCs w:val="18"/>
                  <w:color w:val="0000EE"/>
                  <w:w w:val="97"/>
                </w:rPr>
                <w:t>2005 Stock Plan and form agreements there under (incorporated by reference to Exhibit 10.1 to the Company's</w:t>
              </w:r>
            </w:hyperlink>
          </w:p>
        </w:tc>
        <w:tc>
          <w:tcPr>
            <w:tcW w:w="134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Registration Statement on Form S-1, File No. 333-171375, as amended on December 23, 2010).</w:t>
              </w:r>
            </w:hyperlink>
          </w:p>
        </w:tc>
      </w:tr>
      <w:tr>
        <w:trPr>
          <w:trHeight w:val="20"/>
        </w:trPr>
        <w:tc>
          <w:tcPr>
            <w:tcW w:w="2300" w:type="dxa"/>
            <w:vAlign w:val="bottom"/>
            <w:gridSpan w:val="3"/>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7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r:id="rId165">
              <w:r>
                <w:rPr>
                  <w:rFonts w:ascii="Times New Roman" w:cs="Times New Roman" w:eastAsia="Times New Roman" w:hAnsi="Times New Roman"/>
                  <w:sz w:val="18"/>
                  <w:szCs w:val="18"/>
                  <w:color w:val="0000EE"/>
                  <w:w w:val="97"/>
                </w:rPr>
                <w:t>Supplemental Executive Retirement Plan (incorporated by reference to Exhibit 10.2 to the Company's</w:t>
              </w:r>
            </w:hyperlink>
          </w:p>
        </w:tc>
        <w:tc>
          <w:tcPr>
            <w:tcW w:w="1960" w:type="dxa"/>
            <w:vAlign w:val="bottom"/>
            <w:gridSpan w:val="1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Registration Statement on Form S-1, File No. 333-171375, as amended on December 23, 2010).</w:t>
              </w:r>
            </w:hyperlink>
          </w:p>
        </w:tc>
      </w:tr>
      <w:tr>
        <w:trPr>
          <w:trHeight w:val="20"/>
        </w:trPr>
        <w:tc>
          <w:tcPr>
            <w:tcW w:w="2300" w:type="dxa"/>
            <w:vAlign w:val="bottom"/>
            <w:gridSpan w:val="3"/>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74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166">
              <w:r>
                <w:rPr>
                  <w:rFonts w:ascii="Times New Roman" w:cs="Times New Roman" w:eastAsia="Times New Roman" w:hAnsi="Times New Roman"/>
                  <w:sz w:val="18"/>
                  <w:szCs w:val="18"/>
                  <w:color w:val="0000EE"/>
                  <w:w w:val="97"/>
                </w:rPr>
                <w:t>Employment Agreement, dated as of December 22, 2005, by and between the Registrant and Jack Khattar</w:t>
              </w:r>
            </w:hyperlink>
          </w:p>
        </w:tc>
        <w:tc>
          <w:tcPr>
            <w:tcW w:w="1680" w:type="dxa"/>
            <w:vAlign w:val="bottom"/>
            <w:gridSpan w:val="1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(incorporated by reference to Exhibit 10.3 to the Company's Registration Statement on Form S-1, File No. 333-</w:t>
              </w:r>
            </w:hyperlink>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171375, as amended on December 23, 2010).</w:t>
              </w:r>
            </w:hyperlink>
          </w:p>
        </w:tc>
        <w:tc>
          <w:tcPr>
            <w:tcW w:w="1300" w:type="dxa"/>
            <w:vAlign w:val="bottom"/>
            <w:gridSpan w:val="7"/>
          </w:tcPr>
          <w:p>
            <w:pPr>
              <w:spacing w:after="0"/>
              <w:rPr>
                <w:sz w:val="17"/>
                <w:szCs w:val="17"/>
                <w:color w:val="auto"/>
              </w:rPr>
            </w:pPr>
          </w:p>
        </w:tc>
      </w:tr>
      <w:tr>
        <w:trPr>
          <w:trHeight w:val="20"/>
        </w:trPr>
        <w:tc>
          <w:tcPr>
            <w:tcW w:w="2300" w:type="dxa"/>
            <w:vAlign w:val="bottom"/>
            <w:gridSpan w:val="3"/>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9120" w:type="dxa"/>
            <w:vAlign w:val="bottom"/>
            <w:gridSpan w:val="26"/>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Stock Restriction Agreement, dated December 22, 2005, by and between the Registrant and Jack Khattar</w:t>
              </w:r>
            </w:hyperlink>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00" w:type="dxa"/>
            <w:vAlign w:val="bottom"/>
            <w:gridSpan w:val="5"/>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(incorporated by reference to Exhibit 10.4 to the Company's Registration Statement on Form S-1, File No. 333-</w:t>
              </w:r>
            </w:hyperlink>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171375, as amended on December 23, 2010).</w:t>
              </w:r>
            </w:hyperlink>
          </w:p>
        </w:tc>
        <w:tc>
          <w:tcPr>
            <w:tcW w:w="1300" w:type="dxa"/>
            <w:vAlign w:val="bottom"/>
            <w:gridSpan w:val="7"/>
          </w:tcPr>
          <w:p>
            <w:pPr>
              <w:spacing w:after="0"/>
              <w:rPr>
                <w:sz w:val="17"/>
                <w:szCs w:val="17"/>
                <w:color w:val="auto"/>
              </w:rPr>
            </w:pPr>
          </w:p>
        </w:tc>
      </w:tr>
      <w:tr>
        <w:trPr>
          <w:trHeight w:val="20"/>
        </w:trPr>
        <w:tc>
          <w:tcPr>
            <w:tcW w:w="2300" w:type="dxa"/>
            <w:vAlign w:val="bottom"/>
            <w:gridSpan w:val="3"/>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72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r:id="rId168">
              <w:r>
                <w:rPr>
                  <w:rFonts w:ascii="Times New Roman" w:cs="Times New Roman" w:eastAsia="Times New Roman" w:hAnsi="Times New Roman"/>
                  <w:sz w:val="18"/>
                  <w:szCs w:val="18"/>
                  <w:color w:val="0000EE"/>
                  <w:w w:val="97"/>
                </w:rPr>
                <w:t>Lease, dated as of April 19, 1999, by and between ARE Acquisitions, LLC and Shire Laboratories Inc.</w:t>
              </w:r>
            </w:hyperlink>
          </w:p>
        </w:tc>
        <w:tc>
          <w:tcPr>
            <w:tcW w:w="1900" w:type="dxa"/>
            <w:vAlign w:val="bottom"/>
            <w:gridSpan w:val="1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(incorporated by reference to Exhibit 10.5 to the Company's Registration Statement on Form S-1, File No. 333-</w:t>
              </w:r>
            </w:hyperlink>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171375, as amended on December 23, 2010).</w:t>
              </w:r>
            </w:hyperlink>
          </w:p>
        </w:tc>
        <w:tc>
          <w:tcPr>
            <w:tcW w:w="1300" w:type="dxa"/>
            <w:vAlign w:val="bottom"/>
            <w:gridSpan w:val="7"/>
          </w:tcPr>
          <w:p>
            <w:pPr>
              <w:spacing w:after="0"/>
              <w:rPr>
                <w:sz w:val="17"/>
                <w:szCs w:val="17"/>
                <w:color w:val="auto"/>
              </w:rPr>
            </w:pPr>
          </w:p>
        </w:tc>
      </w:tr>
      <w:tr>
        <w:trPr>
          <w:trHeight w:val="20"/>
        </w:trPr>
        <w:tc>
          <w:tcPr>
            <w:tcW w:w="2300" w:type="dxa"/>
            <w:vAlign w:val="bottom"/>
            <w:gridSpan w:val="3"/>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2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7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First Amendment to Lease, dated as of November 1, 2002, by and between ARE Acquisitions, LLC and Shire</w:t>
              </w:r>
            </w:hyperlink>
          </w:p>
        </w:tc>
        <w:tc>
          <w:tcPr>
            <w:tcW w:w="140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Laboratories Inc. (incorporated by reference to Exhibit 10.6 to the Company's Registration Statement on Form S-</w:t>
              </w:r>
            </w:hyperlink>
          </w:p>
        </w:tc>
        <w:tc>
          <w:tcPr>
            <w:tcW w:w="116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6"/>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1, File No. 333-171375, as amended on December 23, 2010).</w:t>
              </w:r>
            </w:hyperlink>
          </w:p>
        </w:tc>
      </w:tr>
      <w:tr>
        <w:trPr>
          <w:trHeight w:val="694"/>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Borders>
              <w:top w:val="single" w:sz="8" w:color="0000EE"/>
            </w:tcBorders>
            <w:gridSpan w:val="5"/>
          </w:tcPr>
          <w:p>
            <w:pPr>
              <w:ind w:left="3280"/>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60" w:type="dxa"/>
            <w:vAlign w:val="bottom"/>
            <w:tcBorders>
              <w:bottom w:val="single" w:sz="8" w:color="auto"/>
            </w:tcBorders>
            <w:gridSpan w:val="6"/>
          </w:tcPr>
          <w:p>
            <w:pPr>
              <w:ind w:left="3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140" w:type="dxa"/>
            <w:vAlign w:val="bottom"/>
            <w:gridSpan w:val="2"/>
          </w:tcPr>
          <w:p>
            <w:pPr>
              <w:jc w:val="right"/>
              <w:ind w:right="240"/>
              <w:spacing w:after="0" w:line="170"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4"/>
                <w:szCs w:val="14"/>
                <w:color w:val="auto"/>
              </w:rPr>
            </w:pPr>
          </w:p>
        </w:tc>
        <w:tc>
          <w:tcPr>
            <w:tcW w:w="7960" w:type="dxa"/>
            <w:vAlign w:val="bottom"/>
            <w:gridSpan w:val="6"/>
          </w:tcPr>
          <w:p>
            <w:pPr>
              <w:spacing w:after="0" w:line="170"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Second Amendment to Lease, dated as of December 22, 2005, by and among ARE-East Gude Lease, LLC, Shire</w:t>
              </w:r>
            </w:hyperlink>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Laboratories Inc. and Supernus Pharmaceuticals, Inc. (incorporated by reference to Exhibit 10.7 to the</w:t>
              </w:r>
            </w:hyperlink>
          </w:p>
        </w:tc>
        <w:tc>
          <w:tcPr>
            <w:tcW w:w="74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Company's Registration Statement on Form S-1, File No. 333-171375, as amended on December 23, 2010).</w:t>
              </w:r>
            </w:hyperlink>
          </w:p>
        </w:tc>
        <w:tc>
          <w:tcPr>
            <w:tcW w:w="400" w:type="dxa"/>
            <w:vAlign w:val="bottom"/>
            <w:gridSpan w:val="4"/>
          </w:tcPr>
          <w:p>
            <w:pPr>
              <w:spacing w:after="0"/>
              <w:rPr>
                <w:sz w:val="17"/>
                <w:szCs w:val="17"/>
                <w:color w:val="auto"/>
              </w:rPr>
            </w:pPr>
          </w:p>
        </w:tc>
      </w:tr>
      <w:tr>
        <w:trPr>
          <w:trHeight w:val="412"/>
        </w:trPr>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7980" w:type="dxa"/>
            <w:vAlign w:val="bottom"/>
            <w:gridSpan w:val="7"/>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Third Amendment to Lease, dated as of November 24, 2010, by and between ARE-East Gude Lease, LLC and</w:t>
              </w:r>
            </w:hyperlink>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the Registrant (successor-in-interest to Shire Laboratories Inc.) (incorporated by reference to Exhibit 10.8 to the</w:t>
              </w:r>
            </w:hyperlink>
          </w:p>
        </w:tc>
        <w:tc>
          <w:tcPr>
            <w:tcW w:w="12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Company's Registration Statement on Form S-1, File No. 333-171375, as amended on December 23, 2010).</w:t>
              </w:r>
            </w:hyperlink>
          </w:p>
        </w:tc>
        <w:tc>
          <w:tcPr>
            <w:tcW w:w="400" w:type="dxa"/>
            <w:vAlign w:val="bottom"/>
            <w:gridSpan w:val="4"/>
          </w:tcPr>
          <w:p>
            <w:pPr>
              <w:spacing w:after="0"/>
              <w:rPr>
                <w:sz w:val="17"/>
                <w:szCs w:val="17"/>
                <w:color w:val="auto"/>
              </w:rPr>
            </w:pPr>
          </w:p>
        </w:tc>
      </w:tr>
    </w:tbl>
    <w:p>
      <w:pPr>
        <w:spacing w:after="0" w:line="229" w:lineRule="exact"/>
        <w:rPr>
          <w:sz w:val="20"/>
          <w:szCs w:val="20"/>
          <w:color w:val="auto"/>
        </w:rPr>
      </w:pPr>
    </w:p>
    <w:p>
      <w:pPr>
        <w:ind w:left="2300" w:right="20" w:hanging="630"/>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74">
        <w:r>
          <w:rPr>
            <w:rFonts w:ascii="Times New Roman" w:cs="Times New Roman" w:eastAsia="Times New Roman" w:hAnsi="Times New Roman"/>
            <w:sz w:val="18"/>
            <w:szCs w:val="18"/>
            <w:u w:val="single" w:color="auto"/>
            <w:color w:val="0000EE"/>
          </w:rPr>
          <w:t>Asset Purchase and Contribution Agreement, dated as of December 22, 2005, by and among the Registrant, Shire</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Laboratories Inc. and Shire plc (incorporated by reference to Exhibit 10.10 to the Company's Registration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Statement on Form S-1, File No. 333-171375, as amended on March 16, 2012).</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2300" w:right="2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75">
        <w:r>
          <w:rPr>
            <w:rFonts w:ascii="Times New Roman" w:cs="Times New Roman" w:eastAsia="Times New Roman" w:hAnsi="Times New Roman"/>
            <w:sz w:val="18"/>
            <w:szCs w:val="18"/>
            <w:u w:val="single" w:color="auto"/>
            <w:color w:val="0000EE"/>
          </w:rPr>
          <w:t>Guanfacine License Agreement, dated as of December 22, 2005, by and among the Registrant, Shire LLC and</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Shire plc, as amended (incorporated by reference to Exhibit 10.11 to the Company's Registration Statement on</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Form S-1, File No. 333-171375, as amended on March 16, 2012).</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2300" w:right="100" w:hanging="712"/>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76">
        <w:r>
          <w:rPr>
            <w:rFonts w:ascii="Times New Roman" w:cs="Times New Roman" w:eastAsia="Times New Roman" w:hAnsi="Times New Roman"/>
            <w:sz w:val="18"/>
            <w:szCs w:val="18"/>
            <w:u w:val="single" w:color="auto"/>
            <w:color w:val="0000EE"/>
          </w:rPr>
          <w:t>Exclusive License Agreement, dated as of June 6, 2006, by and between the Registrant and United Therapeutics</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Corporation (incorporated by reference to Exhibit 10.12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File No. 333-171375, as amended on March 16, 2012).</w:t>
        </w:r>
      </w:hyperlink>
    </w:p>
    <w:p>
      <w:pPr>
        <w:spacing w:after="0" w:line="186" w:lineRule="exact"/>
        <w:rPr>
          <w:rFonts w:ascii="Times New Roman" w:cs="Times New Roman" w:eastAsia="Times New Roman" w:hAnsi="Times New Roman"/>
          <w:sz w:val="18"/>
          <w:szCs w:val="18"/>
          <w:u w:val="single" w:color="auto"/>
          <w:color w:val="0000EE"/>
        </w:rPr>
      </w:pPr>
    </w:p>
    <w:p>
      <w:pPr>
        <w:ind w:left="2300" w:right="10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77">
        <w:r>
          <w:rPr>
            <w:rFonts w:ascii="Times New Roman" w:cs="Times New Roman" w:eastAsia="Times New Roman" w:hAnsi="Times New Roman"/>
            <w:sz w:val="18"/>
            <w:szCs w:val="18"/>
            <w:u w:val="single" w:color="auto"/>
            <w:color w:val="0000EE"/>
          </w:rPr>
          <w:t>Exclusive Option and License Agreement, dated as of April 27, 2006, by and between the Registrant and Afecta</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Pharmaceuticals, Inc. (incorporated by reference to Exhibit 10.13 to the Company's Registration Statement on</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Form S-1, File No. 333-171375, as amended on March 16, 2012).</w:t>
        </w:r>
      </w:hyperlink>
    </w:p>
    <w:p>
      <w:pPr>
        <w:spacing w:after="0" w:line="186" w:lineRule="exact"/>
        <w:rPr>
          <w:rFonts w:ascii="Times New Roman" w:cs="Times New Roman" w:eastAsia="Times New Roman" w:hAnsi="Times New Roman"/>
          <w:sz w:val="18"/>
          <w:szCs w:val="18"/>
          <w:u w:val="single" w:color="auto"/>
          <w:color w:val="0000EE"/>
        </w:rPr>
      </w:pPr>
    </w:p>
    <w:p>
      <w:pPr>
        <w:ind w:left="2300" w:right="14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78">
        <w:r>
          <w:rPr>
            <w:rFonts w:ascii="Times New Roman" w:cs="Times New Roman" w:eastAsia="Times New Roman" w:hAnsi="Times New Roman"/>
            <w:sz w:val="18"/>
            <w:szCs w:val="18"/>
            <w:u w:val="single" w:color="auto"/>
            <w:color w:val="0000EE"/>
          </w:rPr>
          <w:t>Purchase and Sale Agreement, dated as of June 9, 2006, by and between the Registrant and Rune HealthCare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Limited (incorporated by reference to Exhibit 10.14 to the Company's Registration Statement on Form S-1, File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No. 333-171375, as amended on March 16, 2012).</w:t>
        </w:r>
      </w:hyperlink>
    </w:p>
    <w:p>
      <w:pPr>
        <w:spacing w:after="0" w:line="186" w:lineRule="exact"/>
        <w:rPr>
          <w:rFonts w:ascii="Times New Roman" w:cs="Times New Roman" w:eastAsia="Times New Roman" w:hAnsi="Times New Roman"/>
          <w:sz w:val="18"/>
          <w:szCs w:val="18"/>
          <w:u w:val="single" w:color="auto"/>
          <w:color w:val="0000EE"/>
        </w:rPr>
      </w:pPr>
    </w:p>
    <w:p>
      <w:pPr>
        <w:ind w:left="2300" w:right="2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79">
        <w:r>
          <w:rPr>
            <w:rFonts w:ascii="Times New Roman" w:cs="Times New Roman" w:eastAsia="Times New Roman" w:hAnsi="Times New Roman"/>
            <w:sz w:val="18"/>
            <w:szCs w:val="18"/>
            <w:u w:val="single" w:color="auto"/>
            <w:color w:val="0000EE"/>
          </w:rPr>
          <w:t>Exclusive License Agreement, dated as of November 2, 2007, by and between the Registrant and Afecta</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Pharmaceuticals, Inc. (incorporated by reference to Exhibit 10.15 to the Company's Registration Statement on</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Form S-1, File No. 333-171375, as amended on March 16, 2012).</w:t>
        </w:r>
      </w:hyperlink>
    </w:p>
    <w:p>
      <w:pPr>
        <w:spacing w:after="0" w:line="186" w:lineRule="exact"/>
        <w:rPr>
          <w:rFonts w:ascii="Times New Roman" w:cs="Times New Roman" w:eastAsia="Times New Roman" w:hAnsi="Times New Roman"/>
          <w:sz w:val="18"/>
          <w:szCs w:val="18"/>
          <w:u w:val="single" w:color="auto"/>
          <w:color w:val="0000EE"/>
        </w:rPr>
      </w:pPr>
    </w:p>
    <w:p>
      <w:pPr>
        <w:ind w:left="2300" w:right="160" w:hanging="718"/>
        <w:spacing w:after="0" w:line="275"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80">
        <w:r>
          <w:rPr>
            <w:rFonts w:ascii="Times New Roman" w:cs="Times New Roman" w:eastAsia="Times New Roman" w:hAnsi="Times New Roman"/>
            <w:sz w:val="18"/>
            <w:szCs w:val="18"/>
            <w:u w:val="single" w:color="auto"/>
            <w:color w:val="0000EE"/>
          </w:rPr>
          <w:t>Form of Indemnification Agreement (incorporated by reference to Exhibit 10.20 to the Company's Registration</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Statement on Form S-1, File No. 333-171375, as amended on February 14, 2012.</w:t>
        </w:r>
      </w:hyperlink>
    </w:p>
    <w:p>
      <w:pPr>
        <w:spacing w:after="0" w:line="174" w:lineRule="exact"/>
        <w:rPr>
          <w:sz w:val="20"/>
          <w:szCs w:val="20"/>
          <w:color w:val="auto"/>
        </w:rPr>
      </w:pPr>
    </w:p>
    <w:p>
      <w:pPr>
        <w:ind w:left="2300" w:right="22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10.16*+ </w:t>
      </w:r>
      <w:hyperlink r:id="rId181">
        <w:r>
          <w:rPr>
            <w:rFonts w:ascii="Times New Roman" w:cs="Times New Roman" w:eastAsia="Times New Roman" w:hAnsi="Times New Roman"/>
            <w:sz w:val="18"/>
            <w:szCs w:val="18"/>
            <w:u w:val="single" w:color="auto"/>
            <w:color w:val="0000EE"/>
          </w:rPr>
          <w:t>Offer Letter, dated June 10, 2005, to Dr. Padmanabh P. Bhatt from the Registrant (incorporated by reference to</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EE"/>
          </w:rPr>
          <w:t>Exhibit 10.22 to the Company's Registration Statement on Form S-1, File No. 333-171375, as amended on</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March 16, 2012).</w:t>
        </w:r>
      </w:hyperlink>
    </w:p>
    <w:p>
      <w:pPr>
        <w:spacing w:after="0" w:line="186" w:lineRule="exact"/>
        <w:rPr>
          <w:rFonts w:ascii="Times New Roman" w:cs="Times New Roman" w:eastAsia="Times New Roman" w:hAnsi="Times New Roman"/>
          <w:sz w:val="18"/>
          <w:szCs w:val="18"/>
          <w:color w:val="auto"/>
        </w:rPr>
      </w:pPr>
    </w:p>
    <w:p>
      <w:pPr>
        <w:ind w:left="2300" w:right="12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10.17*+ </w:t>
      </w:r>
      <w:hyperlink r:id="rId182">
        <w:r>
          <w:rPr>
            <w:rFonts w:ascii="Times New Roman" w:cs="Times New Roman" w:eastAsia="Times New Roman" w:hAnsi="Times New Roman"/>
            <w:sz w:val="18"/>
            <w:szCs w:val="18"/>
            <w:u w:val="single" w:color="auto"/>
            <w:color w:val="0000EE"/>
          </w:rPr>
          <w:t>Amended and Restated Employment Agreement, dated February 29, 2012, by and between the Registrant and</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EE"/>
          </w:rPr>
          <w:t>Jack Khattar (incorporated by reference to Exhibit 10.23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File No. 333-171375, as amended on March 16, 2012).</w:t>
        </w:r>
      </w:hyperlink>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58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132" w:name="page133"/>
    <w:bookmarkEnd w:id="132"/>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ectPr>
          <w:pgSz w:w="11900" w:h="16838" w:orient="portrait"/>
          <w:cols w:equalWidth="0" w:num="1">
            <w:col w:w="10260"/>
          </w:cols>
          <w:pgMar w:left="240" w:top="125" w:right="1399" w:bottom="1440" w:gutter="0" w:footer="0" w:header="0"/>
        </w:sectPr>
      </w:pPr>
    </w:p>
    <w:p>
      <w:pPr>
        <w:spacing w:after="0" w:line="2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232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17145</wp:posOffset>
            </wp:positionV>
            <wp:extent cx="50685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240" w:space="720"/>
            <w:col w:w="4300"/>
          </w:cols>
          <w:pgMar w:left="240" w:top="125" w:right="1399" w:bottom="1440" w:gutter="0" w:footer="0" w:header="0"/>
          <w:type w:val="continuous"/>
        </w:sectPr>
      </w:pPr>
    </w:p>
    <w:p>
      <w:pPr>
        <w:ind w:left="2300" w:right="40" w:hanging="718"/>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10.18*+ </w:t>
      </w:r>
      <w:hyperlink r:id="rId186">
        <w:r>
          <w:rPr>
            <w:rFonts w:ascii="Times New Roman" w:cs="Times New Roman" w:eastAsia="Times New Roman" w:hAnsi="Times New Roman"/>
            <w:sz w:val="18"/>
            <w:szCs w:val="18"/>
            <w:u w:val="single" w:color="auto"/>
            <w:color w:val="0000EE"/>
          </w:rPr>
          <w:t>Form of Time-Based Incentive Stock Option Agreement under the Supernus Pharmaceuticals, Inc. 2012 Equity</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EE"/>
          </w:rPr>
          <w:t>Incentive Plan, as amended (incorporated by reference to Exhibit 10.26 to the Company's Registration Statement</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on Form S-1, File No. 333-171375, as amended on April 11, 2012).</w:t>
        </w:r>
      </w:hyperlink>
    </w:p>
    <w:p>
      <w:pPr>
        <w:spacing w:after="0" w:line="193" w:lineRule="exact"/>
        <w:rPr>
          <w:rFonts w:ascii="Times New Roman" w:cs="Times New Roman" w:eastAsia="Times New Roman" w:hAnsi="Times New Roman"/>
          <w:sz w:val="18"/>
          <w:szCs w:val="18"/>
          <w:color w:val="auto"/>
        </w:rPr>
      </w:pPr>
    </w:p>
    <w:p>
      <w:pPr>
        <w:jc w:val="both"/>
        <w:ind w:left="2300" w:right="28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10.19*+ </w:t>
      </w:r>
      <w:hyperlink r:id="rId187">
        <w:r>
          <w:rPr>
            <w:rFonts w:ascii="Times New Roman" w:cs="Times New Roman" w:eastAsia="Times New Roman" w:hAnsi="Times New Roman"/>
            <w:sz w:val="18"/>
            <w:szCs w:val="18"/>
            <w:u w:val="single" w:color="auto"/>
            <w:color w:val="0000EE"/>
          </w:rPr>
          <w:t>Form of Non-Statutory Time-Based Stock Option Agreement under the Supernus Pharmaceuticals, Inc. 2012</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EE"/>
          </w:rPr>
          <w:t>Equity Incentive Plan, as amended (incorporated by reference to Exhibit 10.27 to the Company's Registration</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Statement on Form S-1, File No. 333-171375, as amended on April 11, 2012).</w:t>
        </w:r>
      </w:hyperlink>
    </w:p>
    <w:p>
      <w:pPr>
        <w:spacing w:after="0" w:line="186" w:lineRule="exact"/>
        <w:rPr>
          <w:rFonts w:ascii="Times New Roman" w:cs="Times New Roman" w:eastAsia="Times New Roman" w:hAnsi="Times New Roman"/>
          <w:sz w:val="18"/>
          <w:szCs w:val="18"/>
          <w:color w:val="auto"/>
        </w:rPr>
      </w:pPr>
    </w:p>
    <w:p>
      <w:pPr>
        <w:ind w:left="2300" w:right="38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10.20*+ </w:t>
      </w:r>
      <w:hyperlink r:id="rId188">
        <w:r>
          <w:rPr>
            <w:rFonts w:ascii="Times New Roman" w:cs="Times New Roman" w:eastAsia="Times New Roman" w:hAnsi="Times New Roman"/>
            <w:sz w:val="18"/>
            <w:szCs w:val="18"/>
            <w:u w:val="single" w:color="auto"/>
            <w:color w:val="0000EE"/>
          </w:rPr>
          <w:t>Offer letter to Stefan K.F. Schwabe dated June 25, 2012 (incorporated by reference to Exhibit 10.1 to the</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EE"/>
          </w:rPr>
          <w:t>Company's Quarterly Report on Form 10-Q for the period ended September 30, 2012, filed on November 2,</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2012, File No. 001-35518).</w:t>
        </w:r>
      </w:hyperlink>
    </w:p>
    <w:p>
      <w:pPr>
        <w:spacing w:after="0" w:line="186" w:lineRule="exact"/>
        <w:rPr>
          <w:rFonts w:ascii="Times New Roman" w:cs="Times New Roman" w:eastAsia="Times New Roman" w:hAnsi="Times New Roman"/>
          <w:sz w:val="18"/>
          <w:szCs w:val="18"/>
          <w:color w:val="auto"/>
        </w:rPr>
      </w:pPr>
    </w:p>
    <w:p>
      <w:pPr>
        <w:ind w:left="2300" w:right="380" w:hanging="718"/>
        <w:spacing w:after="0" w:line="339" w:lineRule="auto"/>
        <w:tabs>
          <w:tab w:leader="none" w:pos="22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89">
        <w:r>
          <w:rPr>
            <w:rFonts w:ascii="Times New Roman" w:cs="Times New Roman" w:eastAsia="Times New Roman" w:hAnsi="Times New Roman"/>
            <w:sz w:val="16"/>
            <w:szCs w:val="16"/>
            <w:u w:val="single" w:color="auto"/>
            <w:color w:val="0000EE"/>
          </w:rPr>
          <w:t>Commercial Supply Agreement, dated August 23, 2012, by and among Patheon, Inc. and the Company</w:t>
        </w:r>
      </w:hyperlink>
      <w:r>
        <w:rPr>
          <w:rFonts w:ascii="Times New Roman" w:cs="Times New Roman" w:eastAsia="Times New Roman" w:hAnsi="Times New Roman"/>
          <w:sz w:val="16"/>
          <w:szCs w:val="16"/>
          <w:u w:val="single" w:color="auto"/>
          <w:color w:val="0000EE"/>
        </w:rPr>
        <w:t xml:space="preserve"> </w:t>
      </w:r>
      <w:hyperlink r:id="rId189">
        <w:r>
          <w:rPr>
            <w:rFonts w:ascii="Times New Roman" w:cs="Times New Roman" w:eastAsia="Times New Roman" w:hAnsi="Times New Roman"/>
            <w:sz w:val="16"/>
            <w:szCs w:val="16"/>
            <w:u w:val="single" w:color="auto"/>
            <w:color w:val="0000EE"/>
          </w:rPr>
          <w:t>(incorporated by reference to Exhibit 10.1 to the Form 8-K filed on February 7, 2013, File No., 001-35518).</w:t>
        </w:r>
      </w:hyperlink>
    </w:p>
    <w:p>
      <w:pPr>
        <w:spacing w:after="0" w:line="128" w:lineRule="exact"/>
        <w:rPr>
          <w:sz w:val="20"/>
          <w:szCs w:val="20"/>
          <w:color w:val="auto"/>
        </w:rPr>
      </w:pPr>
    </w:p>
    <w:p>
      <w:pPr>
        <w:ind w:left="2300" w:right="6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90">
        <w:r>
          <w:rPr>
            <w:rFonts w:ascii="Times New Roman" w:cs="Times New Roman" w:eastAsia="Times New Roman" w:hAnsi="Times New Roman"/>
            <w:sz w:val="18"/>
            <w:szCs w:val="18"/>
            <w:u w:val="single" w:color="auto"/>
            <w:color w:val="0000EE"/>
          </w:rPr>
          <w:t>Lease Agreement, dated February 6, 2013, by and among ARE-1500 East Gude, LLC and the Company</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(incorporated by reference to Exhibit 10.33 to the Company's Annual Report on Form 10-K for the period ended</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December 31, 2012, filed on March 15, 2013, File 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91">
        <w:r>
          <w:rPr>
            <w:rFonts w:ascii="Times New Roman" w:cs="Times New Roman" w:eastAsia="Times New Roman" w:hAnsi="Times New Roman"/>
            <w:sz w:val="18"/>
            <w:szCs w:val="18"/>
            <w:u w:val="single" w:color="auto"/>
            <w:color w:val="0000EE"/>
          </w:rPr>
          <w:t>Commercial Supply Agreement dated December 15, 2012 by and among Catalent Pharma Solutions, LLC and</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the Company (incorporated by reference to Exhibit 10.1 to the Form 8-K filed on August 21, 2013, File No. 001-</w:t>
        </w:r>
      </w:hyperlink>
      <w:hyperlink r:id="rId191">
        <w:r>
          <w:rPr>
            <w:rFonts w:ascii="Times New Roman" w:cs="Times New Roman" w:eastAsia="Times New Roman" w:hAnsi="Times New Roman"/>
            <w:sz w:val="18"/>
            <w:szCs w:val="18"/>
            <w:u w:val="single" w:color="auto"/>
            <w:color w:val="0000EE"/>
          </w:rPr>
          <w:t>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160" w:hanging="718"/>
        <w:spacing w:after="0" w:line="275" w:lineRule="auto"/>
        <w:rPr>
          <w:sz w:val="20"/>
          <w:szCs w:val="20"/>
          <w:color w:val="auto"/>
        </w:rPr>
      </w:pPr>
      <w:r>
        <w:rPr>
          <w:rFonts w:ascii="Times New Roman" w:cs="Times New Roman" w:eastAsia="Times New Roman" w:hAnsi="Times New Roman"/>
          <w:sz w:val="18"/>
          <w:szCs w:val="18"/>
          <w:color w:val="auto"/>
        </w:rPr>
        <w:t>10.24*+ Compensatory Arrangements of Certain Executive Officers for 2019 (incorporated by reference to Item 5.02 of the Form 8-K filed on February 26, 2019, File No. 001-35518).</w:t>
      </w:r>
    </w:p>
    <w:p>
      <w:pPr>
        <w:spacing w:after="0" w:line="174" w:lineRule="exact"/>
        <w:rPr>
          <w:rFonts w:ascii="Times New Roman" w:cs="Times New Roman" w:eastAsia="Times New Roman" w:hAnsi="Times New Roman"/>
          <w:sz w:val="18"/>
          <w:szCs w:val="18"/>
          <w:u w:val="single" w:color="auto"/>
          <w:color w:val="0000EE"/>
        </w:rPr>
      </w:pPr>
    </w:p>
    <w:p>
      <w:pPr>
        <w:jc w:val="both"/>
        <w:ind w:left="2300" w:right="4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92">
        <w:r>
          <w:rPr>
            <w:rFonts w:ascii="Times New Roman" w:cs="Times New Roman" w:eastAsia="Times New Roman" w:hAnsi="Times New Roman"/>
            <w:sz w:val="18"/>
            <w:szCs w:val="18"/>
            <w:u w:val="single" w:color="auto"/>
            <w:color w:val="0000EE"/>
          </w:rPr>
          <w:t>Royalty Interest Acquisition Agreement, dated July 1, 2014, by and between Supernus Pharmaceuticals, Inc. and</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HealthCare Royalty Partners III, L.P. (incorporated by reference to Exhibit 10.1 to the Form 8-K filed on July 8,</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2014, File 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93">
        <w:r>
          <w:rPr>
            <w:rFonts w:ascii="Times New Roman" w:cs="Times New Roman" w:eastAsia="Times New Roman" w:hAnsi="Times New Roman"/>
            <w:sz w:val="18"/>
            <w:szCs w:val="18"/>
            <w:u w:val="single" w:color="auto"/>
            <w:color w:val="0000EE"/>
          </w:rPr>
          <w:t>Security Agreement, dated July 1, 2014, by and between Supernus Pharmaceuticals, Inc. and HealthCare Royalty</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Partners III, L.P. (incorporated by reference to Exhibit 10.2 to the Form 8-K filed on July 8, 2014, File No. 001-</w:t>
        </w:r>
      </w:hyperlink>
      <w:hyperlink r:id="rId193">
        <w:r>
          <w:rPr>
            <w:rFonts w:ascii="Times New Roman" w:cs="Times New Roman" w:eastAsia="Times New Roman" w:hAnsi="Times New Roman"/>
            <w:sz w:val="18"/>
            <w:szCs w:val="18"/>
            <w:u w:val="single" w:color="auto"/>
            <w:color w:val="0000EE"/>
          </w:rPr>
          <w:t>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340" w:hanging="718"/>
        <w:spacing w:after="0" w:line="275"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10.27*+ </w:t>
      </w:r>
      <w:hyperlink r:id="rId194">
        <w:r>
          <w:rPr>
            <w:rFonts w:ascii="Times New Roman" w:cs="Times New Roman" w:eastAsia="Times New Roman" w:hAnsi="Times New Roman"/>
            <w:sz w:val="18"/>
            <w:szCs w:val="18"/>
            <w:u w:val="single" w:color="auto"/>
            <w:color w:val="0000EE"/>
          </w:rPr>
          <w:t>Form of Executive Retention Agreement (incorporated by reference to Exhibit 10.1 to the Form 8-K filed on</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EE"/>
          </w:rPr>
          <w:t>September 18, 2014, File No. 001-35518).</w:t>
        </w:r>
      </w:hyperlink>
    </w:p>
    <w:p>
      <w:pPr>
        <w:spacing w:after="0" w:line="174" w:lineRule="exact"/>
        <w:rPr>
          <w:sz w:val="20"/>
          <w:szCs w:val="20"/>
          <w:color w:val="auto"/>
        </w:rPr>
      </w:pPr>
    </w:p>
    <w:p>
      <w:pPr>
        <w:ind w:left="230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10.28*+ </w:t>
      </w:r>
      <w:hyperlink r:id="rId195">
        <w:r>
          <w:rPr>
            <w:rFonts w:ascii="Times New Roman" w:cs="Times New Roman" w:eastAsia="Times New Roman" w:hAnsi="Times New Roman"/>
            <w:sz w:val="18"/>
            <w:szCs w:val="18"/>
            <w:u w:val="single" w:color="auto"/>
            <w:color w:val="0000EE"/>
          </w:rPr>
          <w:t>Amendment to Amended and Restated Employment Agreement, dated August 8, 2014, by and between Supernus</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EE"/>
          </w:rPr>
          <w:t>Pharmaceuticals, Inc. and Jack Khattar (incorporated by reference to Exhibit 10.2 to the Form 8-K filed on</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August 11, 2014, File No. 001-35518).</w:t>
        </w:r>
      </w:hyperlink>
    </w:p>
    <w:p>
      <w:pPr>
        <w:spacing w:after="0" w:line="186" w:lineRule="exact"/>
        <w:rPr>
          <w:rFonts w:ascii="Times New Roman" w:cs="Times New Roman" w:eastAsia="Times New Roman" w:hAnsi="Times New Roman"/>
          <w:sz w:val="18"/>
          <w:szCs w:val="18"/>
          <w:color w:val="auto"/>
        </w:rPr>
      </w:pPr>
    </w:p>
    <w:p>
      <w:pPr>
        <w:jc w:val="both"/>
        <w:ind w:left="2300" w:right="1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96">
        <w:r>
          <w:rPr>
            <w:rFonts w:ascii="Times New Roman" w:cs="Times New Roman" w:eastAsia="Times New Roman" w:hAnsi="Times New Roman"/>
            <w:sz w:val="18"/>
            <w:szCs w:val="18"/>
            <w:u w:val="single" w:color="auto"/>
            <w:color w:val="0000EE"/>
          </w:rPr>
          <w:t>Fourth Amendment to Lease Agreement, dated October 20, 2014, by and between ARE-Acquisitions, LLC and</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Supernus Pharmaceuticals, Inc. (incorporated by reference to Exhibit 10.1 to the Form 8-K filed on October 24,</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2014, File No. 001-35518).</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2300" w:right="6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97">
        <w:r>
          <w:rPr>
            <w:rFonts w:ascii="Times New Roman" w:cs="Times New Roman" w:eastAsia="Times New Roman" w:hAnsi="Times New Roman"/>
            <w:sz w:val="18"/>
            <w:szCs w:val="18"/>
            <w:u w:val="single" w:color="auto"/>
            <w:color w:val="0000EE"/>
          </w:rPr>
          <w:t>First Amendment to Lease Agreement, dated October 20, 2014, by and between ARE-1500 East Gude, LLC and</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Supernus Pharmaceuticals, Inc. (incorporated by reference to Exhibit 10.2 to the Form 8-K filed on October 24,</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2014, File No. 001-35518).</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30" w:lineRule="exact"/>
        <w:rPr>
          <w:rFonts w:ascii="Times New Roman" w:cs="Times New Roman" w:eastAsia="Times New Roman" w:hAnsi="Times New Roman"/>
          <w:sz w:val="18"/>
          <w:szCs w:val="18"/>
          <w:u w:val="single" w:color="auto"/>
          <w:color w:val="0000EE"/>
        </w:rPr>
      </w:pPr>
    </w:p>
    <w:p>
      <w:pPr>
        <w:ind w:left="558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25" w:right="1399" w:bottom="1440" w:gutter="0" w:footer="0" w:header="0"/>
          <w:type w:val="continuous"/>
        </w:sectPr>
      </w:pPr>
    </w:p>
    <w:bookmarkStart w:id="133" w:name="page134"/>
    <w:bookmarkEnd w:id="133"/>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ectPr>
          <w:pgSz w:w="11900" w:h="16838" w:orient="portrait"/>
          <w:cols w:equalWidth="0" w:num="1">
            <w:col w:w="10260"/>
          </w:cols>
          <w:pgMar w:left="240" w:top="125" w:right="1399" w:bottom="1440" w:gutter="0" w:footer="0" w:header="0"/>
        </w:sectPr>
      </w:pPr>
    </w:p>
    <w:p>
      <w:pPr>
        <w:spacing w:after="0" w:line="2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232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17145</wp:posOffset>
            </wp:positionV>
            <wp:extent cx="50685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240" w:space="720"/>
            <w:col w:w="4300"/>
          </w:cols>
          <w:pgMar w:left="240" w:top="125" w:right="1399" w:bottom="1440" w:gutter="0" w:footer="0" w:header="0"/>
          <w:type w:val="continuous"/>
        </w:sectPr>
      </w:pPr>
    </w:p>
    <w:p>
      <w:pPr>
        <w:ind w:left="2300" w:hanging="718"/>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10.31*+ </w:t>
      </w:r>
      <w:hyperlink r:id="rId201">
        <w:r>
          <w:rPr>
            <w:rFonts w:ascii="Times New Roman" w:cs="Times New Roman" w:eastAsia="Times New Roman" w:hAnsi="Times New Roman"/>
            <w:sz w:val="18"/>
            <w:szCs w:val="18"/>
            <w:u w:val="single" w:color="auto"/>
            <w:color w:val="0000EE"/>
          </w:rPr>
          <w:t>Second Amendment to Amended and Restated Employment Agreement, dated March 2, 2016, by and between</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EE"/>
          </w:rPr>
          <w:t>Supernus Pharmaceuticals, Inc. and Jack Khattar (incorporated by reference to Exhibit 10.1 to the Form 8-K filed</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on March 4, 2016, File No. 001-35518).</w:t>
        </w:r>
      </w:hyperlink>
    </w:p>
    <w:p>
      <w:pPr>
        <w:spacing w:after="0" w:line="193" w:lineRule="exact"/>
        <w:rPr>
          <w:rFonts w:ascii="Times New Roman" w:cs="Times New Roman" w:eastAsia="Times New Roman" w:hAnsi="Times New Roman"/>
          <w:sz w:val="18"/>
          <w:szCs w:val="18"/>
          <w:color w:val="auto"/>
        </w:rPr>
      </w:pPr>
    </w:p>
    <w:p>
      <w:pPr>
        <w:ind w:left="2300" w:right="60" w:hanging="718"/>
        <w:spacing w:after="0" w:line="258"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202">
        <w:r>
          <w:rPr>
            <w:rFonts w:ascii="Times New Roman" w:cs="Times New Roman" w:eastAsia="Times New Roman" w:hAnsi="Times New Roman"/>
            <w:sz w:val="18"/>
            <w:szCs w:val="18"/>
            <w:u w:val="single" w:color="auto"/>
            <w:color w:val="0000EE"/>
          </w:rPr>
          <w:t>Settlement Agreement, dated October 14, 2015, by and between Supernus Pharmaceuticals, Inc., Par</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Pharmaceutical Companies, Inc., and Par Pharmaceutical, Inc. (incorporated by reference to Exhibit 10.36 to the</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Company's Annual Report on Form 10-K for the period ended December 31, 2015, filed on March 9, 2016, File</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No. 001-35518).</w:t>
        </w:r>
      </w:hyperlink>
    </w:p>
    <w:p>
      <w:pPr>
        <w:spacing w:after="0" w:line="190" w:lineRule="exact"/>
        <w:rPr>
          <w:rFonts w:ascii="Times New Roman" w:cs="Times New Roman" w:eastAsia="Times New Roman" w:hAnsi="Times New Roman"/>
          <w:sz w:val="18"/>
          <w:szCs w:val="18"/>
          <w:u w:val="single" w:color="auto"/>
          <w:color w:val="0000EE"/>
        </w:rPr>
      </w:pPr>
    </w:p>
    <w:p>
      <w:pPr>
        <w:ind w:left="2300" w:right="32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10.33*+ </w:t>
      </w:r>
      <w:hyperlink r:id="rId203">
        <w:r>
          <w:rPr>
            <w:rFonts w:ascii="Times New Roman" w:cs="Times New Roman" w:eastAsia="Times New Roman" w:hAnsi="Times New Roman"/>
            <w:sz w:val="18"/>
            <w:szCs w:val="18"/>
            <w:u w:val="single" w:color="auto"/>
            <w:color w:val="0000EE"/>
          </w:rPr>
          <w:t>Supernus Pharmaceuticals, Inc. Third Amended and Restated 2012 Equity Incentive Plan (incorporated by</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0000EE"/>
          </w:rPr>
          <w:t>reference to Appendix A to the Company's Proxy Statement on Form DEF 14A, filed on April 27, 2018, File</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No. 001-35518).</w:t>
        </w:r>
      </w:hyperlink>
    </w:p>
    <w:p>
      <w:pPr>
        <w:spacing w:after="0" w:line="186" w:lineRule="exact"/>
        <w:rPr>
          <w:rFonts w:ascii="Times New Roman" w:cs="Times New Roman" w:eastAsia="Times New Roman" w:hAnsi="Times New Roman"/>
          <w:sz w:val="18"/>
          <w:szCs w:val="18"/>
          <w:color w:val="auto"/>
        </w:rPr>
      </w:pPr>
    </w:p>
    <w:p>
      <w:pPr>
        <w:ind w:left="2300" w:right="56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10.34*+ </w:t>
      </w:r>
      <w:hyperlink r:id="rId204">
        <w:r>
          <w:rPr>
            <w:rFonts w:ascii="Times New Roman" w:cs="Times New Roman" w:eastAsia="Times New Roman" w:hAnsi="Times New Roman"/>
            <w:sz w:val="18"/>
            <w:szCs w:val="18"/>
            <w:u w:val="single" w:color="auto"/>
            <w:color w:val="0000EE"/>
          </w:rPr>
          <w:t>Supernus Pharmaceuticals, Inc. Second Amended and Restated 2012 Employee Stock Purchase Plan</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EE"/>
          </w:rPr>
          <w:t>(incorporated by reference to Appendix B to the Company's Proxy Statement on Form DEF 14A, filed on</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April 19, 2016, File No. 001-35518).</w:t>
        </w:r>
      </w:hyperlink>
    </w:p>
    <w:p>
      <w:pPr>
        <w:spacing w:after="0" w:line="186" w:lineRule="exact"/>
        <w:rPr>
          <w:rFonts w:ascii="Times New Roman" w:cs="Times New Roman" w:eastAsia="Times New Roman" w:hAnsi="Times New Roman"/>
          <w:sz w:val="18"/>
          <w:szCs w:val="18"/>
          <w:color w:val="auto"/>
        </w:rPr>
      </w:pPr>
    </w:p>
    <w:p>
      <w:pPr>
        <w:ind w:left="2300" w:right="300" w:hanging="718"/>
        <w:spacing w:after="0" w:line="258"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205">
        <w:r>
          <w:rPr>
            <w:rFonts w:ascii="Times New Roman" w:cs="Times New Roman" w:eastAsia="Times New Roman" w:hAnsi="Times New Roman"/>
            <w:sz w:val="18"/>
            <w:szCs w:val="18"/>
            <w:u w:val="single" w:color="auto"/>
            <w:color w:val="0000EE"/>
          </w:rPr>
          <w:t>Settlement Agreement, dated March 6, 2017, by and between Supernus Pharmaceuticals, Inc., Zydus</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Pharmaceuticals (USA) Inc., and Cadila Healthcare Limited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Company's Quarterly Report on Form 10-Q for the period ended March 31, 2017, filed on May 9, 2017, File</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No. 001-35518).</w:t>
        </w:r>
      </w:hyperlink>
    </w:p>
    <w:p>
      <w:pPr>
        <w:spacing w:after="0" w:line="190" w:lineRule="exact"/>
        <w:rPr>
          <w:rFonts w:ascii="Times New Roman" w:cs="Times New Roman" w:eastAsia="Times New Roman" w:hAnsi="Times New Roman"/>
          <w:sz w:val="18"/>
          <w:szCs w:val="18"/>
          <w:u w:val="single" w:color="auto"/>
          <w:color w:val="0000EE"/>
        </w:rPr>
      </w:pPr>
    </w:p>
    <w:p>
      <w:pPr>
        <w:ind w:left="2300" w:right="280" w:hanging="718"/>
        <w:spacing w:after="0" w:line="258"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206">
        <w:r>
          <w:rPr>
            <w:rFonts w:ascii="Times New Roman" w:cs="Times New Roman" w:eastAsia="Times New Roman" w:hAnsi="Times New Roman"/>
            <w:sz w:val="18"/>
            <w:szCs w:val="18"/>
            <w:u w:val="single" w:color="auto"/>
            <w:color w:val="0000EE"/>
          </w:rPr>
          <w:t>Term Sheet Agreement, dated March 6, 2017, by and between Supernus Pharmaceuticals, Inc., Actavis</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Laboratories, FL, Inc., Actavis Pharma, Inc., and Watson Laboratories, Inc. (incorporated by reference to</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Exhibit 10.2 to the Company's Quarterly Report on Form 10-Q for the period ended March 31, 2017, filed on</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May 9, 2017, File No. 001-35518).</w:t>
        </w:r>
      </w:hyperlink>
    </w:p>
    <w:p>
      <w:pPr>
        <w:spacing w:after="0" w:line="190" w:lineRule="exact"/>
        <w:rPr>
          <w:rFonts w:ascii="Times New Roman" w:cs="Times New Roman" w:eastAsia="Times New Roman" w:hAnsi="Times New Roman"/>
          <w:sz w:val="18"/>
          <w:szCs w:val="18"/>
          <w:u w:val="single" w:color="auto"/>
          <w:color w:val="0000EE"/>
        </w:rPr>
      </w:pPr>
    </w:p>
    <w:p>
      <w:pPr>
        <w:ind w:left="2300" w:right="280" w:hanging="718"/>
        <w:spacing w:after="0" w:line="258"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207">
        <w:r>
          <w:rPr>
            <w:rFonts w:ascii="Times New Roman" w:cs="Times New Roman" w:eastAsia="Times New Roman" w:hAnsi="Times New Roman"/>
            <w:sz w:val="18"/>
            <w:szCs w:val="18"/>
            <w:u w:val="single" w:color="auto"/>
            <w:color w:val="0000EE"/>
          </w:rPr>
          <w:t>Settlement Agreement, dated March 13, 2017, by and between Supernus Pharmaceuticals, Inc., Actavis</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Laboratories, FL, Inc., Actavis Pharma, Inc., and Watson Laboratories, Inc. (incorporated by reference to</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Exhibit 10.3 to the Company's Quarterly Report on Form 10-Q for the period ended March 31, 2017, filed on</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May 9, 2017, File No. 001-35518).</w:t>
        </w:r>
      </w:hyperlink>
    </w:p>
    <w:p>
      <w:pPr>
        <w:spacing w:after="0" w:line="190" w:lineRule="exact"/>
        <w:rPr>
          <w:rFonts w:ascii="Times New Roman" w:cs="Times New Roman" w:eastAsia="Times New Roman" w:hAnsi="Times New Roman"/>
          <w:sz w:val="18"/>
          <w:szCs w:val="18"/>
          <w:u w:val="single" w:color="auto"/>
          <w:color w:val="0000EE"/>
        </w:rPr>
      </w:pPr>
    </w:p>
    <w:p>
      <w:pPr>
        <w:ind w:left="2300" w:right="6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208">
        <w:r>
          <w:rPr>
            <w:rFonts w:ascii="Times New Roman" w:cs="Times New Roman" w:eastAsia="Times New Roman" w:hAnsi="Times New Roman"/>
            <w:sz w:val="18"/>
            <w:szCs w:val="18"/>
            <w:u w:val="single" w:color="auto"/>
            <w:color w:val="0000EE"/>
          </w:rPr>
          <w:t>Base Convertible Bond Hedge Transaction, dated March 14, 2018, between Deutsche Bank AG, London Branch</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and Supernus Pharmaceuticals, Inc. (incorporated by reference to Exhibit 10.1 to the Form 8-K filed on</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March 20, 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2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209">
        <w:r>
          <w:rPr>
            <w:rFonts w:ascii="Times New Roman" w:cs="Times New Roman" w:eastAsia="Times New Roman" w:hAnsi="Times New Roman"/>
            <w:sz w:val="18"/>
            <w:szCs w:val="18"/>
            <w:u w:val="single" w:color="auto"/>
            <w:color w:val="0000EE"/>
          </w:rPr>
          <w:t>Base Convertible Bond Hedge Transaction, dated March 14, 2018, between Bank of America, N.A. and</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Supernus Pharmaceuticals, Inc. (incorporated by reference to Exhibit 10.2 to the Form 8-K filed on March 20,</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2300" w:right="2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210">
        <w:r>
          <w:rPr>
            <w:rFonts w:ascii="Times New Roman" w:cs="Times New Roman" w:eastAsia="Times New Roman" w:hAnsi="Times New Roman"/>
            <w:sz w:val="18"/>
            <w:szCs w:val="18"/>
            <w:u w:val="single" w:color="auto"/>
            <w:color w:val="0000EE"/>
          </w:rPr>
          <w:t>Base Convertible Bond Hedge Transaction, dated March 14, 2018, between JPMorgan Chase Bank, National</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Association, London Branch and Supernus Pharmaceuticals, Inc. (incorporated by reference to Exhibit 10.3 to</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the Form 8-K filed on March 20, 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2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211">
        <w:r>
          <w:rPr>
            <w:rFonts w:ascii="Times New Roman" w:cs="Times New Roman" w:eastAsia="Times New Roman" w:hAnsi="Times New Roman"/>
            <w:sz w:val="18"/>
            <w:szCs w:val="18"/>
            <w:u w:val="single" w:color="auto"/>
            <w:color w:val="0000EE"/>
          </w:rPr>
          <w:t>Base Issuer Warrant Transaction, dated March 14, 2018, between Deutsche Bank AG, London Branch and</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Supernus Pharmaceuticals, Inc. (incorporated by reference to Exhibit 10.4 to the Form 8-K filed on March 20,</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2018, File No. 001-35518).</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30" w:lineRule="exact"/>
        <w:rPr>
          <w:rFonts w:ascii="Times New Roman" w:cs="Times New Roman" w:eastAsia="Times New Roman" w:hAnsi="Times New Roman"/>
          <w:sz w:val="18"/>
          <w:szCs w:val="18"/>
          <w:u w:val="single" w:color="auto"/>
          <w:color w:val="0000EE"/>
        </w:rPr>
      </w:pPr>
    </w:p>
    <w:p>
      <w:pPr>
        <w:ind w:left="558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25" w:right="139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380" w:type="dxa"/>
            <w:vAlign w:val="bottom"/>
            <w:gridSpan w:val="4"/>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5"/>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20" w:type="dxa"/>
            <w:vAlign w:val="bottom"/>
          </w:tcPr>
          <w:p>
            <w:pPr>
              <w:spacing w:after="0"/>
              <w:rPr>
                <w:sz w:val="14"/>
                <w:szCs w:val="14"/>
                <w:color w:val="auto"/>
              </w:rPr>
            </w:pPr>
          </w:p>
        </w:tc>
        <w:tc>
          <w:tcPr>
            <w:tcW w:w="1240" w:type="dxa"/>
            <w:vAlign w:val="bottom"/>
            <w:tcBorders>
              <w:bottom w:val="single" w:sz="8" w:color="auto"/>
            </w:tcBorders>
            <w:gridSpan w:val="2"/>
          </w:tcPr>
          <w:p>
            <w:pPr>
              <w:spacing w:after="0"/>
              <w:rPr>
                <w:sz w:val="14"/>
                <w:szCs w:val="14"/>
                <w:color w:val="auto"/>
              </w:rPr>
            </w:pPr>
          </w:p>
        </w:tc>
        <w:tc>
          <w:tcPr>
            <w:tcW w:w="6740" w:type="dxa"/>
            <w:vAlign w:val="bottom"/>
            <w:tcBorders>
              <w:bottom w:val="single" w:sz="8" w:color="auto"/>
            </w:tcBorders>
            <w:gridSpan w:val="3"/>
          </w:tcPr>
          <w:p>
            <w:pPr>
              <w:ind w:left="2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120" w:type="dxa"/>
            <w:vAlign w:val="bottom"/>
            <w:gridSpan w:val="7"/>
          </w:tcPr>
          <w:p>
            <w:pPr>
              <w:ind w:left="420"/>
              <w:spacing w:after="0" w:line="17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10.42*   </w:t>
            </w:r>
            <w:hyperlink r:id="rId213">
              <w:r>
                <w:rPr>
                  <w:rFonts w:ascii="Times New Roman" w:cs="Times New Roman" w:eastAsia="Times New Roman" w:hAnsi="Times New Roman"/>
                  <w:sz w:val="18"/>
                  <w:szCs w:val="18"/>
                  <w:color w:val="0000EE"/>
                </w:rPr>
                <w:t>Base Issuer Warrant Transaction, dated March 14, 2018, between Bank of America, N.A. and Supernus</w:t>
              </w:r>
            </w:hyperlink>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Pharmaceuticals,</w:t>
              </w:r>
            </w:hyperlink>
          </w:p>
        </w:tc>
        <w:tc>
          <w:tcPr>
            <w:tcW w:w="6740" w:type="dxa"/>
            <w:vAlign w:val="bottom"/>
            <w:gridSpan w:val="3"/>
          </w:tcPr>
          <w:p>
            <w:pPr>
              <w:ind w:left="40"/>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Inc. (incorporated by reference to Exhibit 10.5 to the Form 8-K filed on March 20, 2018, File</w:t>
              </w:r>
            </w:hyperlink>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No. 001-35518).</w:t>
              </w:r>
            </w:hyperlink>
          </w:p>
        </w:tc>
        <w:tc>
          <w:tcPr>
            <w:tcW w:w="60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300" w:right="16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214">
        <w:r>
          <w:rPr>
            <w:rFonts w:ascii="Times New Roman" w:cs="Times New Roman" w:eastAsia="Times New Roman" w:hAnsi="Times New Roman"/>
            <w:sz w:val="18"/>
            <w:szCs w:val="18"/>
            <w:u w:val="single" w:color="auto"/>
            <w:color w:val="0000EE"/>
          </w:rPr>
          <w:t>Base Issuer Transaction, dated March 14, 2018, between JPMorgan Chase Bank, National Association, London</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Branch and Supernus Pharmaceuticals, Inc. (incorporated by reference to Exhibit 10.6 to the Form 8-K filed on</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March 20, 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2300" w:right="16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215">
        <w:r>
          <w:rPr>
            <w:rFonts w:ascii="Times New Roman" w:cs="Times New Roman" w:eastAsia="Times New Roman" w:hAnsi="Times New Roman"/>
            <w:sz w:val="18"/>
            <w:szCs w:val="18"/>
            <w:u w:val="single" w:color="auto"/>
            <w:color w:val="0000EE"/>
          </w:rPr>
          <w:t>Additional Convertible Bond Hedge Transaction, dated March 15, 2018, between Deutsche Bank AG, London</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Branch and Supernus Pharmaceuticals, Inc. (incorporated by reference to Exhibit 10.7 to the Form 8-K filed on</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March 20, 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2300" w:right="24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10.45*</w:t>
      </w:r>
      <w:r>
        <w:rPr>
          <w:sz w:val="20"/>
          <w:szCs w:val="20"/>
          <w:color w:val="auto"/>
        </w:rPr>
        <w:tab/>
      </w:r>
      <w:hyperlink r:id="rId216">
        <w:r>
          <w:rPr>
            <w:rFonts w:ascii="Times New Roman" w:cs="Times New Roman" w:eastAsia="Times New Roman" w:hAnsi="Times New Roman"/>
            <w:sz w:val="18"/>
            <w:szCs w:val="18"/>
            <w:u w:val="single" w:color="auto"/>
            <w:color w:val="0000EE"/>
          </w:rPr>
          <w:t>Additional Convertible Bond Hedge Transaction, dated March 15, 2018, between Bank of America, N.A. and</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Supernus Pharmaceuticals, Inc. (incorporated by reference to Exhibit 10.8 to the Form 8-K filed on March 20,</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58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217">
        <w:r>
          <w:rPr>
            <w:rFonts w:ascii="Times New Roman" w:cs="Times New Roman" w:eastAsia="Times New Roman" w:hAnsi="Times New Roman"/>
            <w:sz w:val="18"/>
            <w:szCs w:val="18"/>
            <w:u w:val="single" w:color="auto"/>
            <w:color w:val="0000EE"/>
          </w:rPr>
          <w:t>Additional Convertible Bond Hedge Transaction, dated March 15, 2018, between JPMorgan Chase Bank,</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National Association, London Branch and Supernus Pharmaceuticals, Inc. (incorporated by reference to</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Exhibit 10.9 to the Form 8-K filed on March 20, 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2300" w:right="10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10.47*</w:t>
      </w:r>
      <w:r>
        <w:rPr>
          <w:sz w:val="20"/>
          <w:szCs w:val="20"/>
          <w:color w:val="auto"/>
        </w:rPr>
        <w:tab/>
      </w:r>
      <w:hyperlink r:id="rId218">
        <w:r>
          <w:rPr>
            <w:rFonts w:ascii="Times New Roman" w:cs="Times New Roman" w:eastAsia="Times New Roman" w:hAnsi="Times New Roman"/>
            <w:sz w:val="18"/>
            <w:szCs w:val="18"/>
            <w:u w:val="single" w:color="auto"/>
            <w:color w:val="0000EE"/>
          </w:rPr>
          <w:t>Additional Issuer Warrant Transaction, dated March 15, 2018, between Deutsche Bank AG, London Branch and</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Supernus Pharmaceuticals, Inc. (incorporated by reference to Exhibit 10.10 to the Form 8-K filed on March 20,</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12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10.48*</w:t>
      </w:r>
      <w:r>
        <w:rPr>
          <w:sz w:val="20"/>
          <w:szCs w:val="20"/>
          <w:color w:val="auto"/>
        </w:rPr>
        <w:tab/>
      </w:r>
      <w:hyperlink r:id="rId219">
        <w:r>
          <w:rPr>
            <w:rFonts w:ascii="Times New Roman" w:cs="Times New Roman" w:eastAsia="Times New Roman" w:hAnsi="Times New Roman"/>
            <w:sz w:val="18"/>
            <w:szCs w:val="18"/>
            <w:u w:val="single" w:color="auto"/>
            <w:color w:val="0000EE"/>
          </w:rPr>
          <w:t>Additional Issuer Warrant Transaction, dated March 15, 2018, between Bank of America, N.A. and Supernus</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Pharmaceuticals, Inc. (incorporated by reference to Exhibit 10.11 to the Form 8-K filed on March 20, 2018, File</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80" w:hanging="718"/>
        <w:spacing w:after="0" w:line="262"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10.49*</w:t>
      </w:r>
      <w:r>
        <w:rPr>
          <w:sz w:val="20"/>
          <w:szCs w:val="20"/>
          <w:color w:val="auto"/>
        </w:rPr>
        <w:tab/>
      </w:r>
      <w:hyperlink r:id="rId220">
        <w:r>
          <w:rPr>
            <w:rFonts w:ascii="Times New Roman" w:cs="Times New Roman" w:eastAsia="Times New Roman" w:hAnsi="Times New Roman"/>
            <w:sz w:val="18"/>
            <w:szCs w:val="18"/>
            <w:u w:val="single" w:color="auto"/>
            <w:color w:val="0000EE"/>
          </w:rPr>
          <w:t>Additional Issuer Transaction, dated March 15, 2018, between JPMorgan Chase Bank, National Association,</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London Branch and Supernus Pharmaceuticals, Inc. (incorporated by reference to Exhibit 10.12 to the Form 8-K</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filed on March 20, 2018, File No. 001-35518).</w:t>
        </w:r>
      </w:hyperlink>
    </w:p>
    <w:p>
      <w:pPr>
        <w:spacing w:after="0" w:line="186" w:lineRule="exact"/>
        <w:rPr>
          <w:rFonts w:ascii="Times New Roman" w:cs="Times New Roman" w:eastAsia="Times New Roman" w:hAnsi="Times New Roman"/>
          <w:sz w:val="18"/>
          <w:szCs w:val="18"/>
          <w:u w:val="single" w:color="auto"/>
          <w:color w:val="0000EE"/>
        </w:rPr>
      </w:pPr>
    </w:p>
    <w:p>
      <w:pPr>
        <w:ind w:left="2300" w:right="280" w:hanging="718"/>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10.50*+ </w:t>
      </w:r>
      <w:hyperlink r:id="rId221">
        <w:r>
          <w:rPr>
            <w:rFonts w:ascii="Times New Roman" w:cs="Times New Roman" w:eastAsia="Times New Roman" w:hAnsi="Times New Roman"/>
            <w:sz w:val="18"/>
            <w:szCs w:val="18"/>
            <w:u w:val="single" w:color="auto"/>
            <w:color w:val="0000EE"/>
          </w:rPr>
          <w:t>Third Amendment to Amended and Restated Employment Agreement, dated May 8, 2018, between Supernus</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u w:val="single" w:color="auto"/>
            <w:color w:val="0000EE"/>
          </w:rPr>
          <w:t>Pharmaceuticals, Inc. and Jack Khattar (incorporated by reference to Exhibit 10.1 to the Form 8-K filed on</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May 11, 2018, File No. 001-35518).</w:t>
        </w:r>
      </w:hyperlink>
    </w:p>
    <w:p>
      <w:pPr>
        <w:spacing w:after="0" w:line="186" w:lineRule="exact"/>
        <w:rPr>
          <w:rFonts w:ascii="Times New Roman" w:cs="Times New Roman" w:eastAsia="Times New Roman" w:hAnsi="Times New Roman"/>
          <w:sz w:val="18"/>
          <w:szCs w:val="18"/>
          <w:color w:val="auto"/>
        </w:rPr>
      </w:pPr>
    </w:p>
    <w:p>
      <w:pPr>
        <w:ind w:left="2300" w:right="580" w:hanging="718"/>
        <w:spacing w:after="0" w:line="275"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10.51*+ </w:t>
      </w:r>
      <w:hyperlink r:id="rId222">
        <w:r>
          <w:rPr>
            <w:rFonts w:ascii="Times New Roman" w:cs="Times New Roman" w:eastAsia="Times New Roman" w:hAnsi="Times New Roman"/>
            <w:sz w:val="18"/>
            <w:szCs w:val="18"/>
            <w:u w:val="single" w:color="auto"/>
            <w:color w:val="0000EE"/>
          </w:rPr>
          <w:t>Form of Amendment to Executive Retention Agreement (incorporated by reference to Exhibit 10.2 to the</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0000EE"/>
          </w:rPr>
          <w:t>Form 8-K filed on May 11, 2018, File No. 001-35518).</w:t>
        </w:r>
      </w:hyperlink>
    </w:p>
    <w:p>
      <w:pPr>
        <w:spacing w:after="0" w:line="174" w:lineRule="exact"/>
        <w:rPr>
          <w:sz w:val="20"/>
          <w:szCs w:val="20"/>
          <w:color w:val="auto"/>
        </w:rPr>
      </w:pPr>
    </w:p>
    <w:p>
      <w:pPr>
        <w:ind w:left="1580"/>
        <w:spacing w:after="0"/>
        <w:tabs>
          <w:tab w:leader="none" w:pos="22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10.52*</w:t>
      </w:r>
      <w:r>
        <w:rPr>
          <w:sz w:val="20"/>
          <w:szCs w:val="20"/>
          <w:color w:val="auto"/>
        </w:rPr>
        <w:tab/>
      </w:r>
      <w:hyperlink r:id="rId223">
        <w:r>
          <w:rPr>
            <w:rFonts w:ascii="Times New Roman" w:cs="Times New Roman" w:eastAsia="Times New Roman" w:hAnsi="Times New Roman"/>
            <w:sz w:val="16"/>
            <w:szCs w:val="16"/>
            <w:u w:val="single" w:color="auto"/>
            <w:color w:val="0000EE"/>
          </w:rPr>
          <w:t>Lease Agreement, dated January 31, 2019, between Advent Key West, LLC and Supernus Pharmaceuticals, Inc.</w:t>
        </w:r>
      </w:hyperlink>
    </w:p>
    <w:p>
      <w:pPr>
        <w:spacing w:after="0" w:line="21" w:lineRule="exact"/>
        <w:rPr>
          <w:sz w:val="20"/>
          <w:szCs w:val="20"/>
          <w:color w:val="auto"/>
        </w:rPr>
      </w:pPr>
    </w:p>
    <w:p>
      <w:pPr>
        <w:ind w:left="2300"/>
        <w:spacing w:after="0"/>
        <w:rPr>
          <w:rFonts w:ascii="Times New Roman" w:cs="Times New Roman" w:eastAsia="Times New Roman" w:hAnsi="Times New Roman"/>
          <w:sz w:val="18"/>
          <w:szCs w:val="18"/>
          <w:u w:val="single" w:color="auto"/>
          <w:color w:val="0000EE"/>
        </w:rPr>
      </w:pPr>
      <w:hyperlink r:id="rId223">
        <w:r>
          <w:rPr>
            <w:rFonts w:ascii="Times New Roman" w:cs="Times New Roman" w:eastAsia="Times New Roman" w:hAnsi="Times New Roman"/>
            <w:sz w:val="18"/>
            <w:szCs w:val="18"/>
            <w:u w:val="single" w:color="auto"/>
            <w:color w:val="0000EE"/>
          </w:rPr>
          <w:t>(incorporated by reference to Exhibit 10.1 to the Form 8-K filed on February 5, 2019, File No. 001-35518).</w:t>
        </w:r>
      </w:hyperlink>
    </w:p>
    <w:p>
      <w:pPr>
        <w:spacing w:after="0" w:line="213" w:lineRule="exact"/>
        <w:rPr>
          <w:sz w:val="20"/>
          <w:szCs w:val="20"/>
          <w:color w:val="auto"/>
        </w:rPr>
      </w:pPr>
    </w:p>
    <w:p>
      <w:pPr>
        <w:ind w:left="2300" w:right="160" w:hanging="499"/>
        <w:spacing w:after="0" w:line="275" w:lineRule="auto"/>
        <w:tabs>
          <w:tab w:leader="none" w:pos="2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w:t>
      </w:r>
      <w:r>
        <w:rPr>
          <w:sz w:val="20"/>
          <w:szCs w:val="20"/>
          <w:color w:val="auto"/>
        </w:rPr>
        <w:tab/>
      </w:r>
      <w:hyperlink r:id="rId224">
        <w:r>
          <w:rPr>
            <w:rFonts w:ascii="Times New Roman" w:cs="Times New Roman" w:eastAsia="Times New Roman" w:hAnsi="Times New Roman"/>
            <w:sz w:val="18"/>
            <w:szCs w:val="18"/>
            <w:u w:val="single" w:color="auto"/>
            <w:color w:val="0000EE"/>
          </w:rPr>
          <w:t>Code of Ethics (incorporated by reference to Exhibit 14 to the Company's Annual Report on Form 10-K for the</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period ended December 31, 2012, filed on March 15, 2013, File No. 001-35518).</w:t>
        </w:r>
      </w:hyperlink>
    </w:p>
    <w:p>
      <w:pPr>
        <w:spacing w:after="0" w:line="174" w:lineRule="exact"/>
        <w:rPr>
          <w:sz w:val="20"/>
          <w:szCs w:val="20"/>
          <w:color w:val="auto"/>
        </w:rPr>
      </w:pPr>
    </w:p>
    <w:p>
      <w:pPr>
        <w:ind w:left="1800"/>
        <w:spacing w:after="0"/>
        <w:tabs>
          <w:tab w:leader="none" w:pos="22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w:anchor="page139">
        <w:r>
          <w:rPr>
            <w:rFonts w:ascii="Times New Roman" w:cs="Times New Roman" w:eastAsia="Times New Roman" w:hAnsi="Times New Roman"/>
            <w:sz w:val="16"/>
            <w:szCs w:val="16"/>
            <w:u w:val="single" w:color="auto"/>
            <w:color w:val="0000EE"/>
          </w:rPr>
          <w:t>Subsidiaries of the Registrant.</w:t>
        </w:r>
      </w:hyperlink>
    </w:p>
    <w:p>
      <w:pPr>
        <w:spacing w:after="0" w:line="225" w:lineRule="exact"/>
        <w:rPr>
          <w:sz w:val="20"/>
          <w:szCs w:val="20"/>
          <w:color w:val="auto"/>
        </w:rPr>
      </w:pPr>
    </w:p>
    <w:p>
      <w:pPr>
        <w:ind w:left="1660"/>
        <w:spacing w:after="0"/>
        <w:tabs>
          <w:tab w:leader="none" w:pos="22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141">
        <w:r>
          <w:rPr>
            <w:rFonts w:ascii="Times New Roman" w:cs="Times New Roman" w:eastAsia="Times New Roman" w:hAnsi="Times New Roman"/>
            <w:sz w:val="16"/>
            <w:szCs w:val="16"/>
            <w:u w:val="single" w:color="auto"/>
            <w:color w:val="0000EE"/>
          </w:rPr>
          <w:t>Consent of KPMG LLP</w:t>
        </w:r>
      </w:hyperlink>
    </w:p>
    <w:p>
      <w:pPr>
        <w:spacing w:after="0" w:line="225" w:lineRule="exact"/>
        <w:rPr>
          <w:sz w:val="20"/>
          <w:szCs w:val="20"/>
          <w:color w:val="auto"/>
        </w:rPr>
      </w:pPr>
    </w:p>
    <w:p>
      <w:pPr>
        <w:ind w:left="1660"/>
        <w:spacing w:after="0"/>
        <w:tabs>
          <w:tab w:leader="none" w:pos="22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143">
        <w:r>
          <w:rPr>
            <w:rFonts w:ascii="Times New Roman" w:cs="Times New Roman" w:eastAsia="Times New Roman" w:hAnsi="Times New Roman"/>
            <w:sz w:val="16"/>
            <w:szCs w:val="16"/>
            <w:u w:val="single" w:color="auto"/>
            <w:color w:val="0000EE"/>
          </w:rPr>
          <w:t>Certification of Chief Executive Officer pursuant to Rule 13a-14(a).</w:t>
        </w:r>
      </w:hyperlink>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14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4"/>
                <w:szCs w:val="14"/>
                <w:color w:val="auto"/>
              </w:rPr>
            </w:pPr>
          </w:p>
        </w:tc>
        <w:tc>
          <w:tcPr>
            <w:tcW w:w="7960" w:type="dxa"/>
            <w:vAlign w:val="bottom"/>
            <w:gridSpan w:val="7"/>
          </w:tcPr>
          <w:p>
            <w:pPr>
              <w:spacing w:after="0" w:line="170"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Certification of Chief Financial Officer pursuant to Rule 13a-14(a).</w:t>
              </w:r>
            </w:hyperlink>
          </w:p>
        </w:tc>
      </w:tr>
      <w:tr>
        <w:trPr>
          <w:trHeight w:val="20"/>
        </w:trPr>
        <w:tc>
          <w:tcPr>
            <w:tcW w:w="1140" w:type="dxa"/>
            <w:vAlign w:val="bottom"/>
            <w:gridSpan w:val="2"/>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7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147">
              <w:r>
                <w:rPr>
                  <w:rFonts w:ascii="Times New Roman" w:cs="Times New Roman" w:eastAsia="Times New Roman" w:hAnsi="Times New Roman"/>
                  <w:sz w:val="18"/>
                  <w:szCs w:val="18"/>
                  <w:color w:val="0000EE"/>
                  <w:w w:val="97"/>
                </w:rPr>
                <w:t>Certification of Chief Executive Officer pursuant to 18 U.S.C. Section 1350, as adopted pursuant to Section 906</w:t>
              </w:r>
            </w:hyperlink>
          </w:p>
        </w:tc>
        <w:tc>
          <w:tcPr>
            <w:tcW w:w="1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47">
              <w:r>
                <w:rPr>
                  <w:rFonts w:ascii="Times New Roman" w:cs="Times New Roman" w:eastAsia="Times New Roman" w:hAnsi="Times New Roman"/>
                  <w:sz w:val="18"/>
                  <w:szCs w:val="18"/>
                  <w:color w:val="0000EE"/>
                  <w:w w:val="97"/>
                </w:rPr>
                <w:t>of the Sarbanes-Oxley Act of 2002.</w:t>
              </w:r>
            </w:hyperlink>
          </w:p>
        </w:tc>
        <w:tc>
          <w:tcPr>
            <w:tcW w:w="5460" w:type="dxa"/>
            <w:vAlign w:val="bottom"/>
            <w:gridSpan w:val="4"/>
          </w:tcPr>
          <w:p>
            <w:pPr>
              <w:spacing w:after="0"/>
              <w:rPr>
                <w:sz w:val="17"/>
                <w:szCs w:val="17"/>
                <w:color w:val="auto"/>
              </w:rPr>
            </w:pPr>
          </w:p>
        </w:tc>
      </w:tr>
      <w:tr>
        <w:trPr>
          <w:trHeight w:val="412"/>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7980" w:type="dxa"/>
            <w:vAlign w:val="bottom"/>
            <w:gridSpan w:val="8"/>
          </w:tcPr>
          <w:p>
            <w:pPr>
              <w:spacing w:after="0"/>
              <w:rPr>
                <w:rFonts w:ascii="Times New Roman" w:cs="Times New Roman" w:eastAsia="Times New Roman" w:hAnsi="Times New Roman"/>
                <w:sz w:val="18"/>
                <w:szCs w:val="18"/>
                <w:color w:val="0000EE"/>
                <w:w w:val="99"/>
              </w:rPr>
            </w:pPr>
            <w:hyperlink w:anchor="page149">
              <w:r>
                <w:rPr>
                  <w:rFonts w:ascii="Times New Roman" w:cs="Times New Roman" w:eastAsia="Times New Roman" w:hAnsi="Times New Roman"/>
                  <w:sz w:val="18"/>
                  <w:szCs w:val="18"/>
                  <w:color w:val="0000EE"/>
                  <w:w w:val="99"/>
                </w:rPr>
                <w:t>Certification of Chief Financial Officer pursuant to 18 U.S.C. Section 1350, as adopted pursuant to Section 906</w:t>
              </w:r>
            </w:hyperlink>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49">
              <w:r>
                <w:rPr>
                  <w:rFonts w:ascii="Times New Roman" w:cs="Times New Roman" w:eastAsia="Times New Roman" w:hAnsi="Times New Roman"/>
                  <w:sz w:val="18"/>
                  <w:szCs w:val="18"/>
                  <w:color w:val="0000EE"/>
                  <w:w w:val="96"/>
                </w:rPr>
                <w:t>of the Sarbanes-Oxley Act of 2002.</w:t>
              </w:r>
            </w:hyperlink>
          </w:p>
        </w:tc>
        <w:tc>
          <w:tcPr>
            <w:tcW w:w="532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451"/>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INS**</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SCH**</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Documents.</w:t>
            </w:r>
          </w:p>
        </w:tc>
      </w:tr>
      <w:tr>
        <w:trPr>
          <w:trHeight w:val="432"/>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CAL**</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DEF**</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LAB**</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Label/Linkbase Document.</w:t>
            </w:r>
          </w:p>
        </w:tc>
      </w:tr>
      <w:tr>
        <w:trPr>
          <w:trHeight w:val="432"/>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PRE**</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110"/>
        </w:trPr>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15" w:lineRule="exact"/>
        <w:rPr>
          <w:sz w:val="20"/>
          <w:szCs w:val="20"/>
          <w:color w:val="auto"/>
        </w:rPr>
      </w:pPr>
    </w:p>
    <w:p>
      <w:pPr>
        <w:jc w:val="both"/>
        <w:ind w:left="1680" w:hanging="531"/>
        <w:spacing w:after="0" w:line="262" w:lineRule="auto"/>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treatment requested under 17 C.F.R. §§200.80(b)(4) and 230.406. The confidential portions of this exhibit have been omitted and are marked accordingly. The confidential portions have been filed separately with the Securities and Exchange Commission pursuant to the </w:t>
      </w:r>
      <w:r>
        <w:rPr>
          <w:rFonts w:ascii="Times New Roman" w:cs="Times New Roman" w:eastAsia="Times New Roman" w:hAnsi="Times New Roman"/>
          <w:sz w:val="18"/>
          <w:szCs w:val="18"/>
          <w:b w:val="1"/>
          <w:bCs w:val="1"/>
          <w:color w:val="auto"/>
        </w:rPr>
        <w:t>Confidential Treatment Request.</w:t>
      </w:r>
    </w:p>
    <w:p>
      <w:pPr>
        <w:spacing w:after="0" w:line="213" w:lineRule="exact"/>
        <w:rPr>
          <w:sz w:val="20"/>
          <w:szCs w:val="20"/>
          <w:color w:val="auto"/>
        </w:rPr>
      </w:pPr>
    </w:p>
    <w:p>
      <w:pPr>
        <w:ind w:left="1680" w:hanging="531"/>
        <w:spacing w:after="0"/>
        <w:tabs>
          <w:tab w:leader="none" w:pos="1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in which directors or officers participate.</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Previously filed.</w:t>
      </w:r>
    </w:p>
    <w:p>
      <w:pPr>
        <w:spacing w:after="0" w:line="238"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Securities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54"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74930</wp:posOffset>
            </wp:positionV>
            <wp:extent cx="2701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Times New Roman" w:cs="Times New Roman" w:eastAsia="Times New Roman" w:hAnsi="Times New Roman"/>
          <w:sz w:val="18"/>
          <w:szCs w:val="18"/>
          <w:color w:val="auto"/>
        </w:rPr>
        <w:t>Name:</w:t>
        <w:tab/>
        <w:t>Jack A. Khattar</w:t>
      </w:r>
    </w:p>
    <w:p>
      <w:pPr>
        <w:spacing w:after="0" w:line="21" w:lineRule="exact"/>
        <w:rPr>
          <w:sz w:val="20"/>
          <w:szCs w:val="20"/>
          <w:color w:val="auto"/>
        </w:rPr>
      </w:pPr>
    </w:p>
    <w:p>
      <w:pPr>
        <w:ind w:left="60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and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2019</w:t>
      </w:r>
    </w:p>
    <w:p>
      <w:pPr>
        <w:spacing w:after="0" w:line="2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the dates indicated below:</w:t>
      </w:r>
    </w:p>
    <w:p>
      <w:pPr>
        <w:spacing w:after="0" w:line="171" w:lineRule="exact"/>
        <w:rPr>
          <w:sz w:val="20"/>
          <w:szCs w:val="20"/>
          <w:color w:val="auto"/>
        </w:rPr>
      </w:pPr>
    </w:p>
    <w:p>
      <w:pPr>
        <w:ind w:left="2020"/>
        <w:spacing w:after="0"/>
        <w:tabs>
          <w:tab w:leader="none" w:pos="6940" w:val="left"/>
          <w:tab w:leader="none" w:pos="1038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2"/>
          <w:szCs w:val="12"/>
          <w:b w:val="1"/>
          <w:bCs w:val="1"/>
          <w:u w:val="single" w:color="auto"/>
          <w:color w:val="auto"/>
        </w:rPr>
        <w:t>Date</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9159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9159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CHARLES W. NEWHALL,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9159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/s/ CARROLEE BARLOW,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9159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9159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FREDERICK M.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9159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 JOHN M. SIEBERT,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9159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 (Principal</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4"/>
              </w:rPr>
              <w:t>March 1, 2019</w:t>
            </w:r>
          </w:p>
        </w:tc>
        <w:tc>
          <w:tcPr>
            <w:tcW w:w="0" w:type="dxa"/>
            <w:vAlign w:val="bottom"/>
          </w:tcPr>
          <w:p>
            <w:pPr>
              <w:spacing w:after="0"/>
              <w:rPr>
                <w:sz w:val="1"/>
                <w:szCs w:val="1"/>
                <w:color w:val="auto"/>
              </w:rPr>
            </w:pPr>
          </w:p>
        </w:tc>
      </w:tr>
      <w:tr>
        <w:trPr>
          <w:trHeight w:val="1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 (Principal Financial</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4"/>
              </w:rPr>
              <w:t>March 1, 2019</w:t>
            </w:r>
          </w:p>
        </w:tc>
        <w:tc>
          <w:tcPr>
            <w:tcW w:w="0" w:type="dxa"/>
            <w:vAlign w:val="bottom"/>
          </w:tcPr>
          <w:p>
            <w:pPr>
              <w:spacing w:after="0"/>
              <w:rPr>
                <w:sz w:val="1"/>
                <w:szCs w:val="1"/>
                <w:color w:val="auto"/>
              </w:rPr>
            </w:pPr>
          </w:p>
        </w:tc>
      </w:tr>
      <w:tr>
        <w:trPr>
          <w:trHeight w:val="1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4"/>
              </w:rPr>
              <w:t>March 1, 2019</w:t>
            </w: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4"/>
              </w:rPr>
              <w:t>March 1, 2019</w:t>
            </w: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4"/>
              </w:rPr>
              <w:t>March 1, 2019</w:t>
            </w: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4"/>
              </w:rPr>
              <w:t>March 1, 2019</w:t>
            </w: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4"/>
              </w:rPr>
              <w:t>March 1,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100" w:space="720"/>
            <w:col w:w="6560"/>
          </w:cols>
          <w:pgMar w:left="240" w:top="125" w:right="279" w:bottom="1440" w:gutter="0" w:footer="0" w:header="0"/>
          <w:type w:val="continuous"/>
        </w:sectPr>
      </w:pP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37" w:name="page138"/>
    <w:bookmarkEnd w:id="1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spacing w:after="0"/>
        <w:rPr>
          <w:rFonts w:ascii="Times New Roman" w:cs="Times New Roman" w:eastAsia="Times New Roman" w:hAnsi="Times New Roman"/>
          <w:sz w:val="22"/>
          <w:szCs w:val="22"/>
          <w:color w:val="0000EE"/>
        </w:rPr>
      </w:pPr>
      <w:hyperlink w:anchor="page14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SUPERNUS PHARMACUTICALS,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0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4920" w:type="dxa"/>
            <w:vAlign w:val="bottom"/>
            <w:gridSpan w:val="4"/>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6"/>
              </w:rPr>
              <w:t>Jurisdiction of Organization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Supernus Europe Ltd.</w:t>
            </w:r>
          </w:p>
        </w:tc>
        <w:tc>
          <w:tcPr>
            <w:tcW w:w="20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5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Biscayne Neurotherapeutics, Inc.</w:t>
            </w:r>
          </w:p>
        </w:tc>
        <w:tc>
          <w:tcPr>
            <w:tcW w:w="2080" w:type="dxa"/>
            <w:vAlign w:val="bottom"/>
          </w:tcPr>
          <w:p>
            <w:pPr>
              <w:spacing w:after="0"/>
              <w:rPr>
                <w:sz w:val="24"/>
                <w:szCs w:val="24"/>
                <w:color w:val="auto"/>
              </w:rPr>
            </w:pPr>
          </w:p>
        </w:tc>
        <w:tc>
          <w:tcPr>
            <w:tcW w:w="284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60"/>
        </w:trPr>
        <w:tc>
          <w:tcPr>
            <w:tcW w:w="1160" w:type="dxa"/>
            <w:vAlign w:val="bottom"/>
          </w:tcPr>
          <w:p>
            <w:pPr>
              <w:spacing w:after="0"/>
              <w:rPr>
                <w:sz w:val="24"/>
                <w:szCs w:val="24"/>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Biscayne Neurotherapeutics Australia Pty Ltd.</w:t>
            </w:r>
          </w:p>
        </w:tc>
        <w:tc>
          <w:tcPr>
            <w:tcW w:w="208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Australia</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EXHIBIT 21</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39">
        <w:r>
          <w:rPr>
            <w:rFonts w:ascii="Times New Roman" w:cs="Times New Roman" w:eastAsia="Times New Roman" w:hAnsi="Times New Roman"/>
            <w:sz w:val="16"/>
            <w:szCs w:val="16"/>
            <w:u w:val="single" w:color="auto"/>
            <w:color w:val="0000EE"/>
          </w:rPr>
          <w:t>SUBSIDIARIES OF SUPERNUS PHARMACUTICALS, INC.</w:t>
        </w:r>
      </w:hyperlink>
    </w:p>
    <w:p>
      <w:pPr>
        <w:sectPr>
          <w:pgSz w:w="11900" w:h="16838" w:orient="portrait"/>
          <w:cols w:equalWidth="0" w:num="1">
            <w:col w:w="10219"/>
          </w:cols>
          <w:pgMar w:left="240" w:top="814" w:right="1440" w:bottom="1440" w:gutter="0" w:footer="0" w:header="0"/>
        </w:sectPr>
      </w:pPr>
    </w:p>
    <w:bookmarkStart w:id="140" w:name="page141"/>
    <w:bookmarkEnd w:id="140"/>
    <w:p>
      <w:pPr>
        <w:spacing w:after="0"/>
        <w:rPr>
          <w:rFonts w:ascii="Times New Roman" w:cs="Times New Roman" w:eastAsia="Times New Roman" w:hAnsi="Times New Roman"/>
          <w:sz w:val="22"/>
          <w:szCs w:val="22"/>
          <w:color w:val="0000EE"/>
        </w:rPr>
      </w:pPr>
      <w:hyperlink w:anchor="page14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333-181479, 333-201049, 333-216135 on Form S-8, and No. 333-200716 on Form S-3 of Supernus Pharmaceuticals, Inc. of our reports dated March 1, 2019, with respect to the consolidated balance sheets of Supernus Pharmaceuticals, Inc. and subsidiaries as of December 31, 2018 and 2017, and the related consolidated statements of earnings, comprehensive earnings, changes in stockholders' equity,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10-K of Supernus Pharmaceuticals, Inc.</w:t>
      </w:r>
    </w:p>
    <w:p>
      <w:pPr>
        <w:spacing w:after="0" w:line="19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 xml:space="preserve">Our report on the consolidated financial statements refers to the Company's adoption of Financial Accounting Standards Board (FASB)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EXHIBIT 23.1</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41">
        <w:r>
          <w:rPr>
            <w:rFonts w:ascii="Times New Roman" w:cs="Times New Roman" w:eastAsia="Times New Roman" w:hAnsi="Times New Roman"/>
            <w:sz w:val="16"/>
            <w:szCs w:val="16"/>
            <w:u w:val="single" w:color="auto"/>
            <w:color w:val="0000EE"/>
          </w:rPr>
          <w:t>Consent of Independent Registered Public Accounting Firm</w:t>
        </w:r>
      </w:hyperlink>
    </w:p>
    <w:p>
      <w:pPr>
        <w:sectPr>
          <w:pgSz w:w="11900" w:h="16838" w:orient="portrait"/>
          <w:cols w:equalWidth="0" w:num="1">
            <w:col w:w="10219"/>
          </w:cols>
          <w:pgMar w:left="240" w:top="814" w:right="1440" w:bottom="1440" w:gutter="0" w:footer="0" w:header="0"/>
        </w:sectPr>
      </w:pPr>
    </w:p>
    <w:bookmarkStart w:id="142" w:name="page143"/>
    <w:bookmarkEnd w:id="142"/>
    <w:p>
      <w:pPr>
        <w:spacing w:after="0"/>
        <w:rPr>
          <w:rFonts w:ascii="Times New Roman" w:cs="Times New Roman" w:eastAsia="Times New Roman" w:hAnsi="Times New Roman"/>
          <w:sz w:val="22"/>
          <w:szCs w:val="22"/>
          <w:color w:val="0000EE"/>
        </w:rPr>
      </w:pPr>
      <w:hyperlink w:anchor="page144">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A. Khattar, certify that:</w:t>
      </w:r>
    </w:p>
    <w:p>
      <w:pPr>
        <w:spacing w:after="0" w:line="225" w:lineRule="exact"/>
        <w:rPr>
          <w:sz w:val="20"/>
          <w:szCs w:val="20"/>
          <w:color w:val="auto"/>
        </w:rPr>
      </w:pPr>
    </w:p>
    <w:p>
      <w:pPr>
        <w:ind w:left="360" w:hanging="352"/>
        <w:spacing w:after="0"/>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Supernus Pharmaceuticals, Inc.;</w:t>
      </w:r>
    </w:p>
    <w:p>
      <w:pPr>
        <w:spacing w:after="0" w:line="225" w:lineRule="exact"/>
        <w:rPr>
          <w:rFonts w:ascii="Times New Roman" w:cs="Times New Roman" w:eastAsia="Times New Roman" w:hAnsi="Times New Roman"/>
          <w:sz w:val="18"/>
          <w:szCs w:val="18"/>
          <w:color w:val="auto"/>
        </w:rPr>
      </w:pPr>
    </w:p>
    <w:p>
      <w:pPr>
        <w:ind w:right="40" w:firstLine="8"/>
        <w:spacing w:after="0" w:line="275" w:lineRule="auto"/>
        <w:tabs>
          <w:tab w:leader="none" w:pos="3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140" w:firstLine="8"/>
        <w:spacing w:after="0" w:line="275" w:lineRule="auto"/>
        <w:tabs>
          <w:tab w:leader="none" w:pos="3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firstLine="8"/>
        <w:spacing w:after="0" w:line="262" w:lineRule="auto"/>
        <w:tabs>
          <w:tab w:leader="none" w:pos="3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540" w:right="20" w:firstLine="8"/>
        <w:spacing w:after="0" w:line="262" w:lineRule="auto"/>
        <w:tabs>
          <w:tab w:leader="none" w:pos="86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540" w:right="80" w:firstLine="8"/>
        <w:spacing w:after="0" w:line="262" w:lineRule="auto"/>
        <w:tabs>
          <w:tab w:leader="none" w:pos="8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540" w:right="140" w:firstLine="8"/>
        <w:spacing w:after="0" w:line="275" w:lineRule="auto"/>
        <w:tabs>
          <w:tab w:leader="none" w:pos="86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left="540" w:right="200" w:firstLine="8"/>
        <w:spacing w:after="0" w:line="262" w:lineRule="auto"/>
        <w:tabs>
          <w:tab w:leader="none" w:pos="8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right="740" w:firstLine="8"/>
        <w:spacing w:after="0" w:line="275" w:lineRule="auto"/>
        <w:tabs>
          <w:tab w:leader="none" w:pos="3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540" w:right="80" w:firstLine="8"/>
        <w:spacing w:after="0" w:line="275" w:lineRule="auto"/>
        <w:tabs>
          <w:tab w:leader="none" w:pos="86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540" w:right="120" w:firstLine="8"/>
        <w:spacing w:after="0" w:line="275" w:lineRule="auto"/>
        <w:tabs>
          <w:tab w:leader="none" w:pos="8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 March 1, 2019</w:t>
      </w:r>
      <w:r>
        <w:rPr>
          <w:sz w:val="20"/>
          <w:szCs w:val="20"/>
          <w:color w:val="auto"/>
        </w:rPr>
        <w:tab/>
      </w:r>
      <w:r>
        <w:rPr>
          <w:rFonts w:ascii="Times New Roman" w:cs="Times New Roman" w:eastAsia="Times New Roman" w:hAnsi="Times New Roman"/>
          <w:sz w:val="16"/>
          <w:szCs w:val="16"/>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74930</wp:posOffset>
            </wp:positionV>
            <wp:extent cx="2675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Jack A. Khattar</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6"/>
          <w:szCs w:val="16"/>
          <w:u w:val="single" w:color="auto"/>
          <w:color w:val="0000EE"/>
        </w:rPr>
      </w:pPr>
      <w:hyperlink w:anchor="page143">
        <w:r>
          <w:rPr>
            <w:rFonts w:ascii="Times New Roman" w:cs="Times New Roman" w:eastAsia="Times New Roman" w:hAnsi="Times New Roman"/>
            <w:sz w:val="16"/>
            <w:szCs w:val="16"/>
            <w:u w:val="single" w:color="auto"/>
            <w:color w:val="0000EE"/>
          </w:rPr>
          <w:t>EXHIBIT 31.1</w:t>
        </w:r>
      </w:hyperlink>
    </w:p>
    <w:p>
      <w:pPr>
        <w:spacing w:after="0" w:line="24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CERTIFICATION</w:t>
        </w:r>
      </w:hyperlink>
    </w:p>
    <w:p>
      <w:pPr>
        <w:sectPr>
          <w:pgSz w:w="11900" w:h="16838" w:orient="portrait"/>
          <w:cols w:equalWidth="0" w:num="1">
            <w:col w:w="10219"/>
          </w:cols>
          <w:pgMar w:left="240" w:top="814" w:right="1440" w:bottom="1440" w:gutter="0" w:footer="0" w:header="0"/>
        </w:sectPr>
      </w:pPr>
    </w:p>
    <w:bookmarkStart w:id="144" w:name="page145"/>
    <w:bookmarkEnd w:id="144"/>
    <w:p>
      <w:pPr>
        <w:spacing w:after="0"/>
        <w:rPr>
          <w:rFonts w:ascii="Times New Roman" w:cs="Times New Roman" w:eastAsia="Times New Roman" w:hAnsi="Times New Roman"/>
          <w:sz w:val="22"/>
          <w:szCs w:val="22"/>
          <w:color w:val="0000EE"/>
        </w:rPr>
      </w:pPr>
      <w:hyperlink w:anchor="page14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Patrick, certify that:</w:t>
      </w:r>
    </w:p>
    <w:p>
      <w:pPr>
        <w:spacing w:after="0" w:line="225"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Supernus Pharmaceuticals, Inc.;</w:t>
      </w:r>
    </w:p>
    <w:p>
      <w:pPr>
        <w:spacing w:after="0" w:line="225" w:lineRule="exact"/>
        <w:rPr>
          <w:rFonts w:ascii="Times New Roman" w:cs="Times New Roman" w:eastAsia="Times New Roman" w:hAnsi="Times New Roman"/>
          <w:sz w:val="18"/>
          <w:szCs w:val="18"/>
          <w:color w:val="auto"/>
        </w:rPr>
      </w:pPr>
    </w:p>
    <w:p>
      <w:pPr>
        <w:ind w:right="40" w:firstLine="8"/>
        <w:spacing w:after="0" w:line="275" w:lineRule="auto"/>
        <w:tabs>
          <w:tab w:leader="none" w:pos="3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140" w:firstLine="8"/>
        <w:spacing w:after="0" w:line="275" w:lineRule="auto"/>
        <w:tabs>
          <w:tab w:leader="none" w:pos="3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firstLine="8"/>
        <w:spacing w:after="0" w:line="262" w:lineRule="auto"/>
        <w:tabs>
          <w:tab w:leader="none" w:pos="3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540" w:right="20" w:firstLine="8"/>
        <w:spacing w:after="0" w:line="262" w:lineRule="auto"/>
        <w:tabs>
          <w:tab w:leader="none" w:pos="86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540" w:right="80" w:firstLine="8"/>
        <w:spacing w:after="0" w:line="262"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540" w:right="140" w:firstLine="8"/>
        <w:spacing w:after="0" w:line="275" w:lineRule="auto"/>
        <w:tabs>
          <w:tab w:leader="none" w:pos="86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left="540" w:right="200" w:firstLine="8"/>
        <w:spacing w:after="0" w:line="262"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right="740" w:firstLine="8"/>
        <w:spacing w:after="0" w:line="275" w:lineRule="auto"/>
        <w:tabs>
          <w:tab w:leader="none" w:pos="3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540" w:right="80" w:firstLine="8"/>
        <w:spacing w:after="0" w:line="275" w:lineRule="auto"/>
        <w:tabs>
          <w:tab w:leader="none" w:pos="86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540" w:right="120" w:firstLine="8"/>
        <w:spacing w:after="0" w:line="275"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 March 1, 2019</w:t>
      </w:r>
      <w:r>
        <w:rPr>
          <w:sz w:val="20"/>
          <w:szCs w:val="20"/>
          <w:color w:val="auto"/>
        </w:rPr>
        <w:tab/>
      </w:r>
      <w:r>
        <w:rPr>
          <w:rFonts w:ascii="Times New Roman" w:cs="Times New Roman" w:eastAsia="Times New Roman" w:hAnsi="Times New Roman"/>
          <w:sz w:val="16"/>
          <w:szCs w:val="16"/>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74930</wp:posOffset>
            </wp:positionV>
            <wp:extent cx="2675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Gregory S. Patrick</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6"/>
          <w:szCs w:val="16"/>
          <w:u w:val="single" w:color="auto"/>
          <w:color w:val="0000EE"/>
        </w:rPr>
      </w:pPr>
      <w:hyperlink w:anchor="page145">
        <w:r>
          <w:rPr>
            <w:rFonts w:ascii="Times New Roman" w:cs="Times New Roman" w:eastAsia="Times New Roman" w:hAnsi="Times New Roman"/>
            <w:sz w:val="16"/>
            <w:szCs w:val="16"/>
            <w:u w:val="single" w:color="auto"/>
            <w:color w:val="0000EE"/>
          </w:rPr>
          <w:t>EXHIBIT 31.2</w:t>
        </w:r>
      </w:hyperlink>
    </w:p>
    <w:p>
      <w:pPr>
        <w:spacing w:after="0" w:line="24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CERTIFICATION</w:t>
        </w:r>
      </w:hyperlink>
    </w:p>
    <w:p>
      <w:pPr>
        <w:sectPr>
          <w:pgSz w:w="11900" w:h="16838" w:orient="portrait"/>
          <w:cols w:equalWidth="0" w:num="1">
            <w:col w:w="10219"/>
          </w:cols>
          <w:pgMar w:left="240" w:top="814" w:right="1440" w:bottom="1440" w:gutter="0" w:footer="0" w:header="0"/>
        </w:sectPr>
      </w:pPr>
    </w:p>
    <w:bookmarkStart w:id="146" w:name="page147"/>
    <w:bookmarkEnd w:id="146"/>
    <w:p>
      <w:pPr>
        <w:spacing w:after="0"/>
        <w:rPr>
          <w:rFonts w:ascii="Times New Roman" w:cs="Times New Roman" w:eastAsia="Times New Roman" w:hAnsi="Times New Roman"/>
          <w:sz w:val="22"/>
          <w:szCs w:val="22"/>
          <w:color w:val="0000EE"/>
        </w:rPr>
      </w:pPr>
      <w:hyperlink w:anchor="page148">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Supernus Pharmaceuticals, Inc. (the "Company") on Form 10-K for the year ended December 31, 2018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86" w:lineRule="exact"/>
        <w:rPr>
          <w:sz w:val="20"/>
          <w:szCs w:val="20"/>
          <w:color w:val="auto"/>
        </w:rPr>
      </w:pPr>
    </w:p>
    <w:p>
      <w:pPr>
        <w:ind w:left="880" w:hanging="332"/>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 March 1, 2019</w:t>
      </w:r>
      <w:r>
        <w:rPr>
          <w:sz w:val="20"/>
          <w:szCs w:val="20"/>
          <w:color w:val="auto"/>
        </w:rPr>
        <w:tab/>
      </w:r>
      <w:r>
        <w:rPr>
          <w:rFonts w:ascii="Times New Roman" w:cs="Times New Roman" w:eastAsia="Times New Roman" w:hAnsi="Times New Roman"/>
          <w:sz w:val="16"/>
          <w:szCs w:val="16"/>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74930</wp:posOffset>
            </wp:positionV>
            <wp:extent cx="2675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Jack A. Khattar</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EXHIBIT 32.1</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SUPERNUS PHARMACEUTICALS, INC. CERTIFICATION PURSUANT TO 18 U.S.C. sec. 1350, AS ADOPTED PURSUANT TO SECTION 906 OF THE</w:t>
        </w:r>
      </w:hyperlink>
      <w:r>
        <w:rPr>
          <w:rFonts w:ascii="Times New Roman" w:cs="Times New Roman" w:eastAsia="Times New Roman" w:hAnsi="Times New Roman"/>
          <w:sz w:val="18"/>
          <w:szCs w:val="18"/>
          <w:u w:val="single" w:color="auto"/>
          <w:color w:val="0000EE"/>
        </w:rPr>
        <w:t xml:space="preserve"> </w:t>
      </w:r>
      <w:hyperlink w:anchor="page147">
        <w:r>
          <w:rPr>
            <w:rFonts w:ascii="Times New Roman" w:cs="Times New Roman" w:eastAsia="Times New Roman" w:hAnsi="Times New Roman"/>
            <w:sz w:val="18"/>
            <w:szCs w:val="18"/>
            <w:u w:val="single" w:color="auto"/>
            <w:color w:val="0000EE"/>
          </w:rPr>
          <w:t>SARBANES-OXLEY ACT OF 2002</w:t>
        </w:r>
      </w:hyperlink>
    </w:p>
    <w:p>
      <w:pPr>
        <w:sectPr>
          <w:pgSz w:w="11900" w:h="16838" w:orient="portrait"/>
          <w:cols w:equalWidth="0" w:num="1">
            <w:col w:w="11300"/>
          </w:cols>
          <w:pgMar w:left="240" w:top="814" w:right="359" w:bottom="1440" w:gutter="0" w:footer="0" w:header="0"/>
        </w:sectPr>
      </w:pPr>
    </w:p>
    <w:bookmarkStart w:id="148" w:name="page149"/>
    <w:bookmarkEnd w:id="148"/>
    <w:p>
      <w:pPr>
        <w:spacing w:after="0"/>
        <w:rPr>
          <w:rFonts w:ascii="Times New Roman" w:cs="Times New Roman" w:eastAsia="Times New Roman" w:hAnsi="Times New Roman"/>
          <w:sz w:val="22"/>
          <w:szCs w:val="22"/>
          <w:color w:val="0000EE"/>
        </w:rPr>
      </w:pPr>
      <w:hyperlink w:anchor="page15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Supernus Pharmaceuticals, Inc. (the "Company") on Form 10-K for the year ended December 31, 2018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86" w:lineRule="exact"/>
        <w:rPr>
          <w:sz w:val="20"/>
          <w:szCs w:val="20"/>
          <w:color w:val="auto"/>
        </w:rPr>
      </w:pPr>
    </w:p>
    <w:p>
      <w:pPr>
        <w:ind w:left="880" w:hanging="332"/>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 March 1, 2019</w:t>
      </w:r>
      <w:r>
        <w:rPr>
          <w:sz w:val="20"/>
          <w:szCs w:val="20"/>
          <w:color w:val="auto"/>
        </w:rPr>
        <w:tab/>
      </w:r>
      <w:r>
        <w:rPr>
          <w:rFonts w:ascii="Times New Roman" w:cs="Times New Roman" w:eastAsia="Times New Roman" w:hAnsi="Times New Roman"/>
          <w:sz w:val="16"/>
          <w:szCs w:val="16"/>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74930</wp:posOffset>
            </wp:positionV>
            <wp:extent cx="2675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Gregory S. Patrick</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EXHIBIT 32.2</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SUPERNUS PHARMACEUTICALS, INC. CERTIFICATION PURSUANT TO 18 U.S.C. sec. 1350, AS ADOPTED PURSUANT TO SECTION 906 OF THE</w:t>
        </w:r>
      </w:hyperlink>
      <w:r>
        <w:rPr>
          <w:rFonts w:ascii="Times New Roman" w:cs="Times New Roman" w:eastAsia="Times New Roman" w:hAnsi="Times New Roman"/>
          <w:sz w:val="18"/>
          <w:szCs w:val="18"/>
          <w:u w:val="single" w:color="auto"/>
          <w:color w:val="0000EE"/>
        </w:rPr>
        <w:t xml:space="preserve"> </w:t>
      </w:r>
      <w:hyperlink w:anchor="page149">
        <w:r>
          <w:rPr>
            <w:rFonts w:ascii="Times New Roman" w:cs="Times New Roman" w:eastAsia="Times New Roman" w:hAnsi="Times New Roman"/>
            <w:sz w:val="18"/>
            <w:szCs w:val="18"/>
            <w:u w:val="single" w:color="auto"/>
            <w:color w:val="0000EE"/>
          </w:rPr>
          <w:t>SARBANES-OXLEY ACT OF 2002</w:t>
        </w:r>
      </w:hyperlink>
    </w:p>
    <w:sectPr>
      <w:pgSz w:w="11900" w:h="16838" w:orient="portrait"/>
      <w:cols w:equalWidth="0" w:num="1">
        <w:col w:w="11300"/>
      </w:cols>
      <w:pgMar w:left="240" w:top="8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3"/>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6"/>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1."/>
      <w:numFmt w:val="decimal"/>
      <w:start w:val="2"/>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lowerRoman"/>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12"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159" Type="http://schemas.openxmlformats.org/officeDocument/2006/relationships/hyperlink" Target="http://www.sec.gov/Archives/edgar/data/1356576/000110465918067217/a18-19039_1ex2d1.htm" TargetMode="External"/><Relationship Id="rId160" Type="http://schemas.openxmlformats.org/officeDocument/2006/relationships/hyperlink" Target="http://www.sec.gov/Archives/edgar/data/1356576/000104746912010489/a2211796zex-3_1.htm" TargetMode="External"/><Relationship Id="rId161" Type="http://schemas.openxmlformats.org/officeDocument/2006/relationships/hyperlink" Target="http://www.sec.gov/Archives/edgar/data/1356576/000104746912010750/a2211879zex-3_2.htm" TargetMode="External"/><Relationship Id="rId162" Type="http://schemas.openxmlformats.org/officeDocument/2006/relationships/hyperlink" Target="http://www.sec.gov/Archives/edgar/data/1356576/000104746912002789/a2207731zex-4_1.htm" TargetMode="External"/><Relationship Id="rId163" Type="http://schemas.openxmlformats.org/officeDocument/2006/relationships/hyperlink" Target="http://www.sec.gov/Archives/edgar/data/1356576/000110465918018961/a18-8506_1ex4d2.htm" TargetMode="External"/><Relationship Id="rId164" Type="http://schemas.openxmlformats.org/officeDocument/2006/relationships/hyperlink" Target="http://www.sec.gov/Archives/edgar/data/1356576/000104746910010575/a2201368zex-10_1.htm" TargetMode="External"/><Relationship Id="rId165" Type="http://schemas.openxmlformats.org/officeDocument/2006/relationships/hyperlink" Target="http://www.sec.gov/Archives/edgar/data/1356576/000104746910010575/a2201368zex-10_2.htm" TargetMode="External"/><Relationship Id="rId166" Type="http://schemas.openxmlformats.org/officeDocument/2006/relationships/hyperlink" Target="http://www.sec.gov/Archives/edgar/data/1356576/000104746910010575/a2201368zex-10_3.htm" TargetMode="External"/><Relationship Id="rId167" Type="http://schemas.openxmlformats.org/officeDocument/2006/relationships/hyperlink" Target="http://www.sec.gov/Archives/edgar/data/1356576/000104746910010575/a2201368zex-10_4.htm" TargetMode="External"/><Relationship Id="rId168" Type="http://schemas.openxmlformats.org/officeDocument/2006/relationships/hyperlink" Target="http://www.sec.gov/Archives/edgar/data/1356576/000104746910010575/a2201368zex-10_5.htm" TargetMode="External"/><Relationship Id="rId169" Type="http://schemas.openxmlformats.org/officeDocument/2006/relationships/hyperlink" Target="http://www.sec.gov/Archives/edgar/data/1356576/000104746910010575/a2201368zex-10_6.htm" TargetMode="External"/><Relationship Id="rId172" Type="http://schemas.openxmlformats.org/officeDocument/2006/relationships/hyperlink" Target="http://www.sec.gov/Archives/edgar/data/1356576/000104746910010575/a2201368zex-10_7.htm" TargetMode="External"/><Relationship Id="rId173" Type="http://schemas.openxmlformats.org/officeDocument/2006/relationships/hyperlink" Target="http://www.sec.gov/Archives/edgar/data/1356576/000104746910010575/a2201368zex-10_8.htm" TargetMode="External"/><Relationship Id="rId174" Type="http://schemas.openxmlformats.org/officeDocument/2006/relationships/hyperlink" Target="http://www.sec.gov/Archives/edgar/data/1356576/000104746912002789/a2207731zex-10_10.htm" TargetMode="External"/><Relationship Id="rId175" Type="http://schemas.openxmlformats.org/officeDocument/2006/relationships/hyperlink" Target="http://www.sec.gov/Archives/edgar/data/1356576/000104746912002789/a2207731zex-10_11.htm" TargetMode="External"/><Relationship Id="rId176" Type="http://schemas.openxmlformats.org/officeDocument/2006/relationships/hyperlink" Target="http://www.sec.gov/Archives/edgar/data/1356576/000104746912002789/a2207731zex-10_12.htm" TargetMode="External"/><Relationship Id="rId177" Type="http://schemas.openxmlformats.org/officeDocument/2006/relationships/hyperlink" Target="http://www.sec.gov/Archives/edgar/data/1356576/000104746912002789/a2207731zex-10_13.htm" TargetMode="External"/><Relationship Id="rId178" Type="http://schemas.openxmlformats.org/officeDocument/2006/relationships/hyperlink" Target="http://www.sec.gov/Archives/edgar/data/1356576/000104746912002789/a2207731zex-10_14.htm" TargetMode="External"/><Relationship Id="rId179" Type="http://schemas.openxmlformats.org/officeDocument/2006/relationships/hyperlink" Target="http://www.sec.gov/Archives/edgar/data/1356576/000104746912002789/a2207731zex-10_15.htm" TargetMode="External"/><Relationship Id="rId180" Type="http://schemas.openxmlformats.org/officeDocument/2006/relationships/hyperlink" Target="http://www.sec.gov/Archives/edgar/data/1356576/000104746912000931/a2207174zex-10_20.htm" TargetMode="External"/><Relationship Id="rId181" Type="http://schemas.openxmlformats.org/officeDocument/2006/relationships/hyperlink" Target="http://www.sec.gov/Archives/edgar/data/1356576/000104746912002789/a2207731zex-10_22.htm" TargetMode="External"/><Relationship Id="rId182" Type="http://schemas.openxmlformats.org/officeDocument/2006/relationships/hyperlink" Target="http://www.sec.gov/Archives/edgar/data/1356576/000104746912002789/a2207731zex-10_23.htm" TargetMode="External"/><Relationship Id="rId186" Type="http://schemas.openxmlformats.org/officeDocument/2006/relationships/hyperlink" Target="http://www.sec.gov/Archives/edgar/data/1356576/000104746912004146/a2208560zex-10_26.htm" TargetMode="External"/><Relationship Id="rId187" Type="http://schemas.openxmlformats.org/officeDocument/2006/relationships/hyperlink" Target="http://www.sec.gov/Archives/edgar/data/1356576/000104746912004146/a2208560zex-10_27.htm" TargetMode="External"/><Relationship Id="rId188" Type="http://schemas.openxmlformats.org/officeDocument/2006/relationships/hyperlink" Target="http://www.sec.gov/Archives/edgar/data/1356576/000110465912073746/a12-19259_1ex10d1.htm" TargetMode="External"/><Relationship Id="rId189" Type="http://schemas.openxmlformats.org/officeDocument/2006/relationships/hyperlink" Target="http://www.sec.gov/Archives/edgar/data/1356576/000110465913008523/a13-4631_1ex10d1.htm" TargetMode="External"/><Relationship Id="rId190" Type="http://schemas.openxmlformats.org/officeDocument/2006/relationships/hyperlink" Target="http://www.sec.gov/Archives/edgar/data/1356576/000104746913002844/a2213534zex-10_33.htm" TargetMode="External"/><Relationship Id="rId191" Type="http://schemas.openxmlformats.org/officeDocument/2006/relationships/hyperlink" Target="http://www.sec.gov/Archives/edgar/data/1356576/000135657613000023/supn-20130821ex1016196c4.htm" TargetMode="External"/><Relationship Id="rId192" Type="http://schemas.openxmlformats.org/officeDocument/2006/relationships/hyperlink" Target="http://www.sec.gov/Archives/edgar/data/1356576/000110465914050571/a14-16620_1ex10d1.htm" TargetMode="External"/><Relationship Id="rId193" Type="http://schemas.openxmlformats.org/officeDocument/2006/relationships/hyperlink" Target="http://www.sec.gov/Archives/edgar/data/1356576/000110465914050571/a14-16620_1ex10d2.htm" TargetMode="External"/><Relationship Id="rId194" Type="http://schemas.openxmlformats.org/officeDocument/2006/relationships/hyperlink" Target="http://www.sec.gov/Archives/edgar/data/1356576/000110465914067095/a14-21143_1ex10d1.htm" TargetMode="External"/><Relationship Id="rId195" Type="http://schemas.openxmlformats.org/officeDocument/2006/relationships/hyperlink" Target="http://www.sec.gov/Archives/edgar/data/1356576/000110465914059442/a14-18762_1ex10d2.htm" TargetMode="External"/><Relationship Id="rId196" Type="http://schemas.openxmlformats.org/officeDocument/2006/relationships/hyperlink" Target="http://www.sec.gov/Archives/edgar/data/1356576/000110465914073694/a14-22950_1ex10d1.htm" TargetMode="External"/><Relationship Id="rId197" Type="http://schemas.openxmlformats.org/officeDocument/2006/relationships/hyperlink" Target="http://www.sec.gov/Archives/edgar/data/1356576/000110465914073694/a14-22950_1ex10d2.htm" TargetMode="External"/><Relationship Id="rId201" Type="http://schemas.openxmlformats.org/officeDocument/2006/relationships/hyperlink" Target="http://www.sec.gov/Archives/edgar/data/1356576/000110465916102653/a16-5842_1ex10d1.htm" TargetMode="External"/><Relationship Id="rId202" Type="http://schemas.openxmlformats.org/officeDocument/2006/relationships/hyperlink" Target="http://www.sec.gov/Archives/edgar/data/1356576/000104746916010884/a2227616zex-10_36.htm" TargetMode="External"/><Relationship Id="rId203" Type="http://schemas.openxmlformats.org/officeDocument/2006/relationships/hyperlink" Target="http://www.sec.gov/Archives/edgar/data/1356576/000104746918003310/a2235487zdef14a.htm#toc_lc19101_2" TargetMode="External"/><Relationship Id="rId204" Type="http://schemas.openxmlformats.org/officeDocument/2006/relationships/hyperlink" Target="http://www.sec.gov/Archives/edgar/data/1356576/000104746916012346/a2228311zdef14a.htm#toc_lg13101_2" TargetMode="External"/><Relationship Id="rId205" Type="http://schemas.openxmlformats.org/officeDocument/2006/relationships/hyperlink" Target="http://www.sec.gov/Archives/edgar/data/1356576/000110465917031191/a17-10293_1ex10d1.htm" TargetMode="External"/><Relationship Id="rId206" Type="http://schemas.openxmlformats.org/officeDocument/2006/relationships/hyperlink" Target="http://www.sec.gov/Archives/edgar/data/1356576/000110465917031191/a17-10293_1ex10d2.htm" TargetMode="External"/><Relationship Id="rId207" Type="http://schemas.openxmlformats.org/officeDocument/2006/relationships/hyperlink" Target="http://www.sec.gov/Archives/edgar/data/1356576/000110465917031191/a17-10293_1ex10d3.htm" TargetMode="External"/><Relationship Id="rId208" Type="http://schemas.openxmlformats.org/officeDocument/2006/relationships/hyperlink" Target="http://www.sec.gov/Archives/edgar/data/1356576/000110465918018961/a18-8506_1ex10d1.htm" TargetMode="External"/><Relationship Id="rId209" Type="http://schemas.openxmlformats.org/officeDocument/2006/relationships/hyperlink" Target="http://www.sec.gov/Archives/edgar/data/1356576/000110465918018961/a18-8506_1ex10d2.htm" TargetMode="External"/><Relationship Id="rId210" Type="http://schemas.openxmlformats.org/officeDocument/2006/relationships/hyperlink" Target="http://www.sec.gov/Archives/edgar/data/1356576/000110465918018961/a18-8506_1ex10d3.htm" TargetMode="External"/><Relationship Id="rId211" Type="http://schemas.openxmlformats.org/officeDocument/2006/relationships/hyperlink" Target="http://www.sec.gov/Archives/edgar/data/1356576/000110465918018961/a18-8506_1ex10d4.htm" TargetMode="External"/><Relationship Id="rId213" Type="http://schemas.openxmlformats.org/officeDocument/2006/relationships/hyperlink" Target="http://www.sec.gov/Archives/edgar/data/1356576/000110465918018961/a18-8506_1ex10d5.htm" TargetMode="External"/><Relationship Id="rId214" Type="http://schemas.openxmlformats.org/officeDocument/2006/relationships/hyperlink" Target="http://www.sec.gov/Archives/edgar/data/1356576/000110465918018961/a18-8506_1ex10d6.htm" TargetMode="External"/><Relationship Id="rId215" Type="http://schemas.openxmlformats.org/officeDocument/2006/relationships/hyperlink" Target="http://www.sec.gov/Archives/edgar/data/1356576/000110465918018961/a18-8506_1ex10d7.htm" TargetMode="External"/><Relationship Id="rId216" Type="http://schemas.openxmlformats.org/officeDocument/2006/relationships/hyperlink" Target="http://www.sec.gov/Archives/edgar/data/1356576/000110465918018961/a18-8506_1ex10d8.htm" TargetMode="External"/><Relationship Id="rId217" Type="http://schemas.openxmlformats.org/officeDocument/2006/relationships/hyperlink" Target="http://www.sec.gov/Archives/edgar/data/1356576/000110465918018961/a18-8506_1ex10d9.htm" TargetMode="External"/><Relationship Id="rId218" Type="http://schemas.openxmlformats.org/officeDocument/2006/relationships/hyperlink" Target="http://www.sec.gov/Archives/edgar/data/1356576/000110465918018961/a18-8506_1ex10d10.htm" TargetMode="External"/><Relationship Id="rId219" Type="http://schemas.openxmlformats.org/officeDocument/2006/relationships/hyperlink" Target="http://www.sec.gov/Archives/edgar/data/1356576/000110465918018961/a18-8506_1ex10d11.htm" TargetMode="External"/><Relationship Id="rId220" Type="http://schemas.openxmlformats.org/officeDocument/2006/relationships/hyperlink" Target="http://www.sec.gov/Archives/edgar/data/1356576/000110465918018961/a18-8506_1ex10d12.htm" TargetMode="External"/><Relationship Id="rId221" Type="http://schemas.openxmlformats.org/officeDocument/2006/relationships/hyperlink" Target="http://www.sec.gov/Archives/edgar/data/1356576/000110465918032502/a18-13353_1ex10d1.htm" TargetMode="External"/><Relationship Id="rId222" Type="http://schemas.openxmlformats.org/officeDocument/2006/relationships/hyperlink" Target="http://www.sec.gov/Archives/edgar/data/1356576/000110465918032502/a18-13353_1ex10d2.htm" TargetMode="External"/><Relationship Id="rId223" Type="http://schemas.openxmlformats.org/officeDocument/2006/relationships/hyperlink" Target="http://www.sec.gov/Archives/edgar/data/1356576/000110465919005844/a19-4046_1ex10d1.htm" TargetMode="External"/><Relationship Id="rId224" Type="http://schemas.openxmlformats.org/officeDocument/2006/relationships/hyperlink" Target="http://www.sec.gov/Archives/edgar/data/1356576/000104746913002844/a2213534z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2019-12-28T15:36:21Z</dcterms:created>
  <dcterms:modified xsi:type="dcterms:W3CDTF">2019-12-28T15:36:21Z</dcterms:modified>
</cp:coreProperties>
</file>